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rPr>
          <w:bCs/>
          <w:szCs w:val="21"/>
        </w:rPr>
      </w:pPr>
      <w:r>
        <w:rPr>
          <w:rFonts w:hint="eastAsia"/>
          <w:bCs/>
          <w:szCs w:val="21"/>
        </w:rPr>
        <w:t>公司代码：</w:t>
      </w:r>
      <w:sdt>
        <w:sdtPr>
          <w:rPr>
            <w:rFonts w:hint="eastAsia"/>
            <w:bCs/>
            <w:szCs w:val="21"/>
          </w:rPr>
          <w:alias w:val="公司代码"/>
          <w:tag w:val="_GBC_704b7b03ea3f4a93b8d4655a09b2ff61"/>
          <w:id w:val="6772363"/>
          <w:lock w:val="sdtLocked"/>
          <w:placeholder>
            <w:docPart w:val="GBC22222222222222222222222222222"/>
          </w:placeholder>
        </w:sdtPr>
        <w:sdtEndPr>
          <w:rPr>
            <w:rFonts w:hint="eastAsia"/>
            <w:bCs/>
            <w:szCs w:val="21"/>
          </w:rPr>
        </w:sdtEndPr>
        <w:sdtContent>
          <w:r>
            <w:rPr>
              <w:rFonts w:hint="eastAsia"/>
              <w:bCs/>
              <w:szCs w:val="21"/>
            </w:rPr>
            <w:t>601003</w:t>
          </w:r>
        </w:sdtContent>
      </w:sdt>
      <w:r>
        <w:rPr>
          <w:rFonts w:hint="eastAsia"/>
          <w:bCs/>
          <w:szCs w:val="21"/>
        </w:rPr>
        <w:t xml:space="preserve">                                           公司简称：</w:t>
      </w:r>
      <w:sdt>
        <w:sdtPr>
          <w:rPr>
            <w:rFonts w:hint="eastAsia"/>
            <w:bCs/>
            <w:szCs w:val="21"/>
          </w:rPr>
          <w:alias w:val="公司简称"/>
          <w:tag w:val="_GBC_0384ae715a1e4b4894a29e4d27f5bef4"/>
          <w:id w:val="6772364"/>
          <w:lock w:val="sdtLocked"/>
          <w:placeholder>
            <w:docPart w:val="GBC22222222222222222222222222222"/>
          </w:placeholder>
        </w:sdtPr>
        <w:sdtEndPr>
          <w:rPr>
            <w:rFonts w:hint="eastAsia"/>
            <w:bCs/>
            <w:szCs w:val="21"/>
          </w:rPr>
        </w:sdtEndPr>
        <w:sdtContent>
          <w:r>
            <w:rPr>
              <w:rFonts w:hint="eastAsia"/>
              <w:bCs/>
              <w:szCs w:val="21"/>
            </w:rPr>
            <w:t>柳钢股份</w:t>
          </w:r>
        </w:sdtContent>
      </w:sdt>
    </w:p>
    <w:p>
      <w:pPr>
        <w:rPr>
          <w:b/>
          <w:bCs/>
          <w:szCs w:val="21"/>
        </w:rPr>
      </w:pPr>
    </w:p>
    <w:sdt>
      <w:sdtPr>
        <w:rPr>
          <w:b/>
          <w:bCs/>
          <w:szCs w:val="21"/>
        </w:rPr>
        <w:alias w:val="模块:股份有限公司"/>
        <w:tag w:val="_SEC_053d5dad2cbb4a7e949bd9642e6c577f"/>
        <w:id w:val="6772366"/>
        <w:lock w:val="sdtLocked"/>
        <w:placeholder>
          <w:docPart w:val="GBC22222222222222222222222222222"/>
        </w:placeholder>
      </w:sdtPr>
      <w:sdtEndPr>
        <w:rPr>
          <w:rFonts w:ascii="黑体" w:hAnsi="黑体" w:eastAsia="黑体"/>
          <w:b/>
          <w:bCs/>
          <w:color w:val="FF0000"/>
          <w:sz w:val="44"/>
          <w:szCs w:val="44"/>
        </w:rPr>
      </w:sdtEndPr>
      <w:sdtContent>
        <w:p>
          <w:pPr>
            <w:jc w:val="center"/>
            <w:rPr>
              <w:rFonts w:ascii="黑体" w:hAnsi="黑体" w:eastAsia="黑体"/>
              <w:b/>
              <w:bCs/>
              <w:color w:val="FF0000"/>
              <w:sz w:val="44"/>
              <w:szCs w:val="44"/>
            </w:rPr>
          </w:pPr>
          <w:sdt>
            <w:sdtPr>
              <w:rPr>
                <w:rFonts w:hint="eastAsia" w:ascii="黑体" w:hAnsi="黑体" w:eastAsia="黑体"/>
                <w:b/>
                <w:bCs/>
                <w:color w:val="FF0000"/>
                <w:sz w:val="44"/>
                <w:szCs w:val="44"/>
              </w:rPr>
              <w:alias w:val="公司法定中文名称"/>
              <w:tag w:val="_GBC_47adbfeb6fae494fb72f2a2b2c73d969"/>
              <w:id w:val="6772365"/>
              <w:lock w:val="sdtLocked"/>
              <w:placeholder>
                <w:docPart w:val="GBC22222222222222222222222222222"/>
              </w:placeholder>
              <w:text/>
            </w:sdtPr>
            <w:sdtEndPr>
              <w:rPr>
                <w:rFonts w:hint="eastAsia" w:ascii="黑体" w:hAnsi="黑体" w:eastAsia="黑体"/>
                <w:b/>
                <w:bCs/>
                <w:color w:val="FF0000"/>
                <w:sz w:val="44"/>
                <w:szCs w:val="44"/>
              </w:rPr>
            </w:sdtEndPr>
            <w:sdtContent>
              <w:r>
                <w:rPr>
                  <w:rFonts w:hint="eastAsia" w:ascii="黑体" w:hAnsi="黑体" w:eastAsia="黑体"/>
                  <w:b/>
                  <w:bCs/>
                  <w:color w:val="FF0000"/>
                  <w:sz w:val="44"/>
                  <w:szCs w:val="44"/>
                </w:rPr>
                <w:t>柳州钢铁股份有限公司</w:t>
              </w:r>
            </w:sdtContent>
          </w:sdt>
        </w:p>
      </w:sdtContent>
    </w:sdt>
    <w:p>
      <w:pPr>
        <w:jc w:val="center"/>
        <w:rPr>
          <w:rFonts w:ascii="黑体" w:hAnsi="黑体" w:eastAsia="黑体"/>
          <w:b/>
          <w:bCs/>
          <w:color w:val="FF0000"/>
          <w:sz w:val="44"/>
          <w:szCs w:val="44"/>
        </w:rPr>
      </w:pPr>
      <w:r>
        <w:rPr>
          <w:rFonts w:ascii="黑体" w:hAnsi="黑体" w:eastAsia="黑体"/>
          <w:b/>
          <w:bCs/>
          <w:color w:val="FF0000"/>
          <w:sz w:val="44"/>
          <w:szCs w:val="44"/>
        </w:rPr>
        <w:t>201</w:t>
      </w:r>
      <w:r>
        <w:rPr>
          <w:rFonts w:hint="eastAsia" w:ascii="黑体" w:hAnsi="黑体" w:eastAsia="黑体"/>
          <w:b/>
          <w:bCs/>
          <w:color w:val="FF0000"/>
          <w:sz w:val="44"/>
          <w:szCs w:val="44"/>
        </w:rPr>
        <w:t>7年年度报告</w:t>
      </w:r>
    </w:p>
    <w:p>
      <w:pPr>
        <w:pStyle w:val="33"/>
        <w:spacing w:after="280" w:afterAutospacing="0"/>
        <w:jc w:val="center"/>
        <w:rPr>
          <w:rFonts w:ascii="黑体" w:eastAsia="黑体"/>
          <w:b/>
          <w:bCs/>
          <w:sz w:val="28"/>
          <w:szCs w:val="28"/>
        </w:rPr>
      </w:pPr>
      <w:bookmarkStart w:id="0" w:name="_Toc387656034"/>
      <w:r>
        <w:rPr>
          <w:rFonts w:hint="eastAsia" w:ascii="黑体" w:eastAsia="黑体"/>
          <w:b/>
          <w:bCs/>
          <w:sz w:val="28"/>
          <w:szCs w:val="28"/>
        </w:rPr>
        <w:t>重要提示</w:t>
      </w:r>
      <w:bookmarkEnd w:id="0"/>
    </w:p>
    <w:sdt>
      <w:sdtPr>
        <w:rPr>
          <w:rFonts w:hint="eastAsia" w:ascii="宋体" w:hAnsi="宋体" w:cs="宋体"/>
          <w:b w:val="0"/>
          <w:bCs w:val="0"/>
          <w:kern w:val="0"/>
          <w:szCs w:val="24"/>
        </w:rPr>
        <w:alias w:val="选项模块:董事会及董事声明"/>
        <w:tag w:val="_SEC_7d2cef92505949c6b5bd6a9bd88e1b07"/>
        <w:id w:val="6772368"/>
        <w:lock w:val="sdtLocked"/>
        <w:placeholder>
          <w:docPart w:val="GBC22222222222222222222222222222"/>
        </w:placeholder>
      </w:sdtPr>
      <w:sdtEndPr>
        <w:rPr>
          <w:rFonts w:hint="default" w:ascii="宋体" w:hAnsi="宋体" w:cs="宋体"/>
          <w:b w:val="0"/>
          <w:bCs w:val="0"/>
          <w:kern w:val="0"/>
          <w:szCs w:val="24"/>
        </w:rPr>
      </w:sdtEndPr>
      <w:sdtContent>
        <w:p>
          <w:pPr>
            <w:pStyle w:val="3"/>
            <w:numPr>
              <w:ilvl w:val="0"/>
              <w:numId w:val="1"/>
            </w:numPr>
            <w:tabs>
              <w:tab w:val="left" w:pos="434"/>
            </w:tabs>
            <w:spacing w:before="0" w:after="0" w:line="360" w:lineRule="auto"/>
            <w:ind w:left="368" w:hanging="367" w:hangingChars="175"/>
          </w:pPr>
          <w:sdt>
            <w:sdtPr>
              <w:rPr>
                <w:rFonts w:hint="eastAsia"/>
              </w:rPr>
              <w:alias w:val="董事会及董事声明"/>
              <w:tag w:val="_GBC_7a4abe6548364d7e8583e54b6ff64105"/>
              <w:id w:val="6772367"/>
              <w:lock w:val="sdtLocked"/>
              <w:placeholder>
                <w:docPart w:val="GBC22222222222222222222222222222"/>
              </w:placeholder>
            </w:sdtPr>
            <w:sdtEndPr>
              <w:rPr>
                <w:rFonts w:hint="eastAsia"/>
              </w:rPr>
            </w:sdtEndPr>
            <w:sdtContent>
              <w:r>
                <w:rPr>
                  <w:rFonts w:ascii="Times New Roman" w:hAnsi="宋体" w:cs="宋体"/>
                  <w:bCs w:val="0"/>
                </w:rPr>
                <w:t>本公司董事会、监事会及董事、监事、高级管理人员保证年度报告内容的真实、准确、完整，不存在虚假记载、误导性陈述或重大遗漏，并承担个别和连带的法律责任。</w:t>
              </w:r>
            </w:sdtContent>
          </w:sdt>
        </w:p>
        <w:p/>
      </w:sdtContent>
    </w:sdt>
    <w:sdt>
      <w:sdtPr>
        <w:rPr>
          <w:rFonts w:hint="eastAsia" w:ascii="Calibri" w:hAnsi="Calibri" w:cs="宋体"/>
          <w:b w:val="0"/>
          <w:bCs w:val="0"/>
          <w:kern w:val="0"/>
          <w:sz w:val="24"/>
          <w:szCs w:val="22"/>
        </w:rPr>
        <w:alias w:val="选项模块:公司全体董事出席董事会会议。"/>
        <w:tag w:val="_SEC_22f2821f4b8f443f90d5135b8aaff83a"/>
        <w:id w:val="6772370"/>
        <w:lock w:val="sdtLocked"/>
        <w:placeholder>
          <w:docPart w:val="GBC22222222222222222222222222222"/>
        </w:placeholder>
      </w:sdtPr>
      <w:sdtEndPr>
        <w:rPr>
          <w:rFonts w:hint="default" w:ascii="宋体" w:hAnsi="宋体" w:cs="宋体"/>
          <w:b w:val="0"/>
          <w:bCs w:val="0"/>
          <w:kern w:val="0"/>
          <w:sz w:val="21"/>
          <w:szCs w:val="21"/>
        </w:rPr>
      </w:sdtEndPr>
      <w:sdtContent>
        <w:p>
          <w:pPr>
            <w:pStyle w:val="3"/>
            <w:numPr>
              <w:ilvl w:val="0"/>
              <w:numId w:val="1"/>
            </w:numPr>
            <w:tabs>
              <w:tab w:val="left" w:pos="448"/>
            </w:tabs>
            <w:spacing w:before="0" w:after="0" w:line="360" w:lineRule="auto"/>
            <w:ind w:left="420" w:hangingChars="175"/>
          </w:pPr>
          <w:r>
            <w:rPr>
              <w:rFonts w:hint="eastAsia"/>
            </w:rPr>
            <w:t>公司</w:t>
          </w:r>
          <w:sdt>
            <w:sdtPr>
              <w:rPr>
                <w:rFonts w:hint="eastAsia"/>
              </w:rPr>
              <w:tag w:val="_PLD_67dfe594d3e24f69b6f9757d86ded61b"/>
              <w:id w:val="6772369"/>
              <w:lock w:val="sdtLocked"/>
              <w:placeholder>
                <w:docPart w:val="GBC22222222222222222222222222222"/>
              </w:placeholder>
            </w:sdtPr>
            <w:sdtEndPr>
              <w:rPr>
                <w:rFonts w:hint="eastAsia"/>
              </w:rPr>
            </w:sdtEndPr>
            <w:sdtContent>
              <w:r>
                <w:rPr>
                  <w:rFonts w:hint="eastAsia"/>
                </w:rPr>
                <w:t>全体董事出席</w:t>
              </w:r>
            </w:sdtContent>
          </w:sdt>
          <w:r>
            <w:rPr>
              <w:rFonts w:hint="eastAsia"/>
            </w:rPr>
            <w:t>董事会会议。</w:t>
          </w:r>
        </w:p>
        <w:p>
          <w:pPr>
            <w:rPr>
              <w:szCs w:val="21"/>
            </w:rPr>
          </w:pPr>
        </w:p>
      </w:sdtContent>
    </w:sdt>
    <w:sdt>
      <w:sdtPr>
        <w:rPr>
          <w:rFonts w:hint="eastAsia" w:ascii="Calibri" w:hAnsi="Calibri" w:cs="宋体"/>
          <w:b w:val="0"/>
          <w:bCs w:val="0"/>
          <w:kern w:val="0"/>
          <w:sz w:val="24"/>
          <w:szCs w:val="24"/>
        </w:rPr>
        <w:alias w:val="选项模块:事务所为本公司出具了标准无保留意见的审计报告。"/>
        <w:tag w:val="_SEC_40fba4905c084fec81ccf5c248050f25"/>
        <w:id w:val="6772373"/>
        <w:lock w:val="sdtLocked"/>
        <w:placeholder>
          <w:docPart w:val="GBC22222222222222222222222222222"/>
        </w:placeholder>
      </w:sdtPr>
      <w:sdtEndPr>
        <w:rPr>
          <w:rFonts w:hint="default" w:ascii="宋体" w:hAnsi="宋体" w:cs="宋体"/>
          <w:b w:val="0"/>
          <w:bCs w:val="0"/>
          <w:kern w:val="0"/>
          <w:sz w:val="21"/>
          <w:szCs w:val="24"/>
        </w:rPr>
      </w:sdtEndPr>
      <w:sdtContent>
        <w:p>
          <w:pPr>
            <w:pStyle w:val="3"/>
            <w:numPr>
              <w:ilvl w:val="0"/>
              <w:numId w:val="1"/>
            </w:numPr>
            <w:tabs>
              <w:tab w:val="left" w:pos="518"/>
            </w:tabs>
            <w:spacing w:before="0" w:after="0" w:line="360" w:lineRule="auto"/>
            <w:ind w:left="420" w:hangingChars="175"/>
            <w:jc w:val="left"/>
            <w:rPr>
              <w:rFonts w:ascii="宋体" w:hAnsi="宋体"/>
            </w:rPr>
          </w:pPr>
          <w:sdt>
            <w:sdtPr>
              <w:rPr>
                <w:rFonts w:hint="eastAsia" w:ascii="宋体" w:hAnsi="宋体"/>
              </w:rPr>
              <w:alias w:val="公司聘请的境内会计师事务所名称"/>
              <w:tag w:val="_GBC_ad504284986e4ab994733d7125ba1c33"/>
              <w:id w:val="6772371"/>
              <w:lock w:val="sdtLocked"/>
              <w:placeholder>
                <w:docPart w:val="GBC22222222222222222222222222222"/>
              </w:placeholder>
            </w:sdtPr>
            <w:sdtEndPr>
              <w:rPr>
                <w:rFonts w:hint="eastAsia" w:ascii="宋体" w:hAnsi="宋体"/>
              </w:rPr>
            </w:sdtEndPr>
            <w:sdtContent>
              <w:r>
                <w:rPr>
                  <w:color w:val="000000"/>
                </w:rPr>
                <w:t>中审华会计师事务所（特殊普通合伙</w:t>
              </w:r>
              <w:r>
                <w:rPr>
                  <w:rFonts w:hint="eastAsia"/>
                  <w:color w:val="000000"/>
                </w:rPr>
                <w:t>）</w:t>
              </w:r>
            </w:sdtContent>
          </w:sdt>
          <w:r>
            <w:rPr>
              <w:rFonts w:hint="eastAsia" w:ascii="宋体" w:hAnsi="宋体"/>
            </w:rPr>
            <w:t>为本公司出具了</w:t>
          </w:r>
          <w:sdt>
            <w:sdtPr>
              <w:rPr>
                <w:rFonts w:hint="eastAsia" w:ascii="宋体" w:hAnsi="宋体"/>
              </w:rPr>
              <w:alias w:val="会计师事务所审计意见类型"/>
              <w:tag w:val="_GBC_fc66ac35f9514436909a413223854389"/>
              <w:id w:val="6772372"/>
              <w:lock w:val="sdtLocked"/>
              <w:placeholder>
                <w:docPart w:val="GBC22222222222222222222222222222"/>
              </w:placeholder>
            </w:sdtPr>
            <w:sdtEndPr>
              <w:rPr>
                <w:rFonts w:hint="eastAsia" w:ascii="宋体" w:hAnsi="宋体"/>
              </w:rPr>
            </w:sdtEndPr>
            <w:sdtContent>
              <w:r>
                <w:rPr>
                  <w:rFonts w:hint="eastAsia" w:ascii="宋体" w:hAnsi="宋体"/>
                </w:rPr>
                <w:t>标准无保留意见</w:t>
              </w:r>
            </w:sdtContent>
          </w:sdt>
          <w:r>
            <w:rPr>
              <w:rFonts w:hint="eastAsia" w:ascii="宋体" w:hAnsi="宋体"/>
            </w:rPr>
            <w:t>的审计报告。</w:t>
          </w:r>
        </w:p>
        <w:p>
          <w:pPr>
            <w:rPr>
              <w:szCs w:val="21"/>
            </w:rPr>
          </w:pPr>
        </w:p>
      </w:sdtContent>
    </w:sdt>
    <w:sdt>
      <w:sdtPr>
        <w:rPr>
          <w:rFonts w:hint="eastAsia" w:ascii="宋体" w:hAnsi="宋体" w:cs="宋体"/>
          <w:b w:val="0"/>
          <w:bCs w:val="0"/>
          <w:kern w:val="0"/>
          <w:szCs w:val="24"/>
        </w:rPr>
        <w:alias w:val="模块:公司负责人等声明"/>
        <w:tag w:val="_SEC_aa772887f17444efa3f14932a3ab86a1"/>
        <w:id w:val="6772377"/>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1"/>
            </w:numPr>
            <w:tabs>
              <w:tab w:val="left" w:pos="434"/>
            </w:tabs>
            <w:spacing w:before="0" w:after="0" w:line="360" w:lineRule="auto"/>
            <w:ind w:left="368" w:hanging="367" w:hangingChars="175"/>
            <w:rPr>
              <w:rFonts w:ascii="宋体" w:hAnsi="宋体"/>
            </w:rPr>
          </w:pPr>
          <w:r>
            <w:rPr>
              <w:rFonts w:hint="eastAsia" w:ascii="宋体" w:hAnsi="宋体"/>
            </w:rPr>
            <w:t>公司负责人</w:t>
          </w:r>
          <w:sdt>
            <w:sdtPr>
              <w:rPr>
                <w:rFonts w:ascii="宋体" w:hAnsi="宋体"/>
              </w:rPr>
              <w:alias w:val="公司负责人姓名"/>
              <w:tag w:val="_GBC_ba0728eaa9a342098d20addcde59ed31"/>
              <w:id w:val="6772374"/>
              <w:lock w:val="sdtLocked"/>
              <w:placeholder>
                <w:docPart w:val="GBC22222222222222222222222222222"/>
              </w:placeholder>
              <w:text/>
            </w:sdtPr>
            <w:sdtEndPr>
              <w:rPr>
                <w:rFonts w:ascii="宋体" w:hAnsi="宋体"/>
              </w:rPr>
            </w:sdtEndPr>
            <w:sdtContent>
              <w:r>
                <w:rPr>
                  <w:rFonts w:hint="eastAsia" w:ascii="宋体" w:hAnsi="宋体"/>
                </w:rPr>
                <w:t>陈有升</w:t>
              </w:r>
            </w:sdtContent>
          </w:sdt>
          <w:r>
            <w:rPr>
              <w:rFonts w:hint="eastAsia" w:ascii="宋体" w:hAnsi="宋体"/>
            </w:rPr>
            <w:t>、主管会计工作负责人</w:t>
          </w:r>
          <w:sdt>
            <w:sdtPr>
              <w:rPr>
                <w:rFonts w:ascii="宋体" w:hAnsi="宋体"/>
              </w:rPr>
              <w:alias w:val="主管会计工作负责人姓名"/>
              <w:tag w:val="_GBC_9ac791ae357946e68402505d2aa6b3b9"/>
              <w:id w:val="6772375"/>
              <w:lock w:val="sdtLocked"/>
              <w:placeholder>
                <w:docPart w:val="GBC22222222222222222222222222222"/>
              </w:placeholder>
              <w:text/>
            </w:sdtPr>
            <w:sdtEndPr>
              <w:rPr>
                <w:rFonts w:ascii="宋体" w:hAnsi="宋体"/>
              </w:rPr>
            </w:sdtEndPr>
            <w:sdtContent>
              <w:r>
                <w:rPr>
                  <w:rFonts w:hint="eastAsia" w:ascii="宋体" w:hAnsi="宋体"/>
                </w:rPr>
                <w:t>杜忠军</w:t>
              </w:r>
            </w:sdtContent>
          </w:sdt>
          <w:r>
            <w:rPr>
              <w:rFonts w:hint="eastAsia" w:ascii="宋体" w:hAnsi="宋体"/>
            </w:rPr>
            <w:t>及会计机构负责人（会计主管人员）</w:t>
          </w:r>
          <w:sdt>
            <w:sdtPr>
              <w:rPr>
                <w:rFonts w:ascii="宋体" w:hAnsi="宋体"/>
              </w:rPr>
              <w:alias w:val="会计机构负责人姓名"/>
              <w:tag w:val="_GBC_c6edcd184788428d9dc08d896d5d98a9"/>
              <w:id w:val="6772376"/>
              <w:lock w:val="sdtLocked"/>
              <w:placeholder>
                <w:docPart w:val="GBC22222222222222222222222222222"/>
              </w:placeholder>
              <w:text/>
            </w:sdtPr>
            <w:sdtEndPr>
              <w:rPr>
                <w:rFonts w:ascii="宋体" w:hAnsi="宋体"/>
              </w:rPr>
            </w:sdtEndPr>
            <w:sdtContent>
              <w:r>
                <w:rPr>
                  <w:rFonts w:hint="eastAsia" w:ascii="宋体" w:hAnsi="宋体"/>
                </w:rPr>
                <w:t>唐皓烨</w:t>
              </w:r>
            </w:sdtContent>
          </w:sdt>
          <w:r>
            <w:rPr>
              <w:rFonts w:hint="eastAsia" w:ascii="宋体" w:hAnsi="宋体"/>
            </w:rPr>
            <w:t>声明：保证年度报告中财务报告的真实、准确、完整。</w:t>
          </w:r>
        </w:p>
        <w:p/>
      </w:sdtContent>
    </w:sdt>
    <w:sdt>
      <w:sdtPr>
        <w:rPr>
          <w:rFonts w:ascii="Calibri" w:hAnsi="Calibri" w:cs="宋体"/>
          <w:b w:val="0"/>
          <w:bCs w:val="0"/>
          <w:kern w:val="0"/>
          <w:sz w:val="24"/>
          <w:szCs w:val="24"/>
        </w:rPr>
        <w:alias w:val="模块:经董事会审议的报告期利润分配预案或公积金转增股本预案"/>
        <w:tag w:val="_SEC_a501adcd5b1e409f9a26e2205a1217af"/>
        <w:id w:val="6772379"/>
        <w:lock w:val="sdtLocked"/>
        <w:placeholder>
          <w:docPart w:val="GBC22222222222222222222222222222"/>
        </w:placeholder>
      </w:sdtPr>
      <w:sdtEndPr>
        <w:rPr>
          <w:rFonts w:hint="eastAsia" w:ascii="宋体" w:hAnsi="宋体" w:cs="宋体"/>
          <w:b w:val="0"/>
          <w:bCs w:val="0"/>
          <w:kern w:val="0"/>
          <w:sz w:val="21"/>
          <w:szCs w:val="24"/>
          <w:shd w:val="pct10" w:color="auto" w:fill="FFFFFF"/>
        </w:rPr>
      </w:sdtEndPr>
      <w:sdtContent>
        <w:p>
          <w:pPr>
            <w:pStyle w:val="3"/>
            <w:numPr>
              <w:ilvl w:val="0"/>
              <w:numId w:val="1"/>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p>
          <w:pPr>
            <w:rPr>
              <w:szCs w:val="21"/>
              <w:shd w:val="pct10" w:color="auto" w:fill="FFFFFF"/>
            </w:rPr>
          </w:pPr>
          <w:r>
            <w:rPr>
              <w:rFonts w:hint="eastAsia"/>
              <w:color w:val="000000"/>
            </w:rPr>
            <w:t>经中审华会计师事务所（特殊普通合伙）审计确认，公司2017年度实现净利润为</w:t>
          </w:r>
          <w:r>
            <w:t>2,646,176,293.67</w:t>
          </w:r>
          <w:r>
            <w:rPr>
              <w:rFonts w:hint="eastAsia"/>
            </w:rPr>
            <w:t>元</w:t>
          </w:r>
          <w:r>
            <w:rPr>
              <w:rFonts w:hint="eastAsia"/>
              <w:color w:val="000000"/>
            </w:rPr>
            <w:t>，期末公司累计可供分配利润为</w:t>
          </w:r>
          <w:r>
            <w:t>3,189,805,250.52</w:t>
          </w:r>
          <w:r>
            <w:rPr>
              <w:rFonts w:hint="eastAsia"/>
              <w:color w:val="000000"/>
            </w:rPr>
            <w:t xml:space="preserve">元。 </w:t>
          </w:r>
          <w:r>
            <w:rPr>
              <w:color w:val="000000"/>
            </w:rPr>
            <w:t>20</w:t>
          </w:r>
          <w:r>
            <w:rPr>
              <w:rFonts w:hint="eastAsia"/>
              <w:color w:val="000000"/>
            </w:rPr>
            <w:t>17年度利润分配，以期末总股本256279.32万股为基数，每</w:t>
          </w:r>
          <w:r>
            <w:rPr>
              <w:color w:val="000000"/>
            </w:rPr>
            <w:t>10</w:t>
          </w:r>
          <w:r>
            <w:rPr>
              <w:rFonts w:hint="eastAsia"/>
              <w:color w:val="000000"/>
            </w:rPr>
            <w:t>股派发现金红利5元（含税），剩余未分配利润结转以后年度分配。本次分配不进行资本公积金转增股本。该预案尚待公司2017年年度股东大会审议批准。</w:t>
          </w:r>
        </w:p>
      </w:sdtContent>
    </w:sdt>
    <w:sdt>
      <w:sdtPr>
        <w:rPr>
          <w:rFonts w:ascii="Calibri" w:hAnsi="Calibri" w:cs="宋体"/>
          <w:b w:val="0"/>
          <w:bCs w:val="0"/>
          <w:kern w:val="0"/>
          <w:sz w:val="24"/>
          <w:szCs w:val="24"/>
        </w:rPr>
        <w:alias w:val="模块:前瞻性陈述的风险声明"/>
        <w:tag w:val="_SEC_cc0a682043544feca8d6178ae3f9b57a"/>
        <w:id w:val="6772382"/>
        <w:lock w:val="sdtLocked"/>
        <w:placeholder>
          <w:docPart w:val="GBC22222222222222222222222222222"/>
        </w:placeholder>
      </w:sdtPr>
      <w:sdtEndPr>
        <w:rPr>
          <w:rFonts w:hint="eastAsia" w:ascii="宋体" w:hAnsi="宋体" w:cs="宋体"/>
          <w:b w:val="0"/>
          <w:bCs w:val="0"/>
          <w:kern w:val="0"/>
          <w:sz w:val="21"/>
          <w:szCs w:val="24"/>
          <w:shd w:val="pct10" w:color="auto" w:fill="FFFFFF"/>
        </w:rPr>
      </w:sdtEndPr>
      <w:sdtContent>
        <w:p>
          <w:pPr>
            <w:pStyle w:val="3"/>
            <w:numPr>
              <w:ilvl w:val="0"/>
              <w:numId w:val="1"/>
            </w:numPr>
            <w:tabs>
              <w:tab w:val="left" w:pos="504"/>
            </w:tabs>
            <w:spacing w:before="0" w:after="0" w:line="360" w:lineRule="auto"/>
            <w:ind w:left="420" w:hangingChars="175"/>
          </w:pPr>
          <w:r>
            <w:t>前瞻性陈述的风险声明</w:t>
          </w:r>
        </w:p>
        <w:sdt>
          <w:sdtPr>
            <w:alias w:val="是否适用：前瞻性陈述的风险声明[双击切换]"/>
            <w:tag w:val="_GBC_5e5553f9f96e47e8b5eded9c0e6a26c0"/>
            <w:id w:val="6772380"/>
            <w:lock w:val="sdtContentLocked"/>
            <w:placeholder>
              <w:docPart w:val="GBC22222222222222222222222222222"/>
            </w:placeholder>
          </w:sdt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6772381"/>
            <w:lock w:val="sdtLocked"/>
            <w:placeholder>
              <w:docPart w:val="GBC22222222222222222222222222222"/>
            </w:placeholder>
          </w:sdtPr>
          <w:sdtEndPr>
            <w:rPr>
              <w:rFonts w:hint="eastAsia"/>
              <w:szCs w:val="21"/>
              <w:shd w:val="pct10" w:color="auto" w:fill="FFFFFF"/>
            </w:rPr>
          </w:sdtEndPr>
          <w:sdtContent>
            <w:p>
              <w:pPr>
                <w:kinsoku w:val="0"/>
                <w:overflowPunct w:val="0"/>
                <w:autoSpaceDE w:val="0"/>
                <w:autoSpaceDN w:val="0"/>
                <w:adjustRightInd w:val="0"/>
                <w:snapToGrid w:val="0"/>
                <w:spacing w:line="360" w:lineRule="exact"/>
                <w:rPr>
                  <w:szCs w:val="21"/>
                </w:rPr>
              </w:pPr>
              <w:r>
                <w:rPr>
                  <w:rFonts w:hint="eastAsia"/>
                  <w:color w:val="000000"/>
                </w:rPr>
                <w:t>本报告中所涉及的未来计划、发展战略等前瞻性描述不构成公司对投资者的实质承诺，敬请投资者注意投资风险。</w:t>
              </w:r>
            </w:p>
          </w:sdtContent>
        </w:sdt>
        <w:p>
          <w:pPr>
            <w:kinsoku w:val="0"/>
            <w:overflowPunct w:val="0"/>
            <w:autoSpaceDE w:val="0"/>
            <w:autoSpaceDN w:val="0"/>
            <w:adjustRightInd w:val="0"/>
            <w:snapToGrid w:val="0"/>
            <w:spacing w:line="360" w:lineRule="exact"/>
            <w:rPr>
              <w:szCs w:val="21"/>
              <w:shd w:val="pct10" w:color="auto" w:fill="FFFFFF"/>
            </w:rPr>
          </w:pPr>
        </w:p>
      </w:sdtContent>
    </w:sdt>
    <w:sdt>
      <w:sdtPr>
        <w:rPr>
          <w:rFonts w:hint="eastAsia" w:ascii="Calibri" w:hAnsi="Calibri" w:cs="宋体"/>
          <w:b w:val="0"/>
          <w:bCs w:val="0"/>
          <w:kern w:val="0"/>
          <w:sz w:val="24"/>
          <w:szCs w:val="24"/>
          <w:shd w:val="pct10" w:color="auto" w:fill="FFFFFF"/>
        </w:rPr>
        <w:alias w:val="模块:本公司是否存在大股东占用资金情况"/>
        <w:tag w:val="_SEC_dd7ae952183947878c4ccc9b523f2fd5"/>
        <w:id w:val="6772384"/>
        <w:lock w:val="sdtLocked"/>
        <w:placeholder>
          <w:docPart w:val="GBC22222222222222222222222222222"/>
        </w:placeholder>
      </w:sdtPr>
      <w:sdtEndPr>
        <w:rPr>
          <w:rFonts w:hint="eastAsia" w:ascii="宋体" w:hAnsi="宋体" w:cs="宋体"/>
          <w:b w:val="0"/>
          <w:bCs w:val="0"/>
          <w:kern w:val="0"/>
          <w:sz w:val="21"/>
          <w:szCs w:val="24"/>
          <w:shd w:val="clear" w:color="auto" w:fill="auto"/>
        </w:rPr>
      </w:sdtEndPr>
      <w:sdtContent>
        <w:p>
          <w:pPr>
            <w:pStyle w:val="3"/>
            <w:numPr>
              <w:ilvl w:val="0"/>
              <w:numId w:val="1"/>
            </w:numPr>
            <w:tabs>
              <w:tab w:val="left" w:pos="434"/>
              <w:tab w:val="left" w:pos="644"/>
            </w:tabs>
            <w:spacing w:before="0" w:after="0" w:line="360" w:lineRule="auto"/>
            <w:ind w:left="420" w:hangingChars="175"/>
          </w:pPr>
          <w:r>
            <w:t>是否存在被控股股东及其关联方非经营性占用资金情况</w:t>
          </w:r>
        </w:p>
        <w:sdt>
          <w:sdtPr>
            <w:rPr>
              <w:rFonts w:hint="eastAsia" w:ascii="Arial" w:hAnsi="Arial"/>
              <w:bCs/>
              <w:szCs w:val="21"/>
            </w:rPr>
            <w:alias w:val="本公司是否存在大股东占用资金情况"/>
            <w:tag w:val="_GBC_a9b8d3170fbb4d50a645223c117f8b30"/>
            <w:id w:val="6772383"/>
            <w:lock w:val="sdtLocked"/>
            <w:placeholder>
              <w:docPart w:val="GBC22222222222222222222222222222"/>
            </w:placeholder>
            <w:comboBox>
              <w:listItem w:displayText="是" w:value="true"/>
              <w:listItem w:displayText="否" w:value="false"/>
            </w:comboBox>
          </w:sdtPr>
          <w:sdtEndPr>
            <w:rPr>
              <w:rFonts w:hint="eastAsia" w:ascii="Arial" w:hAnsi="Arial"/>
              <w:bCs/>
              <w:szCs w:val="21"/>
            </w:rPr>
          </w:sdtEndPr>
          <w:sdtContent>
            <w:p>
              <w:pPr>
                <w:kinsoku w:val="0"/>
                <w:overflowPunct w:val="0"/>
                <w:autoSpaceDE w:val="0"/>
                <w:autoSpaceDN w:val="0"/>
                <w:adjustRightInd w:val="0"/>
                <w:snapToGrid w:val="0"/>
                <w:spacing w:line="360" w:lineRule="exact"/>
                <w:rPr>
                  <w:rFonts w:ascii="Arial" w:hAnsi="Arial"/>
                  <w:bCs/>
                  <w:szCs w:val="21"/>
                </w:rPr>
              </w:pPr>
              <w:r>
                <w:rPr>
                  <w:rFonts w:hint="eastAsia" w:ascii="Arial" w:hAnsi="Arial"/>
                  <w:bCs/>
                  <w:szCs w:val="21"/>
                </w:rPr>
                <w:t>否</w:t>
              </w:r>
            </w:p>
          </w:sdtContent>
        </w:sdt>
      </w:sdtContent>
    </w:sdt>
    <w:sdt>
      <w:sdtPr>
        <w:rPr>
          <w:rFonts w:ascii="Calibri" w:hAnsi="Calibri" w:cs="宋体"/>
          <w:b w:val="0"/>
          <w:bCs w:val="0"/>
          <w:kern w:val="0"/>
          <w:sz w:val="24"/>
          <w:szCs w:val="24"/>
        </w:rPr>
        <w:alias w:val="模块:本公司是否存在违反规定决策程序对外提供担保的情况"/>
        <w:tag w:val="_SEC_05a034f558514905b67eb7706c31865e"/>
        <w:id w:val="6772386"/>
        <w:lock w:val="sdtLocked"/>
        <w:placeholder>
          <w:docPart w:val="GBC22222222222222222222222222222"/>
        </w:placeholder>
      </w:sdtPr>
      <w:sdtEndPr>
        <w:rPr>
          <w:rFonts w:hint="eastAsia" w:ascii="宋体" w:hAnsi="宋体" w:cs="宋体"/>
          <w:b w:val="0"/>
          <w:bCs w:val="0"/>
          <w:kern w:val="0"/>
          <w:sz w:val="21"/>
          <w:szCs w:val="24"/>
        </w:rPr>
      </w:sdtEndPr>
      <w:sdtContent>
        <w:p>
          <w:pPr>
            <w:pStyle w:val="3"/>
            <w:numPr>
              <w:ilvl w:val="0"/>
              <w:numId w:val="1"/>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aef7ac6bbdf043bc8051c4f9fb55e5ea"/>
            <w:id w:val="6772385"/>
            <w:lock w:val="sdtLocked"/>
            <w:placeholder>
              <w:docPart w:val="GBC22222222222222222222222222222"/>
            </w:placeholder>
            <w:comboBox>
              <w:listItem w:displayText="是" w:value="true"/>
              <w:listItem w:displayText="否" w:value="false"/>
            </w:comboBox>
          </w:sdtPr>
          <w:sdtEndPr>
            <w:rPr>
              <w:rFonts w:hint="eastAsia"/>
              <w:szCs w:val="21"/>
            </w:rPr>
          </w:sdtEndPr>
          <w:sdtContent>
            <w:p>
              <w:pPr>
                <w:rPr>
                  <w:szCs w:val="21"/>
                </w:rPr>
              </w:pPr>
              <w:r>
                <w:rPr>
                  <w:rFonts w:hint="eastAsia"/>
                  <w:szCs w:val="21"/>
                </w:rPr>
                <w:t>否</w:t>
              </w:r>
            </w:p>
          </w:sdtContent>
        </w:sdt>
        <w:p>
          <w:pPr>
            <w:rPr>
              <w:szCs w:val="21"/>
            </w:rPr>
          </w:pPr>
        </w:p>
      </w:sdtContent>
    </w:sdt>
    <w:sdt>
      <w:sdtPr>
        <w:rPr>
          <w:rFonts w:ascii="宋体" w:hAnsi="宋体" w:cs="宋体"/>
          <w:b w:val="0"/>
          <w:bCs w:val="0"/>
          <w:kern w:val="0"/>
          <w:szCs w:val="24"/>
        </w:rPr>
        <w:alias w:val="模块:重大风险提示"/>
        <w:tag w:val="_SEC_9889b4a81d8e4a009c1c90b6eaff4bed"/>
        <w:id w:val="6772388"/>
        <w:lock w:val="sdtLocked"/>
        <w:placeholder>
          <w:docPart w:val="GBC22222222222222222222222222222"/>
        </w:placeholder>
      </w:sdtPr>
      <w:sdtEndPr>
        <w:rPr>
          <w:rFonts w:ascii="宋体" w:hAnsi="宋体" w:cs="宋体"/>
          <w:b w:val="0"/>
          <w:bCs w:val="0"/>
          <w:kern w:val="0"/>
          <w:szCs w:val="24"/>
        </w:rPr>
      </w:sdtEndPr>
      <w:sdtContent>
        <w:p>
          <w:pPr>
            <w:pStyle w:val="3"/>
            <w:numPr>
              <w:ilvl w:val="0"/>
              <w:numId w:val="1"/>
            </w:numPr>
            <w:tabs>
              <w:tab w:val="left" w:pos="644"/>
            </w:tabs>
            <w:spacing w:before="0" w:after="0" w:line="360" w:lineRule="auto"/>
            <w:ind w:left="368" w:hanging="367" w:hangingChars="175"/>
          </w:pPr>
          <w:r>
            <w:rPr>
              <w:rFonts w:hint="eastAsia"/>
            </w:rPr>
            <w:t>重大风险提示</w:t>
          </w:r>
        </w:p>
        <w:p>
          <w:sdt>
            <w:sdtPr>
              <w:alias w:val="重大风险提示"/>
              <w:tag w:val="_GBC_43a6b8847e0241f1af5326af848c7cec"/>
              <w:id w:val="6772387"/>
              <w:lock w:val="sd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r>
            <w:rPr>
              <w:rFonts w:hint="eastAsia"/>
              <w:color w:val="000000" w:themeColor="text1"/>
            </w:rPr>
            <w:t>本报告已描述公司可能面临的风险，请查阅“第四节</w:t>
          </w:r>
          <w:r>
            <w:rPr>
              <w:color w:val="000000" w:themeColor="text1"/>
            </w:rPr>
            <w:t xml:space="preserve"> 经营情况讨论与分析”之“三、公司关于公</w:t>
          </w:r>
          <w:r>
            <w:rPr>
              <w:rFonts w:hint="eastAsia"/>
              <w:color w:val="000000" w:themeColor="text1"/>
            </w:rPr>
            <w:t>司未来发展的讨论与分析”中“（四）可能面对的风险”。</w:t>
          </w:r>
        </w:p>
      </w:sdtContent>
    </w:sdt>
    <w:sdt>
      <w:sdtPr>
        <w:rPr>
          <w:rFonts w:ascii="宋体" w:hAnsi="宋体" w:cs="宋体"/>
          <w:b w:val="0"/>
          <w:bCs w:val="0"/>
          <w:kern w:val="0"/>
          <w:sz w:val="24"/>
          <w:szCs w:val="24"/>
        </w:rPr>
        <w:alias w:val="模块:重要提示的其他情况说明"/>
        <w:tag w:val="_SEC_e9484471c6da4ac39a115f2e22fdac24"/>
        <w:id w:val="6772390"/>
        <w:lock w:val="sdtLocked"/>
        <w:placeholder>
          <w:docPart w:val="GBC22222222222222222222222222222"/>
        </w:placeholder>
      </w:sdtPr>
      <w:sdtEndPr>
        <w:rPr>
          <w:rFonts w:ascii="宋体" w:hAnsi="宋体" w:cs="宋体"/>
          <w:b w:val="0"/>
          <w:bCs w:val="0"/>
          <w:kern w:val="0"/>
          <w:sz w:val="21"/>
          <w:szCs w:val="24"/>
        </w:rPr>
      </w:sdtEndPr>
      <w:sdtContent>
        <w:p>
          <w:pPr>
            <w:pStyle w:val="3"/>
            <w:numPr>
              <w:ilvl w:val="0"/>
              <w:numId w:val="1"/>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0eafa210a73340628544c13dacbc7643"/>
            <w:id w:val="6772389"/>
            <w:lock w:val="sdtLocked"/>
            <w:placeholder>
              <w:docPart w:val="GBC22222222222222222222222222222"/>
            </w:placeholder>
          </w:sdtPr>
          <w:sdtContent>
            <w:p>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p>
      <w:pPr>
        <w:rPr>
          <w:szCs w:val="21"/>
        </w:rPr>
      </w:pPr>
    </w:p>
    <w:p>
      <w:pPr>
        <w:spacing w:line="480" w:lineRule="auto"/>
        <w:jc w:val="center"/>
        <w:rPr>
          <w:b/>
          <w:sz w:val="28"/>
          <w:szCs w:val="28"/>
        </w:rPr>
      </w:pPr>
      <w:r>
        <w:rPr>
          <w:rFonts w:hint="eastAsia"/>
          <w:b/>
          <w:sz w:val="28"/>
          <w:szCs w:val="28"/>
        </w:rPr>
        <w:t>目录</w:t>
      </w:r>
    </w:p>
    <w:p>
      <w:pPr>
        <w:pStyle w:val="28"/>
        <w:rPr>
          <w:rFonts w:asciiTheme="minorHAnsi" w:hAnsiTheme="minorHAnsi" w:eastAsiaTheme="minorEastAsia" w:cstheme="minorBidi"/>
          <w:b/>
          <w:szCs w:val="22"/>
        </w:rPr>
      </w:pPr>
      <w:r>
        <w:fldChar w:fldCharType="begin"/>
      </w:r>
      <w:r>
        <w:instrText xml:space="preserve"> TOC \o "1-1" \h \z \u </w:instrText>
      </w:r>
      <w:r>
        <w:fldChar w:fldCharType="separate"/>
      </w:r>
      <w:r>
        <w:fldChar w:fldCharType="begin"/>
      </w:r>
      <w:r>
        <w:instrText xml:space="preserve"> HYPERLINK \l "_Toc469563075" </w:instrText>
      </w:r>
      <w:r>
        <w:fldChar w:fldCharType="separate"/>
      </w:r>
      <w:r>
        <w:rPr>
          <w:rStyle w:val="38"/>
          <w:rFonts w:hint="eastAsia"/>
          <w:b/>
        </w:rPr>
        <w:t>第一节</w:t>
      </w:r>
      <w:r>
        <w:rPr>
          <w:rFonts w:asciiTheme="minorHAnsi" w:hAnsiTheme="minorHAnsi" w:eastAsiaTheme="minorEastAsia" w:cstheme="minorBidi"/>
          <w:b/>
          <w:szCs w:val="22"/>
        </w:rPr>
        <w:tab/>
      </w:r>
      <w:r>
        <w:rPr>
          <w:rStyle w:val="38"/>
          <w:rFonts w:hint="eastAsia"/>
          <w:b/>
        </w:rPr>
        <w:t>释义</w:t>
      </w:r>
      <w:r>
        <w:rPr>
          <w:b/>
        </w:rPr>
        <w:tab/>
      </w:r>
      <w:r>
        <w:rPr>
          <w:b/>
        </w:rPr>
        <w:fldChar w:fldCharType="begin"/>
      </w:r>
      <w:r>
        <w:rPr>
          <w:b/>
        </w:rPr>
        <w:instrText xml:space="preserve"> PAGEREF _Toc469563075 \h </w:instrText>
      </w:r>
      <w:r>
        <w:rPr>
          <w:b/>
        </w:rPr>
        <w:fldChar w:fldCharType="separate"/>
      </w:r>
      <w:r>
        <w:rPr>
          <w:b/>
        </w:rPr>
        <w:t>3</w:t>
      </w:r>
      <w:r>
        <w:rPr>
          <w:b/>
        </w:rPr>
        <w:fldChar w:fldCharType="end"/>
      </w:r>
      <w:r>
        <w:rPr>
          <w:b/>
        </w:rPr>
        <w:fldChar w:fldCharType="end"/>
      </w:r>
    </w:p>
    <w:p>
      <w:pPr>
        <w:pStyle w:val="28"/>
        <w:rPr>
          <w:rFonts w:asciiTheme="minorHAnsi" w:hAnsiTheme="minorHAnsi" w:eastAsiaTheme="minorEastAsia" w:cstheme="minorBidi"/>
          <w:b/>
          <w:szCs w:val="22"/>
        </w:rPr>
      </w:pPr>
      <w:r>
        <w:fldChar w:fldCharType="begin"/>
      </w:r>
      <w:r>
        <w:instrText xml:space="preserve"> HYPERLINK \l "_Toc469563076" </w:instrText>
      </w:r>
      <w:r>
        <w:fldChar w:fldCharType="separate"/>
      </w:r>
      <w:r>
        <w:rPr>
          <w:rStyle w:val="38"/>
          <w:rFonts w:hint="eastAsia"/>
          <w:b/>
        </w:rPr>
        <w:t>第二节</w:t>
      </w:r>
      <w:r>
        <w:rPr>
          <w:rFonts w:asciiTheme="minorHAnsi" w:hAnsiTheme="minorHAnsi" w:eastAsiaTheme="minorEastAsia" w:cstheme="minorBidi"/>
          <w:b/>
          <w:szCs w:val="22"/>
        </w:rPr>
        <w:tab/>
      </w:r>
      <w:r>
        <w:rPr>
          <w:rStyle w:val="38"/>
          <w:rFonts w:hint="eastAsia"/>
          <w:b/>
        </w:rPr>
        <w:t>公司简介和主要财务指标</w:t>
      </w:r>
      <w:r>
        <w:rPr>
          <w:b/>
        </w:rPr>
        <w:tab/>
      </w:r>
      <w:r>
        <w:rPr>
          <w:b/>
        </w:rPr>
        <w:fldChar w:fldCharType="begin"/>
      </w:r>
      <w:r>
        <w:rPr>
          <w:b/>
        </w:rPr>
        <w:instrText xml:space="preserve"> PAGEREF _Toc469563076 \h </w:instrText>
      </w:r>
      <w:r>
        <w:rPr>
          <w:b/>
        </w:rPr>
        <w:fldChar w:fldCharType="separate"/>
      </w:r>
      <w:r>
        <w:rPr>
          <w:b/>
        </w:rPr>
        <w:t>3</w:t>
      </w:r>
      <w:r>
        <w:rPr>
          <w:b/>
        </w:rPr>
        <w:fldChar w:fldCharType="end"/>
      </w:r>
      <w:r>
        <w:rPr>
          <w:b/>
        </w:rPr>
        <w:fldChar w:fldCharType="end"/>
      </w:r>
    </w:p>
    <w:p>
      <w:pPr>
        <w:pStyle w:val="28"/>
        <w:rPr>
          <w:rFonts w:asciiTheme="minorHAnsi" w:hAnsiTheme="minorHAnsi" w:eastAsiaTheme="minorEastAsia" w:cstheme="minorBidi"/>
          <w:b/>
          <w:szCs w:val="22"/>
        </w:rPr>
      </w:pPr>
      <w:r>
        <w:fldChar w:fldCharType="begin"/>
      </w:r>
      <w:r>
        <w:instrText xml:space="preserve"> HYPERLINK \l "_Toc469563077" </w:instrText>
      </w:r>
      <w:r>
        <w:fldChar w:fldCharType="separate"/>
      </w:r>
      <w:r>
        <w:rPr>
          <w:rStyle w:val="38"/>
          <w:rFonts w:hint="eastAsia"/>
          <w:b/>
        </w:rPr>
        <w:t>第三节</w:t>
      </w:r>
      <w:r>
        <w:rPr>
          <w:rFonts w:asciiTheme="minorHAnsi" w:hAnsiTheme="minorHAnsi" w:eastAsiaTheme="minorEastAsia" w:cstheme="minorBidi"/>
          <w:b/>
          <w:szCs w:val="22"/>
        </w:rPr>
        <w:tab/>
      </w:r>
      <w:r>
        <w:rPr>
          <w:rStyle w:val="38"/>
          <w:rFonts w:hint="eastAsia"/>
          <w:b/>
        </w:rPr>
        <w:t>公司业务概要</w:t>
      </w:r>
      <w:r>
        <w:rPr>
          <w:b/>
        </w:rPr>
        <w:tab/>
      </w:r>
      <w:r>
        <w:rPr>
          <w:b/>
        </w:rPr>
        <w:fldChar w:fldCharType="begin"/>
      </w:r>
      <w:r>
        <w:rPr>
          <w:b/>
        </w:rPr>
        <w:instrText xml:space="preserve"> PAGEREF _Toc469563077 \h </w:instrText>
      </w:r>
      <w:r>
        <w:rPr>
          <w:b/>
        </w:rPr>
        <w:fldChar w:fldCharType="separate"/>
      </w:r>
      <w:r>
        <w:rPr>
          <w:b/>
        </w:rPr>
        <w:t>6</w:t>
      </w:r>
      <w:r>
        <w:rPr>
          <w:b/>
        </w:rPr>
        <w:fldChar w:fldCharType="end"/>
      </w:r>
      <w:r>
        <w:rPr>
          <w:b/>
        </w:rPr>
        <w:fldChar w:fldCharType="end"/>
      </w:r>
    </w:p>
    <w:p>
      <w:pPr>
        <w:pStyle w:val="28"/>
        <w:rPr>
          <w:rFonts w:asciiTheme="minorHAnsi" w:hAnsiTheme="minorHAnsi" w:eastAsiaTheme="minorEastAsia" w:cstheme="minorBidi"/>
          <w:b/>
          <w:szCs w:val="22"/>
        </w:rPr>
      </w:pPr>
      <w:r>
        <w:fldChar w:fldCharType="begin"/>
      </w:r>
      <w:r>
        <w:instrText xml:space="preserve"> HYPERLINK \l "_Toc469563078" </w:instrText>
      </w:r>
      <w:r>
        <w:fldChar w:fldCharType="separate"/>
      </w:r>
      <w:r>
        <w:rPr>
          <w:rStyle w:val="38"/>
          <w:rFonts w:hint="eastAsia"/>
          <w:b/>
        </w:rPr>
        <w:t>第四节</w:t>
      </w:r>
      <w:r>
        <w:rPr>
          <w:rFonts w:asciiTheme="minorHAnsi" w:hAnsiTheme="minorHAnsi" w:eastAsiaTheme="minorEastAsia" w:cstheme="minorBidi"/>
          <w:b/>
          <w:szCs w:val="22"/>
        </w:rPr>
        <w:tab/>
      </w:r>
      <w:r>
        <w:rPr>
          <w:rStyle w:val="38"/>
          <w:rFonts w:hint="eastAsia"/>
          <w:b/>
        </w:rPr>
        <w:t>经营情况讨论与分析</w:t>
      </w:r>
      <w:r>
        <w:rPr>
          <w:b/>
        </w:rPr>
        <w:tab/>
      </w:r>
      <w:r>
        <w:rPr>
          <w:b/>
        </w:rPr>
        <w:fldChar w:fldCharType="begin"/>
      </w:r>
      <w:r>
        <w:rPr>
          <w:b/>
        </w:rPr>
        <w:instrText xml:space="preserve"> PAGEREF _Toc469563078 \h </w:instrText>
      </w:r>
      <w:r>
        <w:rPr>
          <w:b/>
        </w:rPr>
        <w:fldChar w:fldCharType="separate"/>
      </w:r>
      <w:r>
        <w:rPr>
          <w:b/>
        </w:rPr>
        <w:t>8</w:t>
      </w:r>
      <w:r>
        <w:rPr>
          <w:b/>
        </w:rPr>
        <w:fldChar w:fldCharType="end"/>
      </w:r>
      <w:r>
        <w:rPr>
          <w:b/>
        </w:rPr>
        <w:fldChar w:fldCharType="end"/>
      </w:r>
    </w:p>
    <w:p>
      <w:pPr>
        <w:pStyle w:val="28"/>
        <w:rPr>
          <w:rFonts w:asciiTheme="minorHAnsi" w:hAnsiTheme="minorHAnsi" w:eastAsiaTheme="minorEastAsia" w:cstheme="minorBidi"/>
          <w:b/>
          <w:szCs w:val="22"/>
        </w:rPr>
      </w:pPr>
      <w:r>
        <w:fldChar w:fldCharType="begin"/>
      </w:r>
      <w:r>
        <w:instrText xml:space="preserve"> HYPERLINK \l "_Toc469563079" </w:instrText>
      </w:r>
      <w:r>
        <w:fldChar w:fldCharType="separate"/>
      </w:r>
      <w:r>
        <w:rPr>
          <w:rStyle w:val="38"/>
          <w:rFonts w:hint="eastAsia"/>
          <w:b/>
        </w:rPr>
        <w:t>第五节</w:t>
      </w:r>
      <w:r>
        <w:rPr>
          <w:rFonts w:asciiTheme="minorHAnsi" w:hAnsiTheme="minorHAnsi" w:eastAsiaTheme="minorEastAsia" w:cstheme="minorBidi"/>
          <w:b/>
          <w:szCs w:val="22"/>
        </w:rPr>
        <w:tab/>
      </w:r>
      <w:r>
        <w:rPr>
          <w:rStyle w:val="38"/>
          <w:rFonts w:hint="eastAsia"/>
          <w:b/>
        </w:rPr>
        <w:t>重要事项</w:t>
      </w:r>
      <w:r>
        <w:rPr>
          <w:b/>
        </w:rPr>
        <w:tab/>
      </w:r>
      <w:r>
        <w:rPr>
          <w:b/>
        </w:rPr>
        <w:fldChar w:fldCharType="begin"/>
      </w:r>
      <w:r>
        <w:rPr>
          <w:b/>
        </w:rPr>
        <w:instrText xml:space="preserve"> PAGEREF _Toc469563079 \h </w:instrText>
      </w:r>
      <w:r>
        <w:rPr>
          <w:b/>
        </w:rPr>
        <w:fldChar w:fldCharType="separate"/>
      </w:r>
      <w:r>
        <w:rPr>
          <w:b/>
        </w:rPr>
        <w:t>20</w:t>
      </w:r>
      <w:r>
        <w:rPr>
          <w:b/>
        </w:rPr>
        <w:fldChar w:fldCharType="end"/>
      </w:r>
      <w:r>
        <w:rPr>
          <w:b/>
        </w:rPr>
        <w:fldChar w:fldCharType="end"/>
      </w:r>
    </w:p>
    <w:p>
      <w:pPr>
        <w:pStyle w:val="28"/>
        <w:rPr>
          <w:rFonts w:asciiTheme="minorHAnsi" w:hAnsiTheme="minorHAnsi" w:eastAsiaTheme="minorEastAsia" w:cstheme="minorBidi"/>
          <w:b/>
          <w:szCs w:val="22"/>
        </w:rPr>
      </w:pPr>
      <w:r>
        <w:fldChar w:fldCharType="begin"/>
      </w:r>
      <w:r>
        <w:instrText xml:space="preserve"> HYPERLINK \l "_Toc469563080" </w:instrText>
      </w:r>
      <w:r>
        <w:fldChar w:fldCharType="separate"/>
      </w:r>
      <w:r>
        <w:rPr>
          <w:rStyle w:val="38"/>
          <w:rFonts w:hint="eastAsia"/>
          <w:b/>
        </w:rPr>
        <w:t>第六节</w:t>
      </w:r>
      <w:r>
        <w:rPr>
          <w:rFonts w:asciiTheme="minorHAnsi" w:hAnsiTheme="minorHAnsi" w:eastAsiaTheme="minorEastAsia" w:cstheme="minorBidi"/>
          <w:b/>
          <w:szCs w:val="22"/>
        </w:rPr>
        <w:tab/>
      </w:r>
      <w:r>
        <w:rPr>
          <w:rStyle w:val="38"/>
          <w:rFonts w:hint="eastAsia"/>
          <w:b/>
        </w:rPr>
        <w:t>普通股股份变动及股东情况</w:t>
      </w:r>
      <w:r>
        <w:rPr>
          <w:b/>
        </w:rPr>
        <w:tab/>
      </w:r>
      <w:r>
        <w:rPr>
          <w:b/>
        </w:rPr>
        <w:fldChar w:fldCharType="begin"/>
      </w:r>
      <w:r>
        <w:rPr>
          <w:b/>
        </w:rPr>
        <w:instrText xml:space="preserve"> PAGEREF _Toc469563080 \h </w:instrText>
      </w:r>
      <w:r>
        <w:rPr>
          <w:b/>
        </w:rPr>
        <w:fldChar w:fldCharType="separate"/>
      </w:r>
      <w:r>
        <w:rPr>
          <w:b/>
        </w:rPr>
        <w:t>31</w:t>
      </w:r>
      <w:r>
        <w:rPr>
          <w:b/>
        </w:rPr>
        <w:fldChar w:fldCharType="end"/>
      </w:r>
      <w:r>
        <w:rPr>
          <w:b/>
        </w:rPr>
        <w:fldChar w:fldCharType="end"/>
      </w:r>
    </w:p>
    <w:p>
      <w:pPr>
        <w:pStyle w:val="28"/>
        <w:rPr>
          <w:rFonts w:asciiTheme="minorHAnsi" w:hAnsiTheme="minorHAnsi" w:eastAsiaTheme="minorEastAsia" w:cstheme="minorBidi"/>
          <w:b/>
          <w:szCs w:val="22"/>
        </w:rPr>
      </w:pPr>
      <w:r>
        <w:fldChar w:fldCharType="begin"/>
      </w:r>
      <w:r>
        <w:instrText xml:space="preserve"> HYPERLINK \l "_Toc469563081" </w:instrText>
      </w:r>
      <w:r>
        <w:fldChar w:fldCharType="separate"/>
      </w:r>
      <w:r>
        <w:rPr>
          <w:rStyle w:val="38"/>
          <w:rFonts w:hint="eastAsia"/>
          <w:b/>
        </w:rPr>
        <w:t>第七节</w:t>
      </w:r>
      <w:r>
        <w:rPr>
          <w:rFonts w:asciiTheme="minorHAnsi" w:hAnsiTheme="minorHAnsi" w:eastAsiaTheme="minorEastAsia" w:cstheme="minorBidi"/>
          <w:b/>
          <w:szCs w:val="22"/>
        </w:rPr>
        <w:tab/>
      </w:r>
      <w:r>
        <w:rPr>
          <w:rStyle w:val="38"/>
          <w:rFonts w:hint="eastAsia"/>
          <w:b/>
        </w:rPr>
        <w:t>优先股相关情况</w:t>
      </w:r>
      <w:r>
        <w:rPr>
          <w:b/>
        </w:rPr>
        <w:tab/>
      </w:r>
      <w:r>
        <w:rPr>
          <w:b/>
        </w:rPr>
        <w:fldChar w:fldCharType="begin"/>
      </w:r>
      <w:r>
        <w:rPr>
          <w:b/>
        </w:rPr>
        <w:instrText xml:space="preserve"> PAGEREF _Toc469563081 \h </w:instrText>
      </w:r>
      <w:r>
        <w:rPr>
          <w:b/>
        </w:rPr>
        <w:fldChar w:fldCharType="separate"/>
      </w:r>
      <w:r>
        <w:rPr>
          <w:b/>
        </w:rPr>
        <w:t>34</w:t>
      </w:r>
      <w:r>
        <w:rPr>
          <w:b/>
        </w:rPr>
        <w:fldChar w:fldCharType="end"/>
      </w:r>
      <w:r>
        <w:rPr>
          <w:b/>
        </w:rPr>
        <w:fldChar w:fldCharType="end"/>
      </w:r>
    </w:p>
    <w:p>
      <w:pPr>
        <w:pStyle w:val="28"/>
        <w:rPr>
          <w:rFonts w:asciiTheme="minorHAnsi" w:hAnsiTheme="minorHAnsi" w:eastAsiaTheme="minorEastAsia" w:cstheme="minorBidi"/>
          <w:b/>
          <w:szCs w:val="22"/>
        </w:rPr>
      </w:pPr>
      <w:r>
        <w:fldChar w:fldCharType="begin"/>
      </w:r>
      <w:r>
        <w:instrText xml:space="preserve"> HYPERLINK \l "_Toc469563082" </w:instrText>
      </w:r>
      <w:r>
        <w:fldChar w:fldCharType="separate"/>
      </w:r>
      <w:r>
        <w:rPr>
          <w:rStyle w:val="38"/>
          <w:rFonts w:hint="eastAsia"/>
          <w:b/>
        </w:rPr>
        <w:t>第八节</w:t>
      </w:r>
      <w:r>
        <w:rPr>
          <w:rFonts w:asciiTheme="minorHAnsi" w:hAnsiTheme="minorHAnsi" w:eastAsiaTheme="minorEastAsia" w:cstheme="minorBidi"/>
          <w:b/>
          <w:szCs w:val="22"/>
        </w:rPr>
        <w:tab/>
      </w:r>
      <w:r>
        <w:rPr>
          <w:rStyle w:val="38"/>
          <w:rFonts w:hint="eastAsia"/>
          <w:b/>
        </w:rPr>
        <w:t>董事、监事、高级管理人员和员工情况</w:t>
      </w:r>
      <w:r>
        <w:rPr>
          <w:b/>
        </w:rPr>
        <w:tab/>
      </w:r>
      <w:r>
        <w:rPr>
          <w:b/>
        </w:rPr>
        <w:fldChar w:fldCharType="begin"/>
      </w:r>
      <w:r>
        <w:rPr>
          <w:b/>
        </w:rPr>
        <w:instrText xml:space="preserve"> PAGEREF _Toc469563082 \h </w:instrText>
      </w:r>
      <w:r>
        <w:rPr>
          <w:b/>
        </w:rPr>
        <w:fldChar w:fldCharType="separate"/>
      </w:r>
      <w:r>
        <w:rPr>
          <w:b/>
        </w:rPr>
        <w:t>35</w:t>
      </w:r>
      <w:r>
        <w:rPr>
          <w:b/>
        </w:rPr>
        <w:fldChar w:fldCharType="end"/>
      </w:r>
      <w:r>
        <w:rPr>
          <w:b/>
        </w:rPr>
        <w:fldChar w:fldCharType="end"/>
      </w:r>
    </w:p>
    <w:p>
      <w:pPr>
        <w:pStyle w:val="28"/>
        <w:rPr>
          <w:rFonts w:asciiTheme="minorHAnsi" w:hAnsiTheme="minorHAnsi" w:eastAsiaTheme="minorEastAsia" w:cstheme="minorBidi"/>
          <w:b/>
          <w:szCs w:val="22"/>
        </w:rPr>
      </w:pPr>
      <w:r>
        <w:fldChar w:fldCharType="begin"/>
      </w:r>
      <w:r>
        <w:instrText xml:space="preserve"> HYPERLINK \l "_Toc469563083" </w:instrText>
      </w:r>
      <w:r>
        <w:fldChar w:fldCharType="separate"/>
      </w:r>
      <w:r>
        <w:rPr>
          <w:rStyle w:val="38"/>
          <w:rFonts w:hint="eastAsia"/>
          <w:b/>
        </w:rPr>
        <w:t>第九节</w:t>
      </w:r>
      <w:r>
        <w:rPr>
          <w:rFonts w:asciiTheme="minorHAnsi" w:hAnsiTheme="minorHAnsi" w:eastAsiaTheme="minorEastAsia" w:cstheme="minorBidi"/>
          <w:b/>
          <w:szCs w:val="22"/>
        </w:rPr>
        <w:tab/>
      </w:r>
      <w:r>
        <w:rPr>
          <w:rStyle w:val="38"/>
          <w:rFonts w:hint="eastAsia"/>
          <w:b/>
        </w:rPr>
        <w:t>公司治理</w:t>
      </w:r>
      <w:r>
        <w:rPr>
          <w:b/>
        </w:rPr>
        <w:tab/>
      </w:r>
      <w:r>
        <w:rPr>
          <w:b/>
        </w:rPr>
        <w:fldChar w:fldCharType="begin"/>
      </w:r>
      <w:r>
        <w:rPr>
          <w:b/>
        </w:rPr>
        <w:instrText xml:space="preserve"> PAGEREF _Toc469563083 \h </w:instrText>
      </w:r>
      <w:r>
        <w:rPr>
          <w:b/>
        </w:rPr>
        <w:fldChar w:fldCharType="separate"/>
      </w:r>
      <w:r>
        <w:rPr>
          <w:b/>
        </w:rPr>
        <w:t>41</w:t>
      </w:r>
      <w:r>
        <w:rPr>
          <w:b/>
        </w:rPr>
        <w:fldChar w:fldCharType="end"/>
      </w:r>
      <w:r>
        <w:rPr>
          <w:b/>
        </w:rPr>
        <w:fldChar w:fldCharType="end"/>
      </w:r>
    </w:p>
    <w:p>
      <w:pPr>
        <w:pStyle w:val="28"/>
        <w:rPr>
          <w:rFonts w:asciiTheme="minorHAnsi" w:hAnsiTheme="minorHAnsi" w:eastAsiaTheme="minorEastAsia" w:cstheme="minorBidi"/>
          <w:b/>
          <w:szCs w:val="22"/>
        </w:rPr>
      </w:pPr>
      <w:r>
        <w:fldChar w:fldCharType="begin"/>
      </w:r>
      <w:r>
        <w:instrText xml:space="preserve"> HYPERLINK \l "_Toc469563084" </w:instrText>
      </w:r>
      <w:r>
        <w:fldChar w:fldCharType="separate"/>
      </w:r>
      <w:r>
        <w:rPr>
          <w:rStyle w:val="38"/>
          <w:rFonts w:hint="eastAsia"/>
          <w:b/>
        </w:rPr>
        <w:t>第十节</w:t>
      </w:r>
      <w:r>
        <w:rPr>
          <w:rFonts w:asciiTheme="minorHAnsi" w:hAnsiTheme="minorHAnsi" w:eastAsiaTheme="minorEastAsia" w:cstheme="minorBidi"/>
          <w:b/>
          <w:szCs w:val="22"/>
        </w:rPr>
        <w:tab/>
      </w:r>
      <w:r>
        <w:rPr>
          <w:rStyle w:val="38"/>
          <w:rFonts w:hint="eastAsia"/>
          <w:b/>
        </w:rPr>
        <w:t>公司债券相关情况</w:t>
      </w:r>
      <w:r>
        <w:rPr>
          <w:b/>
        </w:rPr>
        <w:tab/>
      </w:r>
      <w:r>
        <w:rPr>
          <w:b/>
        </w:rPr>
        <w:fldChar w:fldCharType="begin"/>
      </w:r>
      <w:r>
        <w:rPr>
          <w:b/>
        </w:rPr>
        <w:instrText xml:space="preserve"> PAGEREF _Toc469563084 \h </w:instrText>
      </w:r>
      <w:r>
        <w:rPr>
          <w:b/>
        </w:rPr>
        <w:fldChar w:fldCharType="separate"/>
      </w:r>
      <w:r>
        <w:rPr>
          <w:b/>
        </w:rPr>
        <w:t>44</w:t>
      </w:r>
      <w:r>
        <w:rPr>
          <w:b/>
        </w:rPr>
        <w:fldChar w:fldCharType="end"/>
      </w:r>
      <w:r>
        <w:rPr>
          <w:b/>
        </w:rPr>
        <w:fldChar w:fldCharType="end"/>
      </w:r>
    </w:p>
    <w:p>
      <w:pPr>
        <w:pStyle w:val="28"/>
        <w:rPr>
          <w:rFonts w:asciiTheme="minorHAnsi" w:hAnsiTheme="minorHAnsi" w:eastAsiaTheme="minorEastAsia" w:cstheme="minorBidi"/>
          <w:b/>
          <w:szCs w:val="22"/>
        </w:rPr>
      </w:pPr>
      <w:r>
        <w:fldChar w:fldCharType="begin"/>
      </w:r>
      <w:r>
        <w:instrText xml:space="preserve"> HYPERLINK \l "_Toc469563085" </w:instrText>
      </w:r>
      <w:r>
        <w:fldChar w:fldCharType="separate"/>
      </w:r>
      <w:r>
        <w:rPr>
          <w:rStyle w:val="38"/>
          <w:rFonts w:hint="eastAsia" w:ascii="宋体" w:hAnsi="宋体"/>
          <w:b/>
        </w:rPr>
        <w:t>第十一节</w:t>
      </w:r>
      <w:r>
        <w:rPr>
          <w:rFonts w:asciiTheme="minorHAnsi" w:hAnsiTheme="minorHAnsi" w:eastAsiaTheme="minorEastAsia" w:cstheme="minorBidi"/>
          <w:b/>
          <w:szCs w:val="22"/>
        </w:rPr>
        <w:tab/>
      </w:r>
      <w:r>
        <w:rPr>
          <w:rStyle w:val="38"/>
          <w:rFonts w:hint="eastAsia" w:ascii="宋体" w:hAnsi="宋体"/>
          <w:b/>
        </w:rPr>
        <w:t>财务报告</w:t>
      </w:r>
      <w:r>
        <w:rPr>
          <w:b/>
        </w:rPr>
        <w:tab/>
      </w:r>
      <w:r>
        <w:rPr>
          <w:b/>
        </w:rPr>
        <w:fldChar w:fldCharType="begin"/>
      </w:r>
      <w:r>
        <w:rPr>
          <w:b/>
        </w:rPr>
        <w:instrText xml:space="preserve"> PAGEREF _Toc469563085 \h </w:instrText>
      </w:r>
      <w:r>
        <w:rPr>
          <w:b/>
        </w:rPr>
        <w:fldChar w:fldCharType="separate"/>
      </w:r>
      <w:r>
        <w:rPr>
          <w:b/>
        </w:rPr>
        <w:t>47</w:t>
      </w:r>
      <w:r>
        <w:rPr>
          <w:b/>
        </w:rPr>
        <w:fldChar w:fldCharType="end"/>
      </w:r>
      <w:r>
        <w:rPr>
          <w:b/>
        </w:rPr>
        <w:fldChar w:fldCharType="end"/>
      </w:r>
    </w:p>
    <w:p>
      <w:pPr>
        <w:pStyle w:val="28"/>
        <w:rPr>
          <w:rFonts w:asciiTheme="minorHAnsi" w:hAnsiTheme="minorHAnsi" w:eastAsiaTheme="minorEastAsia" w:cstheme="minorBidi"/>
          <w:szCs w:val="22"/>
        </w:rPr>
      </w:pPr>
      <w:r>
        <w:fldChar w:fldCharType="begin"/>
      </w:r>
      <w:r>
        <w:instrText xml:space="preserve"> HYPERLINK \l "_Toc469563086" </w:instrText>
      </w:r>
      <w:r>
        <w:fldChar w:fldCharType="separate"/>
      </w:r>
      <w:r>
        <w:rPr>
          <w:rStyle w:val="38"/>
          <w:rFonts w:hint="eastAsia" w:ascii="宋体" w:hAnsi="宋体"/>
          <w:b/>
        </w:rPr>
        <w:t>第十二节</w:t>
      </w:r>
      <w:r>
        <w:rPr>
          <w:rFonts w:asciiTheme="minorHAnsi" w:hAnsiTheme="minorHAnsi" w:eastAsiaTheme="minorEastAsia" w:cstheme="minorBidi"/>
          <w:b/>
          <w:szCs w:val="22"/>
        </w:rPr>
        <w:tab/>
      </w:r>
      <w:r>
        <w:rPr>
          <w:rStyle w:val="38"/>
          <w:rFonts w:hint="eastAsia" w:ascii="宋体" w:hAnsi="宋体"/>
          <w:b/>
        </w:rPr>
        <w:t>备查文件目录</w:t>
      </w:r>
      <w:r>
        <w:rPr>
          <w:b/>
        </w:rPr>
        <w:tab/>
      </w:r>
      <w:r>
        <w:rPr>
          <w:b/>
        </w:rPr>
        <w:fldChar w:fldCharType="begin"/>
      </w:r>
      <w:r>
        <w:rPr>
          <w:b/>
        </w:rPr>
        <w:instrText xml:space="preserve"> PAGEREF _Toc469563086 \h </w:instrText>
      </w:r>
      <w:r>
        <w:rPr>
          <w:b/>
        </w:rPr>
        <w:fldChar w:fldCharType="separate"/>
      </w:r>
      <w:r>
        <w:rPr>
          <w:b/>
        </w:rPr>
        <w:t>124</w:t>
      </w:r>
      <w:r>
        <w:rPr>
          <w:b/>
        </w:rPr>
        <w:fldChar w:fldCharType="end"/>
      </w:r>
      <w:r>
        <w:rPr>
          <w:b/>
        </w:rPr>
        <w:fldChar w:fldCharType="end"/>
      </w:r>
    </w:p>
    <w:p>
      <w:pPr>
        <w:sectPr>
          <w:headerReference r:id="rId3" w:type="default"/>
          <w:footerReference r:id="rId4" w:type="default"/>
          <w:pgSz w:w="11906" w:h="16838"/>
          <w:pgMar w:top="1525" w:right="1276" w:bottom="1440" w:left="1797" w:header="855" w:footer="992" w:gutter="0"/>
          <w:cols w:space="425" w:num="1"/>
          <w:docGrid w:linePitch="312" w:charSpace="0"/>
        </w:sectPr>
      </w:pPr>
      <w:r>
        <w:fldChar w:fldCharType="end"/>
      </w:r>
    </w:p>
    <w:p>
      <w:pPr>
        <w:rPr>
          <w:szCs w:val="21"/>
        </w:rPr>
      </w:pPr>
    </w:p>
    <w:p>
      <w:pPr>
        <w:pStyle w:val="2"/>
        <w:numPr>
          <w:ilvl w:val="0"/>
          <w:numId w:val="2"/>
        </w:numPr>
      </w:pPr>
      <w:bookmarkStart w:id="1" w:name="_Toc437440708"/>
      <w:bookmarkStart w:id="2" w:name="_Toc407111354"/>
      <w:bookmarkStart w:id="3" w:name="_Toc469563075"/>
      <w:bookmarkStart w:id="4" w:name="_Toc436392761"/>
      <w:r>
        <w:rPr>
          <w:rFonts w:hint="eastAsia"/>
        </w:rPr>
        <w:t>释义</w:t>
      </w:r>
      <w:bookmarkEnd w:id="1"/>
      <w:bookmarkEnd w:id="2"/>
      <w:bookmarkEnd w:id="3"/>
      <w:bookmarkEnd w:id="4"/>
    </w:p>
    <w:sdt>
      <w:sdtPr>
        <w:rPr>
          <w:rFonts w:ascii="Calibri" w:hAnsi="Calibri" w:cs="宋体"/>
          <w:b w:val="0"/>
          <w:bCs w:val="0"/>
          <w:kern w:val="0"/>
          <w:sz w:val="24"/>
          <w:szCs w:val="22"/>
        </w:rPr>
        <w:alias w:val="模块:释义"/>
        <w:tag w:val="_SEC_e0ada4191e1e474fa6a3f5096e480871"/>
        <w:id w:val="6772416"/>
        <w:lock w:val="sdtLocked"/>
        <w:placeholder>
          <w:docPart w:val="GBC22222222222222222222222222222"/>
        </w:placeholder>
      </w:sdtPr>
      <w:sdtEndPr>
        <w:rPr>
          <w:rFonts w:ascii="宋体" w:hAnsi="宋体" w:cs="宋体"/>
          <w:b w:val="0"/>
          <w:bCs w:val="0"/>
          <w:kern w:val="0"/>
          <w:sz w:val="21"/>
          <w:szCs w:val="24"/>
        </w:rPr>
      </w:sdtEndPr>
      <w:sdtContent>
        <w:p>
          <w:pPr>
            <w:pStyle w:val="3"/>
            <w:numPr>
              <w:ilvl w:val="0"/>
              <w:numId w:val="3"/>
            </w:numPr>
            <w:tabs>
              <w:tab w:val="left" w:pos="588"/>
            </w:tabs>
            <w:ind w:hangingChars="175"/>
          </w:pPr>
          <w:r>
            <w:t>释义</w:t>
          </w:r>
        </w:p>
        <w:p>
          <w:pPr>
            <w:rPr>
              <w:szCs w:val="21"/>
            </w:rPr>
          </w:pPr>
          <w:r>
            <w:rPr>
              <w:szCs w:val="21"/>
            </w:rPr>
            <w:t>在本报告书中，除非文义另有所指，下列词语具有如下含义：</w:t>
          </w:r>
        </w:p>
        <w:tbl>
          <w:tblPr>
            <w:tblStyle w:val="41"/>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34"/>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37a984a1d34209a94aac58652eb6b9"/>
                <w:id w:val="6772391"/>
                <w:lock w:val="sdtLocked"/>
              </w:sdtPr>
              <w:sdtContent>
                <w:tc>
                  <w:tcPr>
                    <w:tcW w:w="9048" w:type="dxa"/>
                    <w:gridSpan w:val="3"/>
                  </w:tcPr>
                  <w:p>
                    <w:pPr>
                      <w:widowControl w:val="0"/>
                      <w:jc w:val="both"/>
                      <w:rPr>
                        <w:szCs w:val="21"/>
                      </w:rPr>
                    </w:pPr>
                    <w:r>
                      <w:rPr>
                        <w:szCs w:val="21"/>
                      </w:rPr>
                      <w:t>常用词语释义</w:t>
                    </w:r>
                  </w:p>
                </w:tc>
              </w:sdtContent>
            </w:sdt>
          </w:tr>
          <w:sdt>
            <w:sdtPr>
              <w:rPr>
                <w:rFonts w:hint="eastAsia" w:ascii="Calibri" w:hAnsi="Calibri" w:eastAsiaTheme="minorEastAsia" w:cstheme="minorBidi"/>
                <w:kern w:val="2"/>
                <w:szCs w:val="21"/>
              </w:rPr>
              <w:alias w:val="释义"/>
              <w:tag w:val="_TUP_44bf5f5b8d4e40a1afa2f3a4be6551b6"/>
              <w:id w:val="6772393"/>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中国证监会、证监会</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392"/>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中国证券监督管理委员会</w:t>
                        </w:r>
                      </w:p>
                    </w:tc>
                  </w:sdtContent>
                </w:sdt>
              </w:tr>
            </w:sdtContent>
          </w:sdt>
          <w:sdt>
            <w:sdtPr>
              <w:rPr>
                <w:rFonts w:hint="eastAsia" w:ascii="Calibri" w:hAnsi="Calibri" w:eastAsiaTheme="minorEastAsia" w:cstheme="minorBidi"/>
                <w:kern w:val="2"/>
                <w:szCs w:val="21"/>
              </w:rPr>
              <w:alias w:val="释义"/>
              <w:tag w:val="_TUP_44bf5f5b8d4e40a1afa2f3a4be6551b6"/>
              <w:id w:val="6772395"/>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上交所、交易所</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394"/>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上海证券交易所</w:t>
                        </w:r>
                      </w:p>
                    </w:tc>
                  </w:sdtContent>
                </w:sdt>
              </w:tr>
            </w:sdtContent>
          </w:sdt>
          <w:sdt>
            <w:sdtPr>
              <w:rPr>
                <w:rFonts w:hint="eastAsia" w:ascii="Calibri" w:hAnsi="Calibri" w:eastAsiaTheme="minorEastAsia" w:cstheme="minorBidi"/>
                <w:kern w:val="2"/>
                <w:szCs w:val="21"/>
              </w:rPr>
              <w:alias w:val="释义"/>
              <w:tag w:val="_TUP_44bf5f5b8d4e40a1afa2f3a4be6551b6"/>
              <w:id w:val="6772397"/>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公司、本公司或柳钢股份</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396"/>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柳州钢铁股份有限公司</w:t>
                        </w:r>
                      </w:p>
                    </w:tc>
                  </w:sdtContent>
                </w:sdt>
              </w:tr>
            </w:sdtContent>
          </w:sdt>
          <w:sdt>
            <w:sdtPr>
              <w:rPr>
                <w:rFonts w:hint="eastAsia" w:ascii="Calibri" w:hAnsi="Calibri" w:eastAsiaTheme="minorEastAsia" w:cstheme="minorBidi"/>
                <w:kern w:val="2"/>
                <w:szCs w:val="21"/>
              </w:rPr>
              <w:alias w:val="释义"/>
              <w:tag w:val="_TUP_44bf5f5b8d4e40a1afa2f3a4be6551b6"/>
              <w:id w:val="6772399"/>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柳钢</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398"/>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广西柳州钢铁集团有限公司及柳州钢铁股份有限公司</w:t>
                        </w:r>
                      </w:p>
                    </w:tc>
                  </w:sdtContent>
                </w:sdt>
              </w:tr>
            </w:sdtContent>
          </w:sdt>
          <w:sdt>
            <w:sdtPr>
              <w:rPr>
                <w:rFonts w:hint="eastAsia" w:ascii="Calibri" w:hAnsi="Calibri" w:eastAsiaTheme="minorEastAsia" w:cstheme="minorBidi"/>
                <w:kern w:val="2"/>
                <w:szCs w:val="21"/>
              </w:rPr>
              <w:alias w:val="释义"/>
              <w:tag w:val="_TUP_44bf5f5b8d4e40a1afa2f3a4be6551b6"/>
              <w:id w:val="6772401"/>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集团公司</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400"/>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广西柳州钢铁集团有限公司</w:t>
                        </w:r>
                      </w:p>
                    </w:tc>
                  </w:sdtContent>
                </w:sdt>
              </w:tr>
            </w:sdtContent>
          </w:sdt>
          <w:sdt>
            <w:sdtPr>
              <w:rPr>
                <w:rFonts w:hint="eastAsia" w:ascii="Calibri" w:hAnsi="Calibri" w:eastAsiaTheme="minorEastAsia" w:cstheme="minorBidi"/>
                <w:kern w:val="2"/>
                <w:szCs w:val="21"/>
              </w:rPr>
              <w:alias w:val="释义"/>
              <w:tag w:val="_TUP_44bf5f5b8d4e40a1afa2f3a4be6551b6"/>
              <w:id w:val="6772403"/>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广西国资委</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402"/>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广西壮族自治区人民政府国有资产监督管理委员会</w:t>
                        </w:r>
                      </w:p>
                    </w:tc>
                  </w:sdtContent>
                </w:sdt>
              </w:tr>
            </w:sdtContent>
          </w:sdt>
          <w:sdt>
            <w:sdtPr>
              <w:rPr>
                <w:rFonts w:hint="eastAsia" w:ascii="Calibri" w:hAnsi="Calibri" w:eastAsiaTheme="minorEastAsia" w:cstheme="minorBidi"/>
                <w:kern w:val="2"/>
                <w:szCs w:val="21"/>
              </w:rPr>
              <w:alias w:val="释义"/>
              <w:tag w:val="_TUP_44bf5f5b8d4e40a1afa2f3a4be6551b6"/>
              <w:id w:val="6772405"/>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广西证监局</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404"/>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中国证券监督管理委员会广西监管局</w:t>
                        </w:r>
                      </w:p>
                    </w:tc>
                  </w:sdtContent>
                </w:sdt>
              </w:tr>
            </w:sdtContent>
          </w:sdt>
          <w:sdt>
            <w:sdtPr>
              <w:rPr>
                <w:rFonts w:hint="eastAsia" w:ascii="Calibri" w:hAnsi="Calibri" w:eastAsiaTheme="minorEastAsia" w:cstheme="minorBidi"/>
                <w:kern w:val="2"/>
                <w:szCs w:val="21"/>
              </w:rPr>
              <w:alias w:val="释义"/>
              <w:tag w:val="_TUP_44bf5f5b8d4e40a1afa2f3a4be6551b6"/>
              <w:id w:val="6772407"/>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《公司法》</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406"/>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《中华人民共和国公司法》</w:t>
                        </w:r>
                      </w:p>
                    </w:tc>
                  </w:sdtContent>
                </w:sdt>
              </w:tr>
            </w:sdtContent>
          </w:sdt>
          <w:sdt>
            <w:sdtPr>
              <w:rPr>
                <w:rFonts w:hint="eastAsia" w:ascii="Calibri" w:hAnsi="Calibri" w:eastAsiaTheme="minorEastAsia" w:cstheme="minorBidi"/>
                <w:kern w:val="2"/>
                <w:szCs w:val="21"/>
              </w:rPr>
              <w:alias w:val="释义"/>
              <w:tag w:val="_TUP_44bf5f5b8d4e40a1afa2f3a4be6551b6"/>
              <w:id w:val="6772409"/>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报告期</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408"/>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2017年度</w:t>
                        </w:r>
                      </w:p>
                    </w:tc>
                  </w:sdtContent>
                </w:sdt>
              </w:tr>
            </w:sdtContent>
          </w:sdt>
          <w:sdt>
            <w:sdtPr>
              <w:rPr>
                <w:rFonts w:hint="eastAsia" w:ascii="Calibri" w:hAnsi="Calibri" w:eastAsiaTheme="minorEastAsia" w:cstheme="minorBidi"/>
                <w:kern w:val="2"/>
                <w:szCs w:val="21"/>
              </w:rPr>
              <w:alias w:val="释义"/>
              <w:tag w:val="_TUP_44bf5f5b8d4e40a1afa2f3a4be6551b6"/>
              <w:id w:val="6772411"/>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董事会</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410"/>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柳州钢铁股份有限公司董事会</w:t>
                        </w:r>
                      </w:p>
                    </w:tc>
                  </w:sdtContent>
                </w:sdt>
              </w:tr>
            </w:sdtContent>
          </w:sdt>
          <w:sdt>
            <w:sdtPr>
              <w:rPr>
                <w:rFonts w:hint="eastAsia" w:ascii="Calibri" w:hAnsi="Calibri" w:eastAsiaTheme="minorEastAsia" w:cstheme="minorBidi"/>
                <w:kern w:val="2"/>
                <w:szCs w:val="21"/>
              </w:rPr>
              <w:alias w:val="释义"/>
              <w:tag w:val="_TUP_44bf5f5b8d4e40a1afa2f3a4be6551b6"/>
              <w:id w:val="6772413"/>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股东大会</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412"/>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柳州钢铁股份有限公司股东大会</w:t>
                        </w:r>
                      </w:p>
                    </w:tc>
                  </w:sdtContent>
                </w:sdt>
              </w:tr>
            </w:sdtContent>
          </w:sdt>
          <w:sdt>
            <w:sdtPr>
              <w:rPr>
                <w:rFonts w:hint="eastAsia" w:ascii="Calibri" w:hAnsi="Calibri" w:eastAsiaTheme="minorEastAsia" w:cstheme="minorBidi"/>
                <w:kern w:val="2"/>
                <w:szCs w:val="21"/>
              </w:rPr>
              <w:alias w:val="释义"/>
              <w:tag w:val="_TUP_44bf5f5b8d4e40a1afa2f3a4be6551b6"/>
              <w:id w:val="6772415"/>
              <w:lock w:val="sdtLocked"/>
            </w:sdtPr>
            <w:sdtEndPr>
              <w:rPr>
                <w:rFonts w:hint="eastAsia" w:ascii="Calibri" w:hAnsi="Calibr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jc w:val="both"/>
                      <w:rPr>
                        <w:szCs w:val="21"/>
                      </w:rPr>
                    </w:pPr>
                    <w:r>
                      <w:t>元、万元、亿元</w:t>
                    </w:r>
                  </w:p>
                </w:tc>
                <w:tc>
                  <w:tcPr>
                    <w:tcW w:w="1134" w:type="dxa"/>
                  </w:tcPr>
                  <w:p>
                    <w:pPr>
                      <w:widowControl w:val="0"/>
                      <w:jc w:val="center"/>
                      <w:rPr>
                        <w:szCs w:val="21"/>
                        <w:highlight w:val="lightGray"/>
                      </w:rPr>
                    </w:pPr>
                    <w:r>
                      <w:rPr>
                        <w:rFonts w:hint="eastAsia"/>
                        <w:szCs w:val="21"/>
                      </w:rPr>
                      <w:t>指</w:t>
                    </w:r>
                  </w:p>
                </w:tc>
                <w:sdt>
                  <w:sdtPr>
                    <w:rPr>
                      <w:rFonts w:hint="eastAsia" w:ascii="Times New Roman" w:hAnsi="Times New Roman"/>
                      <w:szCs w:val="21"/>
                    </w:rPr>
                    <w:alias w:val="常用词语释义"/>
                    <w:tag w:val="_GBC_95f4d86e45ba49aa927d765641387f28"/>
                    <w:id w:val="6772414"/>
                    <w:lock w:val="sdtLocked"/>
                  </w:sdtPr>
                  <w:sdtEndPr>
                    <w:rPr>
                      <w:rFonts w:hint="eastAsia" w:ascii="Times New Roman" w:hAnsi="Times New Roman"/>
                      <w:szCs w:val="21"/>
                    </w:rPr>
                  </w:sdtEndPr>
                  <w:sdtContent>
                    <w:tc>
                      <w:tcPr>
                        <w:tcW w:w="5396" w:type="dxa"/>
                      </w:tcPr>
                      <w:p>
                        <w:pPr>
                          <w:widowControl w:val="0"/>
                          <w:jc w:val="both"/>
                          <w:rPr>
                            <w:szCs w:val="21"/>
                          </w:rPr>
                        </w:pPr>
                        <w:r>
                          <w:rPr>
                            <w:rFonts w:hint="eastAsia"/>
                            <w:szCs w:val="21"/>
                          </w:rPr>
                          <w:t>人民币元、人民币万元、人民币亿元</w:t>
                        </w:r>
                      </w:p>
                    </w:tc>
                  </w:sdtContent>
                </w:sdt>
              </w:tr>
            </w:sdtContent>
          </w:sdt>
        </w:tbl>
        <w:p/>
      </w:sdtContent>
    </w:sdt>
    <w:p>
      <w:pPr>
        <w:rPr>
          <w:szCs w:val="21"/>
        </w:rPr>
      </w:pPr>
    </w:p>
    <w:p>
      <w:pPr>
        <w:pStyle w:val="2"/>
        <w:numPr>
          <w:ilvl w:val="0"/>
          <w:numId w:val="2"/>
        </w:numPr>
        <w:rPr>
          <w:color w:val="FF0000"/>
          <w:u w:val="single"/>
        </w:rPr>
      </w:pPr>
      <w:bookmarkStart w:id="5" w:name="_Toc436392762"/>
      <w:bookmarkStart w:id="6" w:name="_Toc407111355"/>
      <w:bookmarkStart w:id="7" w:name="_Toc437440709"/>
      <w:bookmarkStart w:id="8" w:name="_Toc469563076"/>
      <w:r>
        <w:rPr>
          <w:rFonts w:hint="eastAsia"/>
        </w:rPr>
        <w:t>公司简介</w:t>
      </w:r>
      <w:bookmarkEnd w:id="5"/>
      <w:bookmarkEnd w:id="6"/>
      <w:r>
        <w:rPr>
          <w:rFonts w:hint="eastAsia"/>
        </w:rPr>
        <w:t>和主要财务指标</w:t>
      </w:r>
      <w:bookmarkEnd w:id="7"/>
      <w:bookmarkEnd w:id="8"/>
    </w:p>
    <w:sdt>
      <w:sdtPr>
        <w:rPr>
          <w:rFonts w:hint="eastAsia" w:ascii="Calibri" w:hAnsi="Calibri" w:cs="宋体"/>
          <w:b w:val="0"/>
          <w:bCs w:val="0"/>
          <w:kern w:val="0"/>
          <w:sz w:val="24"/>
          <w:szCs w:val="22"/>
        </w:rPr>
        <w:alias w:val="模块:公司信息"/>
        <w:tag w:val="_SEC_21d2355d13dd4c3a8618d612216e1d43"/>
        <w:id w:val="6772424"/>
        <w:lock w:val="sdtLocked"/>
        <w:placeholder>
          <w:docPart w:val="GBC22222222222222222222222222222"/>
        </w:placeholder>
      </w:sdtPr>
      <w:sdtEndPr>
        <w:rPr>
          <w:rFonts w:hint="eastAsia" w:ascii="宋体" w:hAnsi="宋体" w:cs="宋体"/>
          <w:b w:val="0"/>
          <w:bCs w:val="0"/>
          <w:kern w:val="0"/>
          <w:sz w:val="21"/>
          <w:szCs w:val="24"/>
        </w:rPr>
      </w:sdtEndPr>
      <w:sdtContent>
        <w:p>
          <w:pPr>
            <w:pStyle w:val="3"/>
            <w:numPr>
              <w:ilvl w:val="1"/>
              <w:numId w:val="4"/>
            </w:numPr>
            <w:ind w:left="566" w:hanging="566" w:hangingChars="236"/>
          </w:pPr>
          <w:bookmarkStart w:id="9" w:name="_Toc342051041"/>
          <w:bookmarkStart w:id="10" w:name="_Toc342565881"/>
          <w:r>
            <w:rPr>
              <w:rFonts w:hint="eastAsia"/>
            </w:rPr>
            <w:t>公司信息</w:t>
          </w:r>
          <w:bookmarkEnd w:id="9"/>
          <w:bookmarkEnd w:id="10"/>
        </w:p>
        <w:tbl>
          <w:tblPr>
            <w:tblStyle w:val="83"/>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858"/>
            <w:gridCol w:w="5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76a4e08611bc46959c5497248a51b877"/>
                <w:id w:val="6772417"/>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6772418"/>
                <w:lock w:val="sdtLocked"/>
                <w:text/>
              </w:sdtPr>
              <w:sdtEndPr>
                <w:rPr>
                  <w:rFonts w:hint="eastAsia"/>
                  <w:szCs w:val="21"/>
                </w:rPr>
              </w:sdtEndPr>
              <w:sdtConten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color w:val="FFC000"/>
                        <w:szCs w:val="21"/>
                      </w:rPr>
                    </w:pPr>
                    <w:r>
                      <w:rPr>
                        <w:rFonts w:hint="eastAsia"/>
                        <w:szCs w:val="21"/>
                      </w:rPr>
                      <w:t>柳州钢铁股份有限公司</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3d8e18738ed5412e8760c2285c087dc8"/>
                <w:id w:val="6772419"/>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rFonts w:hint="eastAsia"/>
                        <w:szCs w:val="21"/>
                      </w:rPr>
                      <w:t>公司的中文简称</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柳钢股份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6ad5cbeacfc64a4d994ad6b8da3d46ce"/>
                <w:id w:val="6772420"/>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公司的外文名称</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LIUZHOU IRON&amp;STEEL CO., LTD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72725d33fa5348b5b56757232178bc55"/>
                <w:id w:val="6772421"/>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公司的外文名称缩写</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LIUSTEELCO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7f7b4aabdee04e669a63fcdcfe41ffe0"/>
                <w:id w:val="6772422"/>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69fe82e3b744e0889d7c811ffa80455"/>
                <w:id w:val="6772423"/>
                <w:lock w:val="sdtLocked"/>
                <w:text/>
              </w:sdtPr>
              <w:sdtEndPr>
                <w:rPr>
                  <w:rFonts w:hint="eastAsia"/>
                  <w:szCs w:val="21"/>
                </w:rPr>
              </w:sdtEndPr>
              <w:sdtConten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rPr>
                        <w:rFonts w:hint="eastAsia"/>
                        <w:szCs w:val="21"/>
                      </w:rPr>
                      <w:t>陈有升</w:t>
                    </w:r>
                  </w:p>
                </w:tc>
              </w:sdtContent>
            </w:sdt>
          </w:tr>
        </w:tbl>
        <w:p/>
      </w:sdtContent>
    </w:sdt>
    <w:p>
      <w:pPr>
        <w:rPr>
          <w:szCs w:val="21"/>
        </w:rPr>
      </w:pPr>
    </w:p>
    <w:sdt>
      <w:sdtPr>
        <w:rPr>
          <w:rFonts w:hint="eastAsia" w:ascii="Calibri" w:hAnsi="Calibri" w:cs="宋体"/>
          <w:b w:val="0"/>
          <w:bCs w:val="0"/>
          <w:kern w:val="0"/>
          <w:sz w:val="24"/>
          <w:szCs w:val="22"/>
        </w:rPr>
        <w:alias w:val="模块:联系人和联系方式"/>
        <w:tag w:val="_SEC_c723c6b18eac4f1fa6cc19fd1ec13bac"/>
        <w:id w:val="6772432"/>
        <w:lock w:val="sdtLocked"/>
        <w:placeholder>
          <w:docPart w:val="GBC22222222222222222222222222222"/>
        </w:placeholder>
      </w:sdtPr>
      <w:sdtEndPr>
        <w:rPr>
          <w:rFonts w:hint="eastAsia" w:ascii="宋体" w:hAnsi="宋体" w:cs="宋体"/>
          <w:b w:val="0"/>
          <w:bCs w:val="0"/>
          <w:kern w:val="0"/>
          <w:sz w:val="21"/>
          <w:szCs w:val="24"/>
        </w:rPr>
      </w:sdtEndPr>
      <w:sdtContent>
        <w:p>
          <w:pPr>
            <w:pStyle w:val="3"/>
            <w:numPr>
              <w:ilvl w:val="1"/>
              <w:numId w:val="4"/>
            </w:numPr>
            <w:ind w:left="566" w:hanging="566" w:hangingChars="236"/>
          </w:pPr>
          <w:bookmarkStart w:id="11" w:name="_Toc342565882"/>
          <w:bookmarkStart w:id="12" w:name="_Toc342051042"/>
          <w:r>
            <w:rPr>
              <w:rFonts w:hint="eastAsia"/>
            </w:rPr>
            <w:t>联系人和联系方式</w:t>
          </w:r>
          <w:bookmarkEnd w:id="11"/>
          <w:bookmarkEnd w:id="12"/>
        </w:p>
        <w:tbl>
          <w:tblPr>
            <w:tblStyle w:val="83"/>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2963"/>
            <w:gridCol w:w="2965"/>
            <w:gridCol w:w="2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p>
            </w:tc>
            <w:sdt>
              <w:sdtPr>
                <w:tag w:val="_PLD_e3b56ea4d9044947a48312d084d6e0c4"/>
                <w:id w:val="6772425"/>
                <w:lock w:val="sdtLocked"/>
              </w:sdtPr>
              <w:sdtContent>
                <w:tc>
                  <w:tcPr>
                    <w:tcW w:w="2965" w:type="dxa"/>
                    <w:tcBorders>
                      <w:top w:val="single" w:color="auto" w:sz="4" w:space="0"/>
                      <w:left w:val="single" w:color="auto" w:sz="4" w:space="0"/>
                      <w:bottom w:val="single" w:color="auto" w:sz="4" w:space="0"/>
                      <w:right w:val="single" w:color="auto" w:sz="4" w:space="0"/>
                    </w:tcBorders>
                    <w:shd w:val="clear" w:color="auto" w:fill="auto"/>
                  </w:tcPr>
                  <w:p>
                    <w:pPr>
                      <w:pStyle w:val="16"/>
                      <w:kinsoku w:val="0"/>
                      <w:overflowPunct w:val="0"/>
                      <w:autoSpaceDE w:val="0"/>
                      <w:autoSpaceDN w:val="0"/>
                      <w:adjustRightInd w:val="0"/>
                      <w:snapToGrid w:val="0"/>
                      <w:jc w:val="center"/>
                      <w:rPr>
                        <w:rFonts w:ascii="宋体" w:hAnsi="宋体"/>
                        <w:color w:val="008000"/>
                      </w:rPr>
                    </w:pPr>
                    <w:r>
                      <w:rPr>
                        <w:rFonts w:hint="eastAsia" w:ascii="宋体" w:hAnsi="宋体" w:cs="宋体"/>
                      </w:rPr>
                      <w:t>董事会秘书</w:t>
                    </w:r>
                  </w:p>
                </w:tc>
              </w:sdtContent>
            </w:sdt>
            <w:sdt>
              <w:sdtPr>
                <w:tag w:val="_PLD_3c890d5ebae5433cbd8a04f8846a0d9c"/>
                <w:id w:val="6772426"/>
                <w:lock w:val="sdtLocked"/>
              </w:sdtPr>
              <w:sdtContent>
                <w:tc>
                  <w:tcPr>
                    <w:tcW w:w="2965" w:type="dxa"/>
                    <w:tcBorders>
                      <w:top w:val="single" w:color="auto" w:sz="4" w:space="0"/>
                      <w:left w:val="single" w:color="auto" w:sz="4" w:space="0"/>
                      <w:bottom w:val="single" w:color="auto" w:sz="4" w:space="0"/>
                    </w:tcBorders>
                    <w:shd w:val="clear" w:color="auto" w:fill="auto"/>
                  </w:tcPr>
                  <w:p>
                    <w:pPr>
                      <w:pStyle w:val="16"/>
                      <w:kinsoku w:val="0"/>
                      <w:overflowPunct w:val="0"/>
                      <w:autoSpaceDE w:val="0"/>
                      <w:autoSpaceDN w:val="0"/>
                      <w:adjustRightInd w:val="0"/>
                      <w:snapToGrid w:val="0"/>
                      <w:jc w:val="center"/>
                      <w:rPr>
                        <w:rFonts w:ascii="宋体" w:hAnsi="宋体" w:cs="宋体"/>
                      </w:rPr>
                    </w:pPr>
                    <w:r>
                      <w:rPr>
                        <w:rFonts w:hint="eastAsia" w:ascii="宋体" w:hAnsi="宋体" w:cs="宋体"/>
                      </w:rPr>
                      <w:t>证券事务代表</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b3cf3cc2950f4dda9f834cfc035f4162"/>
                <w:id w:val="6772427"/>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rFonts w:hint="eastAsia"/>
                        <w:szCs w:val="21"/>
                      </w:rPr>
                      <w:t>姓名</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rPr>
                    <w:szCs w:val="21"/>
                  </w:rPr>
                </w:pPr>
                <w:r>
                  <w:t>裴侃</w:t>
                </w:r>
              </w:p>
            </w:tc>
            <w:tc>
              <w:tcPr>
                <w:tcW w:w="296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黄胜松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96f7c5d10740423ea389d22caaba3d57"/>
                <w:id w:val="6772428"/>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rFonts w:hint="eastAsia"/>
                        <w:szCs w:val="21"/>
                      </w:rPr>
                      <w:t>联系地址</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rPr>
                    <w:szCs w:val="21"/>
                  </w:rPr>
                </w:pPr>
                <w:r>
                  <w:t>广西柳州市北雀路117号</w:t>
                </w:r>
              </w:p>
            </w:tc>
            <w:tc>
              <w:tcPr>
                <w:tcW w:w="296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广西柳州市北雀路117号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d4e86ed7770a42129d9e099023bce649"/>
                <w:id w:val="6772429"/>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电话</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rPr>
                    <w:szCs w:val="21"/>
                  </w:rPr>
                </w:pPr>
                <w:r>
                  <w:t>（0772）2595971</w:t>
                </w:r>
              </w:p>
            </w:tc>
            <w:tc>
              <w:tcPr>
                <w:tcW w:w="296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（0772）2595971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ac000fe0146046e69c0678d412246e74"/>
                <w:id w:val="6772430"/>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传真</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rPr>
                    <w:szCs w:val="21"/>
                  </w:rPr>
                </w:pPr>
                <w:r>
                  <w:t>（0772）2595971</w:t>
                </w:r>
              </w:p>
            </w:tc>
            <w:tc>
              <w:tcPr>
                <w:tcW w:w="296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（0772）2595971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2043b13d40b44118ab0841c72e6e7478"/>
                <w:id w:val="6772431"/>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电子信箱</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rPr>
                    <w:szCs w:val="21"/>
                  </w:rPr>
                </w:pPr>
                <w:r>
                  <w:t>liscl@163.com</w:t>
                </w:r>
              </w:p>
            </w:tc>
            <w:tc>
              <w:tcPr>
                <w:tcW w:w="296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liscl@163.com</w:t>
                </w:r>
              </w:p>
            </w:tc>
          </w:tr>
        </w:tbl>
        <w:p/>
      </w:sdtContent>
    </w:sdt>
    <w:p>
      <w:pPr>
        <w:rPr>
          <w:szCs w:val="21"/>
        </w:rPr>
      </w:pPr>
    </w:p>
    <w:sdt>
      <w:sdtPr>
        <w:rPr>
          <w:rFonts w:ascii="宋体" w:hAnsi="宋体" w:cs="宋体"/>
          <w:b w:val="0"/>
          <w:bCs w:val="0"/>
          <w:kern w:val="0"/>
          <w:szCs w:val="24"/>
        </w:rPr>
        <w:alias w:val="模块:基本情况变更简介"/>
        <w:tag w:val="_SEC_956d025c8a1d451390392ecb3e2602be"/>
        <w:id w:val="6772439"/>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1"/>
              <w:numId w:val="4"/>
            </w:numPr>
            <w:ind w:left="496" w:hanging="495" w:hangingChars="236"/>
          </w:pPr>
          <w:r>
            <w:t>基本情况</w:t>
          </w:r>
          <w:r>
            <w:rPr>
              <w:rFonts w:hint="eastAsia"/>
            </w:rPr>
            <w:t>简介</w:t>
          </w:r>
        </w:p>
        <w:tbl>
          <w:tblPr>
            <w:tblStyle w:val="83"/>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858"/>
            <w:gridCol w:w="5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65800154c9f246eeaabfb6d49f89b105"/>
                <w:id w:val="6772433"/>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公司注册地址</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广西柳州市北雀路117号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85aa70f2d8124d24806493f6ad2c8d68"/>
                <w:id w:val="6772434"/>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公司注册地址的邮政编码</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545002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c5cbfe8381724c20914d7847d169547b"/>
                <w:id w:val="6772435"/>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公司办公地址</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广西柳州市北雀路117号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c0f9f2f044124800b7edc314d8f4bf39"/>
                <w:id w:val="6772436"/>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公司办公地址的邮政编码</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545002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33c5fab8bd79464e94b1e64f18ac73f7"/>
                <w:id w:val="6772437"/>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公司网址</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http://www.liusteel.com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ea428593a2c548b2b1d58ce3789bf356"/>
                <w:id w:val="6772438"/>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电子信箱</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liscl@163.com</w:t>
                </w:r>
              </w:p>
            </w:tc>
          </w:tr>
        </w:tbl>
        <w:p/>
      </w:sdtContent>
    </w:sdt>
    <w:sdt>
      <w:sdtPr>
        <w:rPr>
          <w:rFonts w:ascii="宋体" w:hAnsi="宋体" w:cs="宋体"/>
          <w:b w:val="0"/>
          <w:bCs w:val="0"/>
          <w:kern w:val="0"/>
          <w:szCs w:val="24"/>
        </w:rPr>
        <w:alias w:val="模块:信息披露及备置地点变更情况简介"/>
        <w:tag w:val="_SEC_0df805cd09bf439989b9eac11c342a74"/>
        <w:id w:val="6772443"/>
        <w:lock w:val="sdtLocked"/>
        <w:placeholder>
          <w:docPart w:val="GBC22222222222222222222222222222"/>
        </w:placeholder>
      </w:sdtPr>
      <w:sdtEndPr>
        <w:rPr>
          <w:rFonts w:ascii="宋体" w:hAnsi="宋体" w:cs="宋体"/>
          <w:b w:val="0"/>
          <w:bCs w:val="0"/>
          <w:kern w:val="0"/>
          <w:szCs w:val="24"/>
        </w:rPr>
      </w:sdtEndPr>
      <w:sdtContent>
        <w:p>
          <w:pPr>
            <w:pStyle w:val="3"/>
            <w:numPr>
              <w:ilvl w:val="1"/>
              <w:numId w:val="4"/>
            </w:numPr>
            <w:ind w:left="496" w:hanging="495" w:hangingChars="236"/>
          </w:pPr>
          <w:r>
            <w:t>信息披露及备置地点</w:t>
          </w:r>
        </w:p>
        <w:tbl>
          <w:tblPr>
            <w:tblStyle w:val="83"/>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4141"/>
            <w:gridCol w:w="4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bbba55a3ebda46da946a09caf15c63b6"/>
                <w:id w:val="6772440"/>
                <w:lock w:val="sdtLocked"/>
              </w:sdtPr>
              <w:sdtContent>
                <w:tc>
                  <w:tcPr>
                    <w:tcW w:w="4141"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公司选定的信息披露</w:t>
                    </w:r>
                    <w:r>
                      <w:rPr>
                        <w:rFonts w:hint="eastAsia"/>
                        <w:szCs w:val="21"/>
                      </w:rPr>
                      <w:t>媒体</w:t>
                    </w:r>
                    <w:r>
                      <w:rPr>
                        <w:szCs w:val="21"/>
                      </w:rPr>
                      <w:t>名称</w:t>
                    </w:r>
                  </w:p>
                </w:tc>
              </w:sdtContent>
            </w:sdt>
            <w:tc>
              <w:tcPr>
                <w:tcW w:w="4752"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《证券日报》、《中国证券报》、《上海证券报》、《证券时报》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31f320acb6ad4f508259e25ef7cbc0f5"/>
                <w:id w:val="6772441"/>
                <w:lock w:val="sdtLocked"/>
              </w:sdtPr>
              <w:sdtContent>
                <w:tc>
                  <w:tcPr>
                    <w:tcW w:w="4141"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登载年度报告的中国证监会指定网站的网址</w:t>
                    </w:r>
                  </w:p>
                </w:tc>
              </w:sdtContent>
            </w:sdt>
            <w:tc>
              <w:tcPr>
                <w:tcW w:w="4752"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www.sse.com.cn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50e24717ca4f4b96aa76957c34f09561"/>
                <w:id w:val="6772442"/>
                <w:lock w:val="sdtLocked"/>
              </w:sdtPr>
              <w:sdtContent>
                <w:tc>
                  <w:tcPr>
                    <w:tcW w:w="4141"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rPr>
                        <w:szCs w:val="21"/>
                      </w:rPr>
                      <w:t>公司年度报告备置地点</w:t>
                    </w:r>
                  </w:p>
                </w:tc>
              </w:sdtContent>
            </w:sdt>
            <w:tc>
              <w:tcPr>
                <w:tcW w:w="4752"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szCs w:val="21"/>
                  </w:rPr>
                </w:pPr>
                <w:r>
                  <w:t>广西柳州市北雀路117号柳州钢铁股份有限公司证券部</w:t>
                </w:r>
              </w:p>
            </w:tc>
          </w:tr>
        </w:tbl>
        <w:p/>
      </w:sdtContent>
    </w:sdt>
    <w:sdt>
      <w:sdtPr>
        <w:rPr>
          <w:rFonts w:hint="eastAsia" w:ascii="Calibri" w:hAnsi="Calibri" w:cs="宋体"/>
          <w:b w:val="0"/>
          <w:bCs w:val="0"/>
          <w:kern w:val="0"/>
          <w:sz w:val="24"/>
          <w:szCs w:val="22"/>
        </w:rPr>
        <w:alias w:val="模块:公司股票简况"/>
        <w:tag w:val="_SEC_58c4b7a4d9a845aea87791adfb6845e7"/>
        <w:id w:val="6772451"/>
        <w:lock w:val="sdtLocked"/>
        <w:placeholder>
          <w:docPart w:val="GBC22222222222222222222222222222"/>
        </w:placeholder>
      </w:sdtPr>
      <w:sdtEndPr>
        <w:rPr>
          <w:rFonts w:hint="eastAsia" w:ascii="宋体" w:hAnsi="宋体" w:cs="宋体"/>
          <w:b w:val="0"/>
          <w:bCs w:val="0"/>
          <w:color w:val="0070C0"/>
          <w:kern w:val="0"/>
          <w:sz w:val="21"/>
          <w:szCs w:val="24"/>
        </w:rPr>
      </w:sdtEndPr>
      <w:sdtContent>
        <w:p>
          <w:pPr>
            <w:pStyle w:val="3"/>
            <w:numPr>
              <w:ilvl w:val="1"/>
              <w:numId w:val="4"/>
            </w:numPr>
            <w:ind w:left="566" w:hanging="566" w:hangingChars="236"/>
          </w:pPr>
          <w:bookmarkStart w:id="13" w:name="_Toc342051045"/>
          <w:bookmarkStart w:id="14" w:name="_Toc342565885"/>
          <w:r>
            <w:rPr>
              <w:rFonts w:hint="eastAsia"/>
            </w:rPr>
            <w:t>公司股票简况</w:t>
          </w:r>
          <w:bookmarkEnd w:id="13"/>
          <w:bookmarkEnd w:id="14"/>
        </w:p>
        <w:tbl>
          <w:tblPr>
            <w:tblStyle w:val="83"/>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1778"/>
            <w:gridCol w:w="1778"/>
            <w:gridCol w:w="1779"/>
            <w:gridCol w:w="1779"/>
            <w:gridCol w:w="17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71e874b79d5946dfbee802d1ebcf10a8"/>
                <w:id w:val="6772444"/>
                <w:lock w:val="sdtLocked"/>
              </w:sdtPr>
              <w:sdtContent>
                <w:tc>
                  <w:tcPr>
                    <w:tcW w:w="8893" w:type="dxa"/>
                    <w:gridSpan w:val="5"/>
                    <w:tcBorders>
                      <w:top w:val="single" w:color="auto" w:sz="4" w:space="0"/>
                      <w:bottom w:val="single" w:color="auto" w:sz="4" w:space="0"/>
                    </w:tcBorders>
                    <w:shd w:val="clear" w:color="auto" w:fill="auto"/>
                  </w:tcPr>
                  <w:p>
                    <w:pPr>
                      <w:kinsoku w:val="0"/>
                      <w:overflowPunct w:val="0"/>
                      <w:autoSpaceDE w:val="0"/>
                      <w:autoSpaceDN w:val="0"/>
                      <w:adjustRightInd w:val="0"/>
                      <w:snapToGrid w:val="0"/>
                      <w:jc w:val="center"/>
                      <w:rPr>
                        <w:szCs w:val="21"/>
                      </w:rPr>
                    </w:pPr>
                    <w:r>
                      <w:rPr>
                        <w:rFonts w:hint="eastAsia"/>
                        <w:szCs w:val="21"/>
                      </w:rPr>
                      <w:t>公司股票简况</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8c7d8e96d5f4491aa9e7c3c601503603"/>
                <w:id w:val="6772445"/>
                <w:lock w:val="sdtLocked"/>
              </w:sdtPr>
              <w:sdtContent>
                <w:tc>
                  <w:tcPr>
                    <w:tcW w:w="177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6772446"/>
                <w:lock w:val="sdtLocked"/>
              </w:sdtPr>
              <w:sdtContent>
                <w:tc>
                  <w:tcPr>
                    <w:tcW w:w="1778"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6772447"/>
                <w:lock w:val="sdtLocked"/>
              </w:sdtPr>
              <w:sdtContent>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6772448"/>
                <w:lock w:val="sdtLocked"/>
              </w:sdtPr>
              <w:sdtContent>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ca5cfb3ed3b74ffa856f651b379dc207"/>
                <w:id w:val="6772449"/>
                <w:lock w:val="sdtLocked"/>
              </w:sdtPr>
              <w:sdtContent>
                <w:tc>
                  <w:tcPr>
                    <w:tcW w:w="1779" w:type="dxa"/>
                    <w:tcBorders>
                      <w:top w:val="single" w:color="auto" w:sz="4" w:space="0"/>
                      <w:left w:val="single" w:color="auto" w:sz="4" w:space="0"/>
                      <w:bottom w:val="single" w:color="auto" w:sz="4" w:space="0"/>
                    </w:tcBorders>
                    <w:shd w:val="clear" w:color="auto" w:fill="auto"/>
                  </w:tcPr>
                  <w:p>
                    <w:pPr>
                      <w:kinsoku w:val="0"/>
                      <w:overflowPunct w:val="0"/>
                      <w:autoSpaceDE w:val="0"/>
                      <w:autoSpaceDN w:val="0"/>
                      <w:adjustRightInd w:val="0"/>
                      <w:snapToGrid w:val="0"/>
                      <w:jc w:val="center"/>
                      <w:rPr>
                        <w:szCs w:val="21"/>
                      </w:rPr>
                    </w:pPr>
                    <w:r>
                      <w:rPr>
                        <w:rFonts w:hint="eastAsia"/>
                        <w:szCs w:val="21"/>
                      </w:rPr>
                      <w:t>变更前股票简称</w:t>
                    </w:r>
                  </w:p>
                </w:tc>
              </w:sdtContent>
            </w:sdt>
          </w:tr>
          <w:sdt>
            <w:sdtPr>
              <w:rPr>
                <w:rFonts w:hint="eastAsia"/>
                <w:szCs w:val="21"/>
              </w:rPr>
              <w:alias w:val="公司其他股票简况"/>
              <w:tag w:val="_TUP_e5d457081246497986b9ceb7d695398e"/>
              <w:id w:val="6772450"/>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tc>
                  <w:tcPr>
                    <w:tcW w:w="177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t>A股</w:t>
                    </w:r>
                  </w:p>
                </w:tc>
                <w:tc>
                  <w:tcPr>
                    <w:tcW w:w="1778"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t>上海证券交易所</w:t>
                    </w:r>
                  </w:p>
                </w:tc>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t>柳钢股份</w:t>
                    </w:r>
                  </w:p>
                </w:tc>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rPr>
                        <w:szCs w:val="21"/>
                      </w:rPr>
                    </w:pPr>
                    <w:r>
                      <w:t>601003</w:t>
                    </w:r>
                  </w:p>
                </w:tc>
                <w:tc>
                  <w:tcPr>
                    <w:tcW w:w="1779" w:type="dxa"/>
                    <w:tcBorders>
                      <w:top w:val="single" w:color="auto" w:sz="4" w:space="0"/>
                      <w:left w:val="single" w:color="auto" w:sz="4" w:space="0"/>
                      <w:bottom w:val="single" w:color="auto" w:sz="4" w:space="0"/>
                    </w:tcBorders>
                    <w:shd w:val="clear" w:color="auto" w:fill="auto"/>
                  </w:tcPr>
                  <w:p>
                    <w:pPr>
                      <w:kinsoku w:val="0"/>
                      <w:overflowPunct w:val="0"/>
                      <w:autoSpaceDE w:val="0"/>
                      <w:autoSpaceDN w:val="0"/>
                      <w:adjustRightInd w:val="0"/>
                      <w:snapToGrid w:val="0"/>
                      <w:rPr>
                        <w:szCs w:val="21"/>
                      </w:rPr>
                    </w:pPr>
                    <w:r>
                      <w:t>无</w:t>
                    </w:r>
                  </w:p>
                </w:tc>
              </w:tr>
            </w:sdtContent>
          </w:sdt>
        </w:tbl>
        <w:p>
          <w:pPr>
            <w:rPr>
              <w:szCs w:val="21"/>
            </w:rPr>
          </w:pPr>
        </w:p>
      </w:sdtContent>
    </w:sdt>
    <w:sdt>
      <w:sdtPr>
        <w:rPr>
          <w:rFonts w:ascii="宋体" w:hAnsi="宋体" w:cs="宋体"/>
          <w:b w:val="0"/>
          <w:bCs w:val="0"/>
          <w:kern w:val="0"/>
          <w:szCs w:val="24"/>
        </w:rPr>
        <w:alias w:val="模块:其他有关资料"/>
        <w:tag w:val="_SEC_003e0cedcbeb43af9103dfb4bc32cd9f"/>
        <w:id w:val="6772456"/>
        <w:lock w:val="sdtLocked"/>
        <w:placeholder>
          <w:docPart w:val="GBC22222222222222222222222222222"/>
        </w:placeholder>
      </w:sdtPr>
      <w:sdtEndPr>
        <w:rPr>
          <w:rFonts w:ascii="宋体" w:hAnsi="宋体" w:cs="宋体"/>
          <w:b w:val="0"/>
          <w:bCs w:val="0"/>
          <w:kern w:val="0"/>
          <w:szCs w:val="24"/>
        </w:rPr>
      </w:sdtEndPr>
      <w:sdtContent>
        <w:p>
          <w:pPr>
            <w:pStyle w:val="3"/>
            <w:numPr>
              <w:ilvl w:val="1"/>
              <w:numId w:val="4"/>
            </w:numPr>
            <w:ind w:left="496" w:hanging="495" w:hangingChars="236"/>
          </w:pPr>
          <w:r>
            <w:t>其他</w:t>
          </w:r>
          <w:r>
            <w:rPr>
              <w:rFonts w:hint="eastAsia"/>
            </w:rPr>
            <w:t>相</w:t>
          </w:r>
          <w:r>
            <w:t>关资料</w:t>
          </w:r>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701"/>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sdt>
              <w:sdtPr>
                <w:tag w:val="_PLD_e6bf57c678134e2ab9f21f313ee3de3c"/>
                <w:id w:val="6772452"/>
                <w:lock w:val="sdtLocked"/>
              </w:sdtPr>
              <w:sdtContent>
                <w:tc>
                  <w:tcPr>
                    <w:tcW w:w="2802" w:type="dxa"/>
                    <w:vMerge w:val="restart"/>
                    <w:vAlign w:val="center"/>
                  </w:tcPr>
                  <w:p>
                    <w:pPr>
                      <w:widowControl w:val="0"/>
                      <w:jc w:val="both"/>
                      <w:rPr>
                        <w:szCs w:val="21"/>
                      </w:rPr>
                    </w:pPr>
                    <w:r>
                      <w:rPr>
                        <w:rFonts w:hint="eastAsia"/>
                        <w:szCs w:val="21"/>
                      </w:rPr>
                      <w:t>公司聘请的会计师事务所（境内）</w:t>
                    </w:r>
                  </w:p>
                </w:tc>
              </w:sdtContent>
            </w:sdt>
            <w:sdt>
              <w:sdtPr>
                <w:tag w:val="_PLD_8ca47cc04c324c599365d04f46dbfb0f"/>
                <w:id w:val="6772453"/>
                <w:lock w:val="sdtLocked"/>
              </w:sdtPr>
              <w:sdtContent>
                <w:tc>
                  <w:tcPr>
                    <w:tcW w:w="1701" w:type="dxa"/>
                  </w:tcPr>
                  <w:p>
                    <w:pPr>
                      <w:widowControl w:val="0"/>
                      <w:jc w:val="both"/>
                      <w:rPr>
                        <w:szCs w:val="21"/>
                      </w:rPr>
                    </w:pPr>
                    <w:r>
                      <w:rPr>
                        <w:rFonts w:hint="eastAsia"/>
                        <w:szCs w:val="21"/>
                      </w:rPr>
                      <w:t>名称</w:t>
                    </w:r>
                  </w:p>
                </w:tc>
              </w:sdtContent>
            </w:sdt>
            <w:tc>
              <w:tcPr>
                <w:tcW w:w="4546" w:type="dxa"/>
              </w:tcPr>
              <w:p>
                <w:pPr>
                  <w:widowControl w:val="0"/>
                  <w:jc w:val="both"/>
                  <w:rPr>
                    <w:szCs w:val="21"/>
                  </w:rPr>
                </w:pPr>
                <w:r>
                  <w:t>中审华会计师事务所（特殊普通合伙）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02" w:type="dxa"/>
                <w:vMerge w:val="continue"/>
                <w:vAlign w:val="center"/>
              </w:tcPr>
              <w:p>
                <w:pPr>
                  <w:widowControl w:val="0"/>
                  <w:jc w:val="both"/>
                  <w:rPr>
                    <w:szCs w:val="21"/>
                  </w:rPr>
                </w:pPr>
              </w:p>
            </w:tc>
            <w:sdt>
              <w:sdtPr>
                <w:tag w:val="_PLD_d81c8b501e6d407989da734d8b7bd34b"/>
                <w:id w:val="6772454"/>
                <w:lock w:val="sdtLocked"/>
              </w:sdtPr>
              <w:sdtContent>
                <w:tc>
                  <w:tcPr>
                    <w:tcW w:w="1701" w:type="dxa"/>
                  </w:tcPr>
                  <w:p>
                    <w:pPr>
                      <w:widowControl w:val="0"/>
                      <w:jc w:val="both"/>
                      <w:rPr>
                        <w:szCs w:val="21"/>
                      </w:rPr>
                    </w:pPr>
                    <w:r>
                      <w:rPr>
                        <w:rFonts w:hint="eastAsia"/>
                        <w:szCs w:val="21"/>
                      </w:rPr>
                      <w:t>办公地址</w:t>
                    </w:r>
                  </w:p>
                </w:tc>
              </w:sdtContent>
            </w:sdt>
            <w:tc>
              <w:tcPr>
                <w:tcW w:w="4546" w:type="dxa"/>
              </w:tcPr>
              <w:p>
                <w:pPr>
                  <w:widowControl w:val="0"/>
                  <w:jc w:val="both"/>
                  <w:rPr>
                    <w:szCs w:val="21"/>
                  </w:rPr>
                </w:pPr>
                <w:r>
                  <w:t>天津开发区广场东路20号滨海金融街E7106室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802" w:type="dxa"/>
                <w:vMerge w:val="continue"/>
                <w:vAlign w:val="center"/>
              </w:tcPr>
              <w:p>
                <w:pPr>
                  <w:widowControl w:val="0"/>
                  <w:jc w:val="both"/>
                  <w:rPr>
                    <w:szCs w:val="21"/>
                  </w:rPr>
                </w:pPr>
              </w:p>
            </w:tc>
            <w:sdt>
              <w:sdtPr>
                <w:tag w:val="_PLD_0d7c31c02260419e806193f66b086dd8"/>
                <w:id w:val="6772455"/>
                <w:lock w:val="sdtLocked"/>
              </w:sdtPr>
              <w:sdtContent>
                <w:tc>
                  <w:tcPr>
                    <w:tcW w:w="1701" w:type="dxa"/>
                  </w:tcPr>
                  <w:p>
                    <w:pPr>
                      <w:widowControl w:val="0"/>
                      <w:jc w:val="both"/>
                      <w:rPr>
                        <w:szCs w:val="21"/>
                      </w:rPr>
                    </w:pPr>
                    <w:r>
                      <w:rPr>
                        <w:rFonts w:hint="eastAsia"/>
                        <w:szCs w:val="21"/>
                      </w:rPr>
                      <w:t>签字会计师姓名</w:t>
                    </w:r>
                  </w:p>
                </w:tc>
              </w:sdtContent>
            </w:sdt>
            <w:tc>
              <w:tcPr>
                <w:tcW w:w="4546" w:type="dxa"/>
              </w:tcPr>
              <w:p>
                <w:pPr>
                  <w:widowControl w:val="0"/>
                  <w:jc w:val="both"/>
                  <w:rPr>
                    <w:szCs w:val="21"/>
                  </w:rPr>
                </w:pPr>
                <w:r>
                  <w:t>刘文俊、</w:t>
                </w:r>
                <w:r>
                  <w:rPr>
                    <w:rFonts w:hint="eastAsia"/>
                  </w:rPr>
                  <w:t>宁昌华</w:t>
                </w:r>
              </w:p>
            </w:tc>
          </w:tr>
        </w:tbl>
        <w:p/>
      </w:sdtContent>
    </w:sdt>
    <w:p/>
    <w:p>
      <w:pPr>
        <w:pStyle w:val="3"/>
        <w:numPr>
          <w:ilvl w:val="1"/>
          <w:numId w:val="4"/>
        </w:numPr>
        <w:ind w:left="498" w:hanging="498" w:hangingChars="236"/>
      </w:pPr>
      <w:bookmarkStart w:id="15" w:name="_Toc342056397"/>
      <w:bookmarkStart w:id="16" w:name="_Toc342565889"/>
      <w:r>
        <w:rPr>
          <w:rFonts w:hint="eastAsia"/>
        </w:rPr>
        <w:t>近三年主要会计数据和财务指标</w:t>
      </w:r>
      <w:bookmarkEnd w:id="15"/>
      <w:bookmarkEnd w:id="16"/>
    </w:p>
    <w:p>
      <w:pPr>
        <w:pStyle w:val="4"/>
        <w:numPr>
          <w:ilvl w:val="1"/>
          <w:numId w:val="5"/>
        </w:numPr>
      </w:pPr>
      <w:r>
        <w:rPr>
          <w:rFonts w:hint="eastAsia"/>
        </w:rPr>
        <w:t>主要会计数据</w:t>
      </w:r>
    </w:p>
    <w:p>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67724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67724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sdt>
      <w:sdtPr>
        <w:alias w:val="选项模块:主要会计数据(无追溯)"/>
        <w:tag w:val="_SEC_054de9a865fc43068e5affd816d52d7b"/>
        <w:id w:val="6772475"/>
        <w:lock w:val="sdtLocked"/>
      </w:sdtPr>
      <w:sdtContent>
        <w:p/>
        <w:tbl>
          <w:tblPr>
            <w:tblStyle w:val="8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653"/>
            <w:gridCol w:w="1653"/>
            <w:gridCol w:w="113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sdt>
              <w:sdtPr>
                <w:rPr>
                  <w:rFonts w:hint="eastAsia" w:ascii="Times New Roman" w:hAnsi="Times New Roman"/>
                  <w:szCs w:val="21"/>
                </w:rPr>
                <w:tag w:val="_PLD_11b4c598f0e64f3480d144156bedd8c8"/>
                <w:id w:val="252714318"/>
                <w:lock w:val="sdtLocked"/>
              </w:sdtPr>
              <w:sdtEndPr>
                <w:rPr>
                  <w:rFonts w:hint="default" w:ascii="Times New Roman" w:hAnsi="Times New Roman"/>
                  <w:szCs w:val="20"/>
                </w:rPr>
              </w:sdtEndPr>
              <w:sdtContent>
                <w:tc>
                  <w:tcPr>
                    <w:tcW w:w="2960" w:type="dxa"/>
                    <w:vAlign w:val="center"/>
                  </w:tcPr>
                  <w:p>
                    <w:pPr>
                      <w:widowControl w:val="0"/>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b13b04da4c2a41028c11512814762a3d"/>
                <w:id w:val="-1957933409"/>
                <w:lock w:val="sdtLocked"/>
              </w:sdtPr>
              <w:sdtContent>
                <w:tc>
                  <w:tcPr>
                    <w:tcW w:w="1653" w:type="dxa"/>
                    <w:vAlign w:val="center"/>
                  </w:tcPr>
                  <w:p>
                    <w:pPr>
                      <w:widowControl w:val="0"/>
                      <w:kinsoku w:val="0"/>
                      <w:overflowPunct w:val="0"/>
                      <w:autoSpaceDE w:val="0"/>
                      <w:autoSpaceDN w:val="0"/>
                      <w:adjustRightInd w:val="0"/>
                      <w:snapToGrid w:val="0"/>
                      <w:jc w:val="center"/>
                      <w:rPr>
                        <w:szCs w:val="21"/>
                      </w:rPr>
                    </w:pPr>
                    <w:r>
                      <w:rPr>
                        <w:rFonts w:hint="eastAsia"/>
                        <w:szCs w:val="21"/>
                      </w:rPr>
                      <w:t>2017年</w:t>
                    </w:r>
                  </w:p>
                </w:tc>
              </w:sdtContent>
            </w:sdt>
            <w:sdt>
              <w:sdtPr>
                <w:tag w:val="_PLD_0269ed04fa784ad3a61b37ff6ea4e755"/>
                <w:id w:val="-1881162119"/>
                <w:lock w:val="sdtLocked"/>
              </w:sdtPr>
              <w:sdtContent>
                <w:tc>
                  <w:tcPr>
                    <w:tcW w:w="1653" w:type="dxa"/>
                    <w:vAlign w:val="center"/>
                  </w:tcPr>
                  <w:p>
                    <w:pPr>
                      <w:widowControl w:val="0"/>
                      <w:kinsoku w:val="0"/>
                      <w:overflowPunct w:val="0"/>
                      <w:autoSpaceDE w:val="0"/>
                      <w:autoSpaceDN w:val="0"/>
                      <w:adjustRightInd w:val="0"/>
                      <w:snapToGrid w:val="0"/>
                      <w:jc w:val="center"/>
                      <w:rPr>
                        <w:szCs w:val="21"/>
                      </w:rPr>
                    </w:pPr>
                    <w:r>
                      <w:rPr>
                        <w:rFonts w:hint="eastAsia"/>
                        <w:szCs w:val="21"/>
                      </w:rPr>
                      <w:t>2016年</w:t>
                    </w:r>
                  </w:p>
                </w:tc>
              </w:sdtContent>
            </w:sdt>
            <w:sdt>
              <w:sdtPr>
                <w:tag w:val="_PLD_04887d69202349c58f450c785cfaef93"/>
                <w:id w:val="-1695305525"/>
                <w:lock w:val="sdtLocked"/>
              </w:sdtPr>
              <w:sdtContent>
                <w:tc>
                  <w:tcPr>
                    <w:tcW w:w="1130" w:type="dxa"/>
                    <w:vAlign w:val="center"/>
                  </w:tcPr>
                  <w:p>
                    <w:pPr>
                      <w:widowControl w:val="0"/>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sdtContent>
            </w:sdt>
            <w:sdt>
              <w:sdtPr>
                <w:tag w:val="_PLD_cf8d3caaf1bc4b2eb15a4b6e1b823368"/>
                <w:id w:val="-1016383401"/>
                <w:lock w:val="sdtLocked"/>
              </w:sdtPr>
              <w:sdtContent>
                <w:tc>
                  <w:tcPr>
                    <w:tcW w:w="1653" w:type="dxa"/>
                    <w:vAlign w:val="center"/>
                  </w:tcPr>
                  <w:p>
                    <w:pPr>
                      <w:widowControl w:val="0"/>
                      <w:kinsoku w:val="0"/>
                      <w:overflowPunct w:val="0"/>
                      <w:autoSpaceDE w:val="0"/>
                      <w:autoSpaceDN w:val="0"/>
                      <w:adjustRightInd w:val="0"/>
                      <w:snapToGrid w:val="0"/>
                      <w:jc w:val="center"/>
                      <w:rPr>
                        <w:szCs w:val="21"/>
                      </w:rPr>
                    </w:pPr>
                    <w:r>
                      <w:rPr>
                        <w:rFonts w:hint="eastAsia"/>
                        <w:szCs w:val="21"/>
                      </w:rPr>
                      <w:t>2015年</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e6322632b3594caeab1c5a7755e81efc"/>
                <w:id w:val="-1396502474"/>
                <w:lock w:val="sdtLocked"/>
              </w:sdtPr>
              <w:sdtContent>
                <w:tc>
                  <w:tcPr>
                    <w:tcW w:w="2960" w:type="dxa"/>
                  </w:tcPr>
                  <w:p>
                    <w:pPr>
                      <w:widowControl w:val="0"/>
                      <w:kinsoku w:val="0"/>
                      <w:overflowPunct w:val="0"/>
                      <w:autoSpaceDE w:val="0"/>
                      <w:autoSpaceDN w:val="0"/>
                      <w:adjustRightInd w:val="0"/>
                      <w:snapToGrid w:val="0"/>
                      <w:jc w:val="both"/>
                      <w:rPr>
                        <w:szCs w:val="21"/>
                      </w:rPr>
                    </w:pPr>
                    <w:r>
                      <w:rPr>
                        <w:rFonts w:hint="eastAsia"/>
                        <w:szCs w:val="21"/>
                      </w:rPr>
                      <w:t>营业收入</w:t>
                    </w:r>
                  </w:p>
                </w:tc>
              </w:sdtContent>
            </w:sdt>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41,557,169,054.26</w:t>
                </w:r>
              </w:p>
            </w:tc>
            <w:tc>
              <w:tcPr>
                <w:tcW w:w="1653" w:type="dxa"/>
                <w:vAlign w:val="center"/>
              </w:tcPr>
              <w:p>
                <w:pPr>
                  <w:widowControl w:val="0"/>
                  <w:kinsoku w:val="0"/>
                  <w:overflowPunct w:val="0"/>
                  <w:autoSpaceDE w:val="0"/>
                  <w:autoSpaceDN w:val="0"/>
                  <w:adjustRightInd w:val="0"/>
                  <w:snapToGrid w:val="0"/>
                  <w:jc w:val="right"/>
                  <w:rPr>
                    <w:rFonts w:ascii="Arial Narrow" w:hAnsi="Arial Narrow"/>
                    <w:bCs/>
                    <w:szCs w:val="21"/>
                  </w:rPr>
                </w:pPr>
                <w:r>
                  <w:rPr>
                    <w:rFonts w:ascii="Arial Narrow" w:hAnsi="Arial Narrow"/>
                  </w:rPr>
                  <w:t>26,650,401,296.14</w:t>
                </w:r>
              </w:p>
            </w:tc>
            <w:tc>
              <w:tcPr>
                <w:tcW w:w="1130"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55.93</w:t>
                </w:r>
              </w:p>
            </w:tc>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25,909,458,585.18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17d11c2d9b33405b9045eb7589e09eec"/>
                <w:id w:val="938880529"/>
                <w:lock w:val="sdtLocked"/>
              </w:sdtPr>
              <w:sdtContent>
                <w:tc>
                  <w:tcPr>
                    <w:tcW w:w="2960" w:type="dxa"/>
                  </w:tcPr>
                  <w:p>
                    <w:pPr>
                      <w:widowControl w:val="0"/>
                      <w:kinsoku w:val="0"/>
                      <w:overflowPunct w:val="0"/>
                      <w:autoSpaceDE w:val="0"/>
                      <w:autoSpaceDN w:val="0"/>
                      <w:adjustRightInd w:val="0"/>
                      <w:snapToGrid w:val="0"/>
                      <w:jc w:val="both"/>
                      <w:rPr>
                        <w:szCs w:val="21"/>
                      </w:rPr>
                    </w:pPr>
                    <w:r>
                      <w:rPr>
                        <w:rFonts w:hint="eastAsia"/>
                        <w:szCs w:val="21"/>
                      </w:rPr>
                      <w:t>归属于上市公司股东的净利润</w:t>
                    </w:r>
                  </w:p>
                </w:tc>
              </w:sdtContent>
            </w:sdt>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2,646,176,293.67</w:t>
                </w:r>
              </w:p>
            </w:tc>
            <w:tc>
              <w:tcPr>
                <w:tcW w:w="1653" w:type="dxa"/>
                <w:vAlign w:val="center"/>
              </w:tcPr>
              <w:p>
                <w:pPr>
                  <w:widowControl w:val="0"/>
                  <w:kinsoku w:val="0"/>
                  <w:overflowPunct w:val="0"/>
                  <w:autoSpaceDE w:val="0"/>
                  <w:autoSpaceDN w:val="0"/>
                  <w:adjustRightInd w:val="0"/>
                  <w:snapToGrid w:val="0"/>
                  <w:jc w:val="right"/>
                  <w:rPr>
                    <w:rFonts w:ascii="Arial Narrow" w:hAnsi="Arial Narrow"/>
                    <w:bCs/>
                    <w:szCs w:val="21"/>
                  </w:rPr>
                </w:pPr>
                <w:r>
                  <w:rPr>
                    <w:rFonts w:ascii="Arial Narrow" w:hAnsi="Arial Narrow"/>
                  </w:rPr>
                  <w:t>196,438,068.13</w:t>
                </w:r>
              </w:p>
            </w:tc>
            <w:tc>
              <w:tcPr>
                <w:tcW w:w="1130"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1,247.08</w:t>
                </w:r>
              </w:p>
            </w:tc>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-1,189,439,416.79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2edc3c137a564aba88618b0231d4f232"/>
                <w:id w:val="-2072650532"/>
                <w:lock w:val="sdtLocked"/>
              </w:sdtPr>
              <w:sdtContent>
                <w:tc>
                  <w:tcPr>
                    <w:tcW w:w="2960" w:type="dxa"/>
                  </w:tcPr>
                  <w:p>
                    <w:pPr>
                      <w:widowControl w:val="0"/>
                      <w:kinsoku w:val="0"/>
                      <w:overflowPunct w:val="0"/>
                      <w:autoSpaceDE w:val="0"/>
                      <w:autoSpaceDN w:val="0"/>
                      <w:adjustRightInd w:val="0"/>
                      <w:snapToGrid w:val="0"/>
                      <w:jc w:val="both"/>
                      <w:rPr>
                        <w:szCs w:val="21"/>
                      </w:rPr>
                    </w:pPr>
                    <w:r>
                      <w:rPr>
                        <w:rFonts w:hint="eastAsia"/>
                        <w:szCs w:val="21"/>
                      </w:rPr>
                      <w:t>归属于上市公司股东的扣除非经常性损益的净利润</w:t>
                    </w:r>
                  </w:p>
                </w:tc>
              </w:sdtContent>
            </w:sdt>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2,601,324,537.94</w:t>
                </w:r>
              </w:p>
            </w:tc>
            <w:tc>
              <w:tcPr>
                <w:tcW w:w="1653" w:type="dxa"/>
                <w:vAlign w:val="center"/>
              </w:tcPr>
              <w:p>
                <w:pPr>
                  <w:widowControl w:val="0"/>
                  <w:kinsoku w:val="0"/>
                  <w:overflowPunct w:val="0"/>
                  <w:autoSpaceDE w:val="0"/>
                  <w:autoSpaceDN w:val="0"/>
                  <w:adjustRightInd w:val="0"/>
                  <w:snapToGrid w:val="0"/>
                  <w:jc w:val="right"/>
                  <w:rPr>
                    <w:rFonts w:ascii="Arial Narrow" w:hAnsi="Arial Narrow"/>
                    <w:bCs/>
                    <w:szCs w:val="21"/>
                  </w:rPr>
                </w:pPr>
                <w:r>
                  <w:rPr>
                    <w:rFonts w:ascii="Arial Narrow" w:hAnsi="Arial Narrow"/>
                  </w:rPr>
                  <w:t>202,991,747.09</w:t>
                </w:r>
              </w:p>
            </w:tc>
            <w:tc>
              <w:tcPr>
                <w:tcW w:w="1130"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1,181.49</w:t>
                </w:r>
              </w:p>
            </w:tc>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-1,090,922,925.81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e26583adfa0643ac904634eeb576245b"/>
                <w:id w:val="1029460119"/>
                <w:lock w:val="sdtLocked"/>
              </w:sdtPr>
              <w:sdtContent>
                <w:tc>
                  <w:tcPr>
                    <w:tcW w:w="2960" w:type="dxa"/>
                  </w:tcPr>
                  <w:p>
                    <w:pPr>
                      <w:widowControl w:val="0"/>
                      <w:kinsoku w:val="0"/>
                      <w:overflowPunct w:val="0"/>
                      <w:autoSpaceDE w:val="0"/>
                      <w:autoSpaceDN w:val="0"/>
                      <w:adjustRightInd w:val="0"/>
                      <w:snapToGrid w:val="0"/>
                      <w:jc w:val="both"/>
                      <w:rPr>
                        <w:szCs w:val="21"/>
                        <w:highlight w:val="magenta"/>
                      </w:rPr>
                    </w:pPr>
                    <w:r>
                      <w:rPr>
                        <w:rFonts w:hint="eastAsia"/>
                        <w:szCs w:val="21"/>
                      </w:rPr>
                      <w:t>经营活动产生的现金流量净额</w:t>
                    </w:r>
                  </w:p>
                </w:tc>
              </w:sdtContent>
            </w:sdt>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4,612,592,644.16</w:t>
                </w:r>
              </w:p>
            </w:tc>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1,587,920,801.18</w:t>
                </w:r>
              </w:p>
            </w:tc>
            <w:tc>
              <w:tcPr>
                <w:tcW w:w="1130"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190.48</w:t>
                </w:r>
              </w:p>
            </w:tc>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284,119,957.14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960" w:type="dxa"/>
              </w:tcPr>
              <w:p>
                <w:pPr>
                  <w:widowControl w:val="0"/>
                  <w:kinsoku w:val="0"/>
                  <w:overflowPunct w:val="0"/>
                  <w:autoSpaceDE w:val="0"/>
                  <w:autoSpaceDN w:val="0"/>
                  <w:adjustRightInd w:val="0"/>
                  <w:snapToGrid w:val="0"/>
                  <w:jc w:val="both"/>
                  <w:rPr>
                    <w:szCs w:val="21"/>
                  </w:rPr>
                </w:pPr>
              </w:p>
            </w:tc>
            <w:sdt>
              <w:sdtPr>
                <w:tag w:val="_PLD_8b9fbdc9e2634c6292801d605b122b71"/>
                <w:id w:val="107244307"/>
                <w:lock w:val="sdtLocked"/>
              </w:sdtPr>
              <w:sdtContent>
                <w:tc>
                  <w:tcPr>
                    <w:tcW w:w="1653" w:type="dxa"/>
                    <w:vAlign w:val="center"/>
                  </w:tcPr>
                  <w:p>
                    <w:pPr>
                      <w:widowControl w:val="0"/>
                      <w:kinsoku w:val="0"/>
                      <w:overflowPunct w:val="0"/>
                      <w:autoSpaceDE w:val="0"/>
                      <w:autoSpaceDN w:val="0"/>
                      <w:adjustRightInd w:val="0"/>
                      <w:snapToGrid w:val="0"/>
                      <w:jc w:val="center"/>
                      <w:rPr>
                        <w:szCs w:val="21"/>
                      </w:rPr>
                    </w:pPr>
                    <w:r>
                      <w:rPr>
                        <w:rFonts w:hint="eastAsia"/>
                        <w:szCs w:val="21"/>
                      </w:rPr>
                      <w:t>2017年</w:t>
                    </w:r>
                    <w:r>
                      <w:rPr>
                        <w:szCs w:val="21"/>
                      </w:rPr>
                      <w:t>末</w:t>
                    </w:r>
                  </w:p>
                </w:tc>
              </w:sdtContent>
            </w:sdt>
            <w:sdt>
              <w:sdtPr>
                <w:tag w:val="_PLD_81e66f862753453685ceebbc3f216adb"/>
                <w:id w:val="285321390"/>
                <w:lock w:val="sdtLocked"/>
              </w:sdtPr>
              <w:sdtContent>
                <w:tc>
                  <w:tcPr>
                    <w:tcW w:w="1653" w:type="dxa"/>
                    <w:vAlign w:val="center"/>
                  </w:tcPr>
                  <w:p>
                    <w:pPr>
                      <w:widowControl w:val="0"/>
                      <w:kinsoku w:val="0"/>
                      <w:overflowPunct w:val="0"/>
                      <w:autoSpaceDE w:val="0"/>
                      <w:autoSpaceDN w:val="0"/>
                      <w:adjustRightInd w:val="0"/>
                      <w:snapToGrid w:val="0"/>
                      <w:jc w:val="center"/>
                      <w:rPr>
                        <w:szCs w:val="21"/>
                      </w:rPr>
                    </w:pPr>
                    <w:r>
                      <w:rPr>
                        <w:rFonts w:hint="eastAsia"/>
                        <w:szCs w:val="21"/>
                      </w:rPr>
                      <w:t>2016年</w:t>
                    </w:r>
                    <w:r>
                      <w:rPr>
                        <w:szCs w:val="21"/>
                      </w:rPr>
                      <w:t>末</w:t>
                    </w:r>
                  </w:p>
                </w:tc>
              </w:sdtContent>
            </w:sdt>
            <w:sdt>
              <w:sdtPr>
                <w:tag w:val="_PLD_eccdaa2d1ee940be88fdba6d8a4ef55d"/>
                <w:id w:val="1900317487"/>
                <w:lock w:val="sdtLocked"/>
              </w:sdtPr>
              <w:sdtContent>
                <w:tc>
                  <w:tcPr>
                    <w:tcW w:w="1130" w:type="dxa"/>
                    <w:vAlign w:val="center"/>
                  </w:tcPr>
                  <w:p>
                    <w:pPr>
                      <w:widowControl w:val="0"/>
                      <w:kinsoku w:val="0"/>
                      <w:overflowPunct w:val="0"/>
                      <w:autoSpaceDE w:val="0"/>
                      <w:autoSpaceDN w:val="0"/>
                      <w:adjustRightInd w:val="0"/>
                      <w:snapToGrid w:val="0"/>
                      <w:jc w:val="center"/>
                      <w:rPr>
                        <w:szCs w:val="21"/>
                      </w:rPr>
                    </w:pPr>
                    <w:r>
                      <w:rPr>
                        <w:szCs w:val="21"/>
                      </w:rPr>
                      <w:t>本期末比上年同期末增减（</w:t>
                    </w:r>
                    <w:r>
                      <w:rPr>
                        <w:rFonts w:hint="eastAsia"/>
                        <w:szCs w:val="21"/>
                      </w:rPr>
                      <w:t>%</w:t>
                    </w:r>
                    <w:r>
                      <w:rPr>
                        <w:szCs w:val="21"/>
                      </w:rPr>
                      <w:t>）</w:t>
                    </w:r>
                  </w:p>
                </w:tc>
              </w:sdtContent>
            </w:sdt>
            <w:sdt>
              <w:sdtPr>
                <w:tag w:val="_PLD_3af4b93afaec4509befbcf4b19db9883"/>
                <w:id w:val="-406541574"/>
                <w:lock w:val="sdtLocked"/>
              </w:sdtPr>
              <w:sdtContent>
                <w:tc>
                  <w:tcPr>
                    <w:tcW w:w="1653" w:type="dxa"/>
                    <w:vAlign w:val="center"/>
                  </w:tcPr>
                  <w:p>
                    <w:pPr>
                      <w:widowControl w:val="0"/>
                      <w:kinsoku w:val="0"/>
                      <w:overflowPunct w:val="0"/>
                      <w:autoSpaceDE w:val="0"/>
                      <w:autoSpaceDN w:val="0"/>
                      <w:adjustRightInd w:val="0"/>
                      <w:snapToGrid w:val="0"/>
                      <w:jc w:val="center"/>
                      <w:rPr>
                        <w:szCs w:val="21"/>
                      </w:rPr>
                    </w:pPr>
                    <w:r>
                      <w:rPr>
                        <w:rFonts w:hint="eastAsia"/>
                        <w:szCs w:val="21"/>
                      </w:rPr>
                      <w:t>2015年末</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1257117f05a44030bdc03ae8e5b21a70"/>
                <w:id w:val="-1569563998"/>
                <w:lock w:val="sdtLocked"/>
              </w:sdtPr>
              <w:sdtContent>
                <w:tc>
                  <w:tcPr>
                    <w:tcW w:w="2960" w:type="dxa"/>
                  </w:tcPr>
                  <w:p>
                    <w:pPr>
                      <w:widowControl w:val="0"/>
                      <w:kinsoku w:val="0"/>
                      <w:overflowPunct w:val="0"/>
                      <w:autoSpaceDE w:val="0"/>
                      <w:autoSpaceDN w:val="0"/>
                      <w:adjustRightInd w:val="0"/>
                      <w:snapToGrid w:val="0"/>
                      <w:jc w:val="both"/>
                      <w:rPr>
                        <w:szCs w:val="21"/>
                      </w:rPr>
                    </w:pPr>
                    <w:r>
                      <w:rPr>
                        <w:rFonts w:hint="eastAsia"/>
                        <w:szCs w:val="21"/>
                      </w:rPr>
                      <w:t>归属于上市公司股东的净资产</w:t>
                    </w:r>
                  </w:p>
                </w:tc>
              </w:sdtContent>
            </w:sdt>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7,199,197,932.14</w:t>
                </w:r>
              </w:p>
            </w:tc>
            <w:tc>
              <w:tcPr>
                <w:tcW w:w="1653" w:type="dxa"/>
                <w:vAlign w:val="center"/>
              </w:tcPr>
              <w:p>
                <w:pPr>
                  <w:widowControl w:val="0"/>
                  <w:kinsoku w:val="0"/>
                  <w:overflowPunct w:val="0"/>
                  <w:autoSpaceDE w:val="0"/>
                  <w:autoSpaceDN w:val="0"/>
                  <w:adjustRightInd w:val="0"/>
                  <w:snapToGrid w:val="0"/>
                  <w:jc w:val="right"/>
                  <w:rPr>
                    <w:rFonts w:ascii="Arial Narrow" w:hAnsi="Arial Narrow"/>
                    <w:bCs/>
                    <w:szCs w:val="21"/>
                  </w:rPr>
                </w:pPr>
                <w:r>
                  <w:rPr>
                    <w:rFonts w:ascii="Arial Narrow" w:hAnsi="Arial Narrow"/>
                  </w:rPr>
                  <w:t>4,634,904,577.99</w:t>
                </w:r>
              </w:p>
            </w:tc>
            <w:tc>
              <w:tcPr>
                <w:tcW w:w="1130"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55.33</w:t>
                </w:r>
              </w:p>
            </w:tc>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4,438,219,261.50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2d1128ab6991472fb0ba6892584a4be8"/>
                <w:id w:val="1082268565"/>
                <w:lock w:val="sdtLocked"/>
              </w:sdtPr>
              <w:sdtContent>
                <w:tc>
                  <w:tcPr>
                    <w:tcW w:w="2960" w:type="dxa"/>
                  </w:tcPr>
                  <w:p>
                    <w:pPr>
                      <w:widowControl w:val="0"/>
                      <w:kinsoku w:val="0"/>
                      <w:overflowPunct w:val="0"/>
                      <w:autoSpaceDE w:val="0"/>
                      <w:autoSpaceDN w:val="0"/>
                      <w:adjustRightInd w:val="0"/>
                      <w:snapToGrid w:val="0"/>
                      <w:jc w:val="both"/>
                      <w:rPr>
                        <w:szCs w:val="21"/>
                      </w:rPr>
                    </w:pPr>
                    <w:r>
                      <w:rPr>
                        <w:rFonts w:hint="eastAsia"/>
                        <w:szCs w:val="21"/>
                      </w:rPr>
                      <w:t>总资产</w:t>
                    </w:r>
                  </w:p>
                </w:tc>
              </w:sdtContent>
            </w:sdt>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23,073,917,245.23</w:t>
                </w:r>
              </w:p>
            </w:tc>
            <w:tc>
              <w:tcPr>
                <w:tcW w:w="1653" w:type="dxa"/>
                <w:vAlign w:val="center"/>
              </w:tcPr>
              <w:p>
                <w:pPr>
                  <w:widowControl w:val="0"/>
                  <w:kinsoku w:val="0"/>
                  <w:overflowPunct w:val="0"/>
                  <w:autoSpaceDE w:val="0"/>
                  <w:autoSpaceDN w:val="0"/>
                  <w:adjustRightInd w:val="0"/>
                  <w:snapToGrid w:val="0"/>
                  <w:jc w:val="right"/>
                  <w:rPr>
                    <w:rFonts w:ascii="Arial Narrow" w:hAnsi="Arial Narrow"/>
                    <w:bCs/>
                    <w:szCs w:val="21"/>
                  </w:rPr>
                </w:pPr>
                <w:r>
                  <w:rPr>
                    <w:rFonts w:ascii="Arial Narrow" w:hAnsi="Arial Narrow"/>
                  </w:rPr>
                  <w:t>20,811,902,878.94</w:t>
                </w:r>
              </w:p>
            </w:tc>
            <w:tc>
              <w:tcPr>
                <w:tcW w:w="1130"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10.87</w:t>
                </w:r>
              </w:p>
            </w:tc>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22,626,285,185.27</w:t>
                </w:r>
              </w:p>
            </w:tc>
          </w:tr>
          <w:sdt>
            <w:sdtPr>
              <w:rPr>
                <w:rFonts w:asciiTheme="minorHAnsi" w:hAnsiTheme="minorHAnsi" w:eastAsiaTheme="minorEastAsia" w:cstheme="minorBidi"/>
                <w:kern w:val="2"/>
                <w:szCs w:val="21"/>
              </w:rPr>
              <w:alias w:val="主要会计数据（余额）"/>
              <w:tag w:val="_TUP_07be6bd5df7c4e228c29d9921ead1209"/>
              <w:id w:val="1948586638"/>
              <w:lock w:val="sdtLocked"/>
            </w:sdtPr>
            <w:sdtEndPr>
              <w:rPr>
                <w:rFonts w:ascii="Arial Narrow" w:hAnsi="Arial Narrow" w:eastAsiaTheme="minorEastAsia" w:cstheme="minorBidi"/>
                <w:color w:val="008000"/>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60" w:type="dxa"/>
                  </w:tcPr>
                  <w:p>
                    <w:pPr>
                      <w:widowControl w:val="0"/>
                      <w:kinsoku w:val="0"/>
                      <w:overflowPunct w:val="0"/>
                      <w:autoSpaceDE w:val="0"/>
                      <w:autoSpaceDN w:val="0"/>
                      <w:adjustRightInd w:val="0"/>
                      <w:snapToGrid w:val="0"/>
                      <w:jc w:val="both"/>
                      <w:rPr>
                        <w:szCs w:val="21"/>
                      </w:rPr>
                    </w:pPr>
                    <w:r>
                      <w:rPr>
                        <w:rFonts w:hint="eastAsia"/>
                        <w:szCs w:val="21"/>
                      </w:rPr>
                      <w:t>期末总股本</w:t>
                    </w:r>
                  </w:p>
                </w:tc>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2,562,793,200.00</w:t>
                    </w:r>
                  </w:p>
                </w:tc>
                <w:tc>
                  <w:tcPr>
                    <w:tcW w:w="1653" w:type="dxa"/>
                    <w:vAlign w:val="center"/>
                  </w:tcPr>
                  <w:p>
                    <w:pPr>
                      <w:widowControl w:val="0"/>
                      <w:kinsoku w:val="0"/>
                      <w:overflowPunct w:val="0"/>
                      <w:autoSpaceDE w:val="0"/>
                      <w:autoSpaceDN w:val="0"/>
                      <w:adjustRightInd w:val="0"/>
                      <w:snapToGrid w:val="0"/>
                      <w:jc w:val="right"/>
                      <w:rPr>
                        <w:rFonts w:ascii="Arial Narrow" w:hAnsi="Arial Narrow"/>
                        <w:bCs/>
                        <w:szCs w:val="21"/>
                      </w:rPr>
                    </w:pPr>
                    <w:r>
                      <w:rPr>
                        <w:rFonts w:ascii="Arial Narrow" w:hAnsi="Arial Narrow"/>
                      </w:rPr>
                      <w:t>2,562,793,200.00</w:t>
                    </w:r>
                  </w:p>
                </w:tc>
                <w:tc>
                  <w:tcPr>
                    <w:tcW w:w="1130" w:type="dxa"/>
                    <w:vAlign w:val="center"/>
                  </w:tcPr>
                  <w:p>
                    <w:pPr>
                      <w:widowControl w:val="0"/>
                      <w:kinsoku w:val="0"/>
                      <w:overflowPunct w:val="0"/>
                      <w:autoSpaceDE w:val="0"/>
                      <w:autoSpaceDN w:val="0"/>
                      <w:adjustRightInd w:val="0"/>
                      <w:snapToGrid w:val="0"/>
                      <w:jc w:val="right"/>
                      <w:rPr>
                        <w:rFonts w:ascii="Arial Narrow" w:hAnsi="Arial Narrow"/>
                        <w:szCs w:val="21"/>
                      </w:rPr>
                    </w:pPr>
                  </w:p>
                </w:tc>
                <w:tc>
                  <w:tcPr>
                    <w:tcW w:w="165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2,562,793,200.00</w:t>
                    </w:r>
                  </w:p>
                </w:tc>
              </w:tr>
            </w:sdtContent>
          </w:sdt>
        </w:tbl>
        <w:p/>
      </w:sdtContent>
    </w:sdt>
    <w:p>
      <w:pPr>
        <w:pStyle w:val="4"/>
        <w:numPr>
          <w:ilvl w:val="1"/>
          <w:numId w:val="5"/>
        </w:numPr>
        <w:rPr>
          <w:rFonts w:ascii="宋体" w:hAnsi="宋体"/>
          <w:szCs w:val="21"/>
        </w:rPr>
      </w:pPr>
      <w:r>
        <w:t>主要财务指标</w:t>
      </w:r>
    </w:p>
    <w:sdt>
      <w:sdtPr>
        <w:alias w:val="选项模块:主要财务指标(无追溯)"/>
        <w:tag w:val="_SEC_ca679c431b23410b8002c2ae2c543dab"/>
        <w:id w:val="6772486"/>
        <w:lock w:val="sdtLocked"/>
      </w:sdtPr>
      <w:sdtContent>
        <w:p/>
        <w:tbl>
          <w:tblPr>
            <w:tblStyle w:val="8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1412"/>
            <w:gridCol w:w="1529"/>
            <w:gridCol w:w="2074"/>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Cs w:val="21"/>
                </w:rPr>
                <w:tag w:val="_PLD_a5c59cd3e5544374a4bd7ceda5f62092"/>
                <w:id w:val="408352793"/>
                <w:lock w:val="sdtLocked"/>
              </w:sdtPr>
              <w:sdtEndPr>
                <w:rPr>
                  <w:rFonts w:ascii="Times New Roman" w:hAnsi="Times New Roman"/>
                  <w:szCs w:val="20"/>
                </w:rPr>
              </w:sdtEndPr>
              <w:sdtContent>
                <w:tc>
                  <w:tcPr>
                    <w:tcW w:w="3031" w:type="dxa"/>
                    <w:vAlign w:val="center"/>
                  </w:tcPr>
                  <w:p>
                    <w:pPr>
                      <w:widowControl w:val="0"/>
                      <w:kinsoku w:val="0"/>
                      <w:overflowPunct w:val="0"/>
                      <w:autoSpaceDE w:val="0"/>
                      <w:autoSpaceDN w:val="0"/>
                      <w:adjustRightInd w:val="0"/>
                      <w:snapToGrid w:val="0"/>
                      <w:jc w:val="center"/>
                      <w:rPr>
                        <w:szCs w:val="21"/>
                      </w:rPr>
                    </w:pPr>
                    <w:r>
                      <w:rPr>
                        <w:szCs w:val="21"/>
                      </w:rPr>
                      <w:t>主要财务指标</w:t>
                    </w:r>
                  </w:p>
                </w:tc>
              </w:sdtContent>
            </w:sdt>
            <w:sdt>
              <w:sdtPr>
                <w:tag w:val="_PLD_1a1e4f34f77949538a9c656b241499b6"/>
                <w:id w:val="1425601383"/>
                <w:lock w:val="sdtLocked"/>
              </w:sdtPr>
              <w:sdtContent>
                <w:tc>
                  <w:tcPr>
                    <w:tcW w:w="1412" w:type="dxa"/>
                    <w:vAlign w:val="center"/>
                  </w:tcPr>
                  <w:p>
                    <w:pPr>
                      <w:widowControl w:val="0"/>
                      <w:kinsoku w:val="0"/>
                      <w:overflowPunct w:val="0"/>
                      <w:autoSpaceDE w:val="0"/>
                      <w:autoSpaceDN w:val="0"/>
                      <w:adjustRightInd w:val="0"/>
                      <w:snapToGrid w:val="0"/>
                      <w:jc w:val="center"/>
                      <w:rPr>
                        <w:szCs w:val="21"/>
                      </w:rPr>
                    </w:pPr>
                    <w:r>
                      <w:rPr>
                        <w:rFonts w:hint="eastAsia"/>
                        <w:szCs w:val="21"/>
                      </w:rPr>
                      <w:t>2017年</w:t>
                    </w:r>
                  </w:p>
                </w:tc>
              </w:sdtContent>
            </w:sdt>
            <w:sdt>
              <w:sdtPr>
                <w:tag w:val="_PLD_9310148e9c2c4e968f8a8cf7147fc9a7"/>
                <w:id w:val="429777246"/>
                <w:lock w:val="sdtLocked"/>
              </w:sdtPr>
              <w:sdtContent>
                <w:tc>
                  <w:tcPr>
                    <w:tcW w:w="1529" w:type="dxa"/>
                    <w:vAlign w:val="center"/>
                  </w:tcPr>
                  <w:p>
                    <w:pPr>
                      <w:widowControl w:val="0"/>
                      <w:kinsoku w:val="0"/>
                      <w:overflowPunct w:val="0"/>
                      <w:autoSpaceDE w:val="0"/>
                      <w:autoSpaceDN w:val="0"/>
                      <w:adjustRightInd w:val="0"/>
                      <w:snapToGrid w:val="0"/>
                      <w:jc w:val="center"/>
                      <w:rPr>
                        <w:szCs w:val="21"/>
                      </w:rPr>
                    </w:pPr>
                    <w:r>
                      <w:rPr>
                        <w:rFonts w:hint="eastAsia"/>
                        <w:szCs w:val="21"/>
                      </w:rPr>
                      <w:t>2016年</w:t>
                    </w:r>
                  </w:p>
                </w:tc>
              </w:sdtContent>
            </w:sdt>
            <w:sdt>
              <w:sdtPr>
                <w:tag w:val="_PLD_5901f5518cb6434888ae838febb8af68"/>
                <w:id w:val="1056445037"/>
                <w:lock w:val="sdtLocked"/>
              </w:sdtPr>
              <w:sdtContent>
                <w:tc>
                  <w:tcPr>
                    <w:tcW w:w="2074" w:type="dxa"/>
                    <w:vAlign w:val="center"/>
                  </w:tcPr>
                  <w:p>
                    <w:pPr>
                      <w:widowControl w:val="0"/>
                      <w:kinsoku w:val="0"/>
                      <w:overflowPunct w:val="0"/>
                      <w:autoSpaceDE w:val="0"/>
                      <w:autoSpaceDN w:val="0"/>
                      <w:adjustRightInd w:val="0"/>
                      <w:snapToGrid w:val="0"/>
                      <w:jc w:val="center"/>
                      <w:rPr>
                        <w:szCs w:val="21"/>
                      </w:rPr>
                    </w:pPr>
                    <w:r>
                      <w:rPr>
                        <w:szCs w:val="21"/>
                      </w:rPr>
                      <w:t>本期比上年同期增减(%)</w:t>
                    </w:r>
                  </w:p>
                </w:tc>
              </w:sdtContent>
            </w:sdt>
            <w:sdt>
              <w:sdtPr>
                <w:tag w:val="_PLD_437266ed462e4dd1873b86621495169c"/>
                <w:id w:val="749073810"/>
                <w:lock w:val="sdtLocked"/>
              </w:sdtPr>
              <w:sdtContent>
                <w:tc>
                  <w:tcPr>
                    <w:tcW w:w="1003" w:type="dxa"/>
                    <w:vAlign w:val="center"/>
                  </w:tcPr>
                  <w:p>
                    <w:pPr>
                      <w:widowControl w:val="0"/>
                      <w:kinsoku w:val="0"/>
                      <w:overflowPunct w:val="0"/>
                      <w:autoSpaceDE w:val="0"/>
                      <w:autoSpaceDN w:val="0"/>
                      <w:adjustRightInd w:val="0"/>
                      <w:snapToGrid w:val="0"/>
                      <w:jc w:val="center"/>
                      <w:rPr>
                        <w:szCs w:val="21"/>
                      </w:rPr>
                    </w:pPr>
                    <w:r>
                      <w:rPr>
                        <w:rFonts w:hint="eastAsia"/>
                        <w:szCs w:val="21"/>
                      </w:rPr>
                      <w:t>2015年</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2029c032d9941d88b63fd2cb7b877be"/>
                <w:id w:val="1081104903"/>
                <w:lock w:val="sdtLocked"/>
              </w:sdtPr>
              <w:sdtContent>
                <w:tc>
                  <w:tcPr>
                    <w:tcW w:w="3031" w:type="dxa"/>
                  </w:tcPr>
                  <w:p>
                    <w:pPr>
                      <w:widowControl w:val="0"/>
                      <w:kinsoku w:val="0"/>
                      <w:overflowPunct w:val="0"/>
                      <w:autoSpaceDE w:val="0"/>
                      <w:autoSpaceDN w:val="0"/>
                      <w:adjustRightInd w:val="0"/>
                      <w:snapToGrid w:val="0"/>
                      <w:jc w:val="both"/>
                      <w:rPr>
                        <w:szCs w:val="21"/>
                      </w:rPr>
                    </w:pPr>
                    <w:r>
                      <w:rPr>
                        <w:szCs w:val="21"/>
                      </w:rPr>
                      <w:t>基本每股收益（元／股）</w:t>
                    </w:r>
                  </w:p>
                </w:tc>
              </w:sdtContent>
            </w:sdt>
            <w:tc>
              <w:tcPr>
                <w:tcW w:w="1412"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1.0325</w:t>
                </w:r>
              </w:p>
            </w:tc>
            <w:tc>
              <w:tcPr>
                <w:tcW w:w="1529"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0.0766</w:t>
                </w:r>
              </w:p>
            </w:tc>
            <w:tc>
              <w:tcPr>
                <w:tcW w:w="2074"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1,247.91</w:t>
                </w:r>
              </w:p>
            </w:tc>
            <w:tc>
              <w:tcPr>
                <w:tcW w:w="100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-0.4641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06ab82e1b1a468183667d9f85129f9f"/>
                <w:id w:val="377445467"/>
                <w:lock w:val="sdtLocked"/>
              </w:sdtPr>
              <w:sdtContent>
                <w:tc>
                  <w:tcPr>
                    <w:tcW w:w="3031" w:type="dxa"/>
                  </w:tcPr>
                  <w:p>
                    <w:pPr>
                      <w:widowControl w:val="0"/>
                      <w:kinsoku w:val="0"/>
                      <w:overflowPunct w:val="0"/>
                      <w:autoSpaceDE w:val="0"/>
                      <w:autoSpaceDN w:val="0"/>
                      <w:adjustRightInd w:val="0"/>
                      <w:snapToGrid w:val="0"/>
                      <w:jc w:val="both"/>
                      <w:rPr>
                        <w:szCs w:val="21"/>
                      </w:rPr>
                    </w:pPr>
                    <w:r>
                      <w:rPr>
                        <w:szCs w:val="21"/>
                      </w:rPr>
                      <w:t>稀释每股收益（元／股）</w:t>
                    </w:r>
                  </w:p>
                </w:tc>
              </w:sdtContent>
            </w:sdt>
            <w:tc>
              <w:tcPr>
                <w:tcW w:w="1412"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1.0325</w:t>
                </w:r>
              </w:p>
            </w:tc>
            <w:tc>
              <w:tcPr>
                <w:tcW w:w="1529"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0.0766</w:t>
                </w:r>
              </w:p>
            </w:tc>
            <w:tc>
              <w:tcPr>
                <w:tcW w:w="2074"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1,247.91</w:t>
                </w:r>
              </w:p>
            </w:tc>
            <w:tc>
              <w:tcPr>
                <w:tcW w:w="100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-0.4641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7a69c7a48d54fb690056285f916f579"/>
                <w:id w:val="1839426835"/>
                <w:lock w:val="sdtLocked"/>
              </w:sdtPr>
              <w:sdtContent>
                <w:tc>
                  <w:tcPr>
                    <w:tcW w:w="3031" w:type="dxa"/>
                  </w:tcPr>
                  <w:p>
                    <w:pPr>
                      <w:widowControl w:val="0"/>
                      <w:kinsoku w:val="0"/>
                      <w:overflowPunct w:val="0"/>
                      <w:autoSpaceDE w:val="0"/>
                      <w:autoSpaceDN w:val="0"/>
                      <w:adjustRightInd w:val="0"/>
                      <w:snapToGrid w:val="0"/>
                      <w:jc w:val="both"/>
                      <w:rPr>
                        <w:szCs w:val="21"/>
                      </w:rPr>
                    </w:pPr>
                    <w:r>
                      <w:rPr>
                        <w:szCs w:val="21"/>
                      </w:rPr>
                      <w:t>扣除非经常性损益后的基本每股收益（元／股）</w:t>
                    </w:r>
                  </w:p>
                </w:tc>
              </w:sdtContent>
            </w:sdt>
            <w:tc>
              <w:tcPr>
                <w:tcW w:w="1412"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1.015</w:t>
                </w:r>
                <w:r>
                  <w:rPr>
                    <w:rFonts w:hint="eastAsia" w:ascii="Arial Narrow" w:hAnsi="Arial Narrow"/>
                  </w:rPr>
                  <w:t>0</w:t>
                </w:r>
              </w:p>
            </w:tc>
            <w:tc>
              <w:tcPr>
                <w:tcW w:w="1529"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0.0792</w:t>
                </w:r>
              </w:p>
            </w:tc>
            <w:tc>
              <w:tcPr>
                <w:tcW w:w="2074"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1,181.57</w:t>
                </w:r>
              </w:p>
            </w:tc>
            <w:tc>
              <w:tcPr>
                <w:tcW w:w="100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-0.4257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3b5ea80f39c406c95219d8487076098"/>
                <w:id w:val="-1142580478"/>
                <w:lock w:val="sdtLocked"/>
              </w:sdtPr>
              <w:sdtContent>
                <w:tc>
                  <w:tcPr>
                    <w:tcW w:w="3031" w:type="dxa"/>
                  </w:tcPr>
                  <w:p>
                    <w:pPr>
                      <w:widowControl w:val="0"/>
                      <w:kinsoku w:val="0"/>
                      <w:overflowPunct w:val="0"/>
                      <w:autoSpaceDE w:val="0"/>
                      <w:autoSpaceDN w:val="0"/>
                      <w:adjustRightInd w:val="0"/>
                      <w:snapToGrid w:val="0"/>
                      <w:jc w:val="both"/>
                      <w:rPr>
                        <w:szCs w:val="21"/>
                      </w:rPr>
                    </w:pPr>
                    <w:r>
                      <w:rPr>
                        <w:szCs w:val="21"/>
                      </w:rPr>
                      <w:t>加权平均净资产收益率（%）</w:t>
                    </w:r>
                  </w:p>
                </w:tc>
              </w:sdtContent>
            </w:sdt>
            <w:tc>
              <w:tcPr>
                <w:tcW w:w="1412"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44.7</w:t>
                </w:r>
              </w:p>
            </w:tc>
            <w:tc>
              <w:tcPr>
                <w:tcW w:w="1529"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4.33</w:t>
                </w:r>
              </w:p>
            </w:tc>
            <w:tc>
              <w:tcPr>
                <w:tcW w:w="2074"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增加40.37个百分点</w:t>
                </w:r>
              </w:p>
            </w:tc>
            <w:tc>
              <w:tcPr>
                <w:tcW w:w="100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-23.44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1253a26569144748535d650731774ce"/>
                <w:id w:val="226508940"/>
                <w:lock w:val="sdtLocked"/>
              </w:sdtPr>
              <w:sdtContent>
                <w:tc>
                  <w:tcPr>
                    <w:tcW w:w="3031" w:type="dxa"/>
                  </w:tcPr>
                  <w:p>
                    <w:pPr>
                      <w:widowControl w:val="0"/>
                      <w:kinsoku w:val="0"/>
                      <w:overflowPunct w:val="0"/>
                      <w:autoSpaceDE w:val="0"/>
                      <w:autoSpaceDN w:val="0"/>
                      <w:adjustRightInd w:val="0"/>
                      <w:snapToGrid w:val="0"/>
                      <w:jc w:val="both"/>
                      <w:rPr>
                        <w:szCs w:val="21"/>
                      </w:rPr>
                    </w:pPr>
                    <w:r>
                      <w:rPr>
                        <w:szCs w:val="21"/>
                      </w:rPr>
                      <w:t>扣除非经常性损益后的加权平均净资产收益率（%）</w:t>
                    </w:r>
                  </w:p>
                </w:tc>
              </w:sdtContent>
            </w:sdt>
            <w:tc>
              <w:tcPr>
                <w:tcW w:w="1412"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43.94</w:t>
                </w:r>
              </w:p>
            </w:tc>
            <w:tc>
              <w:tcPr>
                <w:tcW w:w="1529"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4.47</w:t>
                </w:r>
              </w:p>
            </w:tc>
            <w:tc>
              <w:tcPr>
                <w:tcW w:w="2074"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增加39.47个百分点</w:t>
                </w:r>
              </w:p>
            </w:tc>
            <w:tc>
              <w:tcPr>
                <w:tcW w:w="1003" w:type="dxa"/>
                <w:vAlign w:val="center"/>
              </w:tcPr>
              <w:p>
                <w:pPr>
                  <w:widowControl w:val="0"/>
                  <w:kinsoku w:val="0"/>
                  <w:overflowPunct w:val="0"/>
                  <w:autoSpaceDE w:val="0"/>
                  <w:autoSpaceDN w:val="0"/>
                  <w:adjustRightInd w:val="0"/>
                  <w:snapToGrid w:val="0"/>
                  <w:jc w:val="right"/>
                  <w:rPr>
                    <w:rFonts w:ascii="Arial Narrow" w:hAnsi="Arial Narrow"/>
                    <w:szCs w:val="21"/>
                  </w:rPr>
                </w:pPr>
                <w:r>
                  <w:rPr>
                    <w:rFonts w:ascii="Arial Narrow" w:hAnsi="Arial Narrow"/>
                  </w:rPr>
                  <w:t>-21.5</w:t>
                </w:r>
              </w:p>
            </w:tc>
          </w:tr>
        </w:tbl>
        <w:p/>
      </w:sdtContent>
    </w:sdt>
    <w:sdt>
      <w:sdtPr>
        <w:alias w:val="模块:公司主要会计数据和财务指标的说明"/>
        <w:tag w:val="_SEC_e0c1d174841549508433e1bc7cb4c9d5"/>
        <w:id w:val="6772488"/>
        <w:lock w:val="sdtLocked"/>
        <w:placeholder>
          <w:docPart w:val="GBC22222222222222222222222222222"/>
        </w:placeholder>
      </w:sdtPr>
      <w:sdtContent>
        <w:p>
          <w:pPr>
            <w:rPr>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6772487"/>
            <w:lock w:val="sdtContentLocked"/>
            <w:placeholder>
              <w:docPart w:val="GBC22222222222222222222222222222"/>
            </w:placeholder>
          </w:sdtPr>
          <w:sdtEndPr>
            <w:rPr>
              <w:szCs w:val="21"/>
            </w:rPr>
          </w:sdtEndPr>
          <w:sdtContent>
            <w:p>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sdtContent>
    </w:sdt>
    <w:p/>
    <w:p>
      <w:pPr>
        <w:pStyle w:val="3"/>
        <w:numPr>
          <w:ilvl w:val="1"/>
          <w:numId w:val="4"/>
        </w:numPr>
        <w:ind w:left="498" w:hanging="498" w:hangingChars="236"/>
      </w:pPr>
      <w:r>
        <w:rPr>
          <w:rFonts w:hint="eastAsia"/>
        </w:rPr>
        <w:t>境内外会计准则下会计数据差异</w:t>
      </w:r>
    </w:p>
    <w:sdt>
      <w:sdtPr>
        <w:rPr>
          <w:rFonts w:hint="eastAsia" w:ascii="宋体" w:hAnsi="宋体" w:cs="宋体"/>
          <w:b w:val="0"/>
          <w:bCs w:val="0"/>
          <w:kern w:val="0"/>
          <w:szCs w:val="21"/>
        </w:rPr>
        <w:alias w:val="模块:同时按照国际会计准则与按中国会计准则披露的差异"/>
        <w:tag w:val="_SEC_cd4f769de8434e6fa625c3e1e3edf9f8"/>
        <w:id w:val="6772490"/>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6"/>
            </w:numPr>
            <w:rPr>
              <w:szCs w:val="21"/>
            </w:rPr>
          </w:pPr>
          <w:r>
            <w:rPr>
              <w:rFonts w:hint="eastAsia"/>
              <w:szCs w:val="21"/>
            </w:rPr>
            <w:t>同时按照国际会计准则与按中国会计准则披露的财务报告中净利润和归属于上市公司股东的净资产差异情况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6772489"/>
            <w:lock w:val="sdtContentLocked"/>
            <w:placeholder>
              <w:docPart w:val="GBC22222222222222222222222222222"/>
            </w:placeholder>
          </w:sdtPr>
          <w:sdtEndPr>
            <w:rPr>
              <w:szCs w:val="21"/>
            </w:rPr>
          </w:sdtEndPr>
          <w:sdtContent>
            <w:p>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1"/>
        </w:rPr>
        <w:alias w:val="模块:同时按照境外会计准则与按中国会计准则披露的差异"/>
        <w:tag w:val="_SEC_443550478d2c4f8ca34d8b799ef01903"/>
        <w:id w:val="6772492"/>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6"/>
            </w:numPr>
            <w:ind w:left="368" w:hanging="367" w:hangingChars="175"/>
            <w:rPr>
              <w:szCs w:val="21"/>
            </w:rPr>
          </w:pPr>
          <w:r>
            <w:rPr>
              <w:szCs w:val="21"/>
            </w:rPr>
            <w:t>同时按照境外会计准则与按中国会计准则披露的财务报告中净利润和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6772491"/>
            <w:lock w:val="sdtContentLocked"/>
            <w:placeholder>
              <w:docPart w:val="GBC22222222222222222222222222222"/>
            </w:placeholder>
          </w:sdtPr>
          <w:sdtEndPr>
            <w:rPr>
              <w:szCs w:val="21"/>
            </w:rPr>
          </w:sdtEndPr>
          <w:sdtContent>
            <w:p>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境内外会计准则差异的说明"/>
        <w:tag w:val="_SEC_b22be8396e6f44ec8ff113069c448aa0"/>
        <w:id w:val="6772494"/>
        <w:lock w:val="sdtLocked"/>
        <w:placeholder>
          <w:docPart w:val="GBC22222222222222222222222222222"/>
        </w:placeholder>
      </w:sdtPr>
      <w:sdtEndPr>
        <w:rPr>
          <w:rFonts w:ascii="宋体" w:hAnsi="宋体" w:cs="宋体"/>
          <w:b w:val="0"/>
          <w:bCs w:val="0"/>
          <w:kern w:val="0"/>
          <w:sz w:val="21"/>
          <w:szCs w:val="24"/>
        </w:rPr>
      </w:sdtEndPr>
      <w:sdtContent>
        <w:p>
          <w:pPr>
            <w:pStyle w:val="4"/>
            <w:numPr>
              <w:ilvl w:val="0"/>
              <w:numId w:val="6"/>
            </w:numPr>
            <w:ind w:hangingChars="175"/>
          </w:pPr>
          <w:r>
            <w:t>境内外会计准则差异的说明：</w:t>
          </w:r>
        </w:p>
        <w:sdt>
          <w:sdtPr>
            <w:alias w:val="是否适用：境内外会计准则差异的说明[双击切换]"/>
            <w:tag w:val="_GBC_fb9a5edc484f49ab948423fc0bade519"/>
            <w:id w:val="677249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
      <w:pPr>
        <w:pStyle w:val="3"/>
        <w:numPr>
          <w:ilvl w:val="1"/>
          <w:numId w:val="4"/>
        </w:numPr>
        <w:ind w:left="498" w:hanging="498" w:hangingChars="236"/>
      </w:pPr>
      <w:r>
        <w:rPr>
          <w:rFonts w:hint="eastAsia"/>
        </w:rPr>
        <w:t>2017年分季度主要财务数据</w:t>
      </w:r>
    </w:p>
    <w:sdt>
      <w:sdtPr>
        <w:rPr>
          <w:rFonts w:hint="eastAsia"/>
          <w:b/>
          <w:bCs/>
        </w:rPr>
        <w:alias w:val="模块:分季度主要财务数据"/>
        <w:tag w:val="_SEC_8cfd3688781f4629a476386b97fa2f75"/>
        <w:id w:val="6772506"/>
        <w:lock w:val="sdtLocked"/>
        <w:placeholder>
          <w:docPart w:val="GBC22222222222222222222222222222"/>
        </w:placeholder>
      </w:sdtPr>
      <w:sdtEndPr>
        <w:rPr>
          <w:rFonts w:hint="eastAsia"/>
          <w:b w:val="0"/>
          <w:bCs w:val="0"/>
        </w:rPr>
      </w:sdtEndPr>
      <w:sdtContent>
        <w:p>
          <w:pPr>
            <w:jc w:val="right"/>
            <w:rPr>
              <w:szCs w:val="21"/>
            </w:rPr>
          </w:pPr>
          <w:r>
            <w:rPr>
              <w:rFonts w:hint="eastAsia"/>
              <w:szCs w:val="21"/>
            </w:rPr>
            <w:t>单位：</w:t>
          </w:r>
          <w:sdt>
            <w:sdtPr>
              <w:rPr>
                <w:rFonts w:hint="eastAsia"/>
                <w:szCs w:val="21"/>
              </w:rPr>
              <w:alias w:val="单位：分季度主要财务数据"/>
              <w:tag w:val="_GBC_c7bf8a69799342519e2da375e77f8d89"/>
              <w:id w:val="677249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67724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50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1558"/>
            <w:gridCol w:w="1653"/>
            <w:gridCol w:w="165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2" w:type="dxa"/>
                <w:vAlign w:val="center"/>
              </w:tcPr>
              <w:p>
                <w:pPr>
                  <w:jc w:val="center"/>
                </w:pPr>
              </w:p>
            </w:tc>
            <w:sdt>
              <w:sdtPr>
                <w:tag w:val="_PLD_2d7ae3b1c4bd43a98e284f10d0bdc51f"/>
                <w:id w:val="-1858343420"/>
                <w:lock w:val="sdtLocked"/>
              </w:sdtPr>
              <w:sdtContent>
                <w:tc>
                  <w:tcPr>
                    <w:tcW w:w="1558" w:type="dxa"/>
                    <w:vAlign w:val="center"/>
                  </w:tcPr>
                  <w:p>
                    <w:pPr>
                      <w:jc w:val="center"/>
                    </w:pPr>
                    <w:r>
                      <w:rPr>
                        <w:rFonts w:hint="eastAsia"/>
                      </w:rPr>
                      <w:t>第一季度</w:t>
                    </w:r>
                  </w:p>
                  <w:p>
                    <w:pPr>
                      <w:jc w:val="center"/>
                    </w:pPr>
                    <w:r>
                      <w:rPr>
                        <w:rFonts w:hint="eastAsia"/>
                      </w:rPr>
                      <w:t>（1-3月份）</w:t>
                    </w:r>
                  </w:p>
                </w:tc>
              </w:sdtContent>
            </w:sdt>
            <w:sdt>
              <w:sdtPr>
                <w:tag w:val="_PLD_07258d0e3e7e4393960c3400b24cda70"/>
                <w:id w:val="2137680588"/>
                <w:lock w:val="sdtLocked"/>
              </w:sdtPr>
              <w:sdtContent>
                <w:tc>
                  <w:tcPr>
                    <w:tcW w:w="1653" w:type="dxa"/>
                    <w:vAlign w:val="center"/>
                  </w:tcPr>
                  <w:p>
                    <w:pPr>
                      <w:jc w:val="center"/>
                    </w:pPr>
                    <w:r>
                      <w:rPr>
                        <w:rFonts w:hint="eastAsia"/>
                      </w:rPr>
                      <w:t>第二季度</w:t>
                    </w:r>
                  </w:p>
                  <w:p>
                    <w:pPr>
                      <w:jc w:val="center"/>
                    </w:pPr>
                    <w:r>
                      <w:rPr>
                        <w:rFonts w:hint="eastAsia"/>
                      </w:rPr>
                      <w:t>（4-6月份）</w:t>
                    </w:r>
                  </w:p>
                </w:tc>
              </w:sdtContent>
            </w:sdt>
            <w:sdt>
              <w:sdtPr>
                <w:tag w:val="_PLD_f34790307d174eceaa953001c5186096"/>
                <w:id w:val="-2142488780"/>
                <w:lock w:val="sdtLocked"/>
              </w:sdtPr>
              <w:sdtContent>
                <w:tc>
                  <w:tcPr>
                    <w:tcW w:w="1653" w:type="dxa"/>
                    <w:vAlign w:val="center"/>
                  </w:tcPr>
                  <w:p>
                    <w:pPr>
                      <w:jc w:val="center"/>
                    </w:pPr>
                    <w:r>
                      <w:rPr>
                        <w:rFonts w:hint="eastAsia"/>
                      </w:rPr>
                      <w:t>第三季度</w:t>
                    </w:r>
                  </w:p>
                  <w:p>
                    <w:pPr>
                      <w:jc w:val="center"/>
                    </w:pPr>
                    <w:r>
                      <w:rPr>
                        <w:rFonts w:hint="eastAsia"/>
                      </w:rPr>
                      <w:t>（7-9月份）</w:t>
                    </w:r>
                  </w:p>
                </w:tc>
              </w:sdtContent>
            </w:sdt>
            <w:sdt>
              <w:sdtPr>
                <w:tag w:val="_PLD_18cc80c8863d4859a79676f49ef83412"/>
                <w:id w:val="587666606"/>
                <w:lock w:val="sdtLocked"/>
              </w:sdtPr>
              <w:sdtContent>
                <w:tc>
                  <w:tcPr>
                    <w:tcW w:w="1653" w:type="dxa"/>
                    <w:vAlign w:val="center"/>
                  </w:tcPr>
                  <w:p>
                    <w:pPr>
                      <w:jc w:val="center"/>
                    </w:pPr>
                    <w:r>
                      <w:rPr>
                        <w:rFonts w:hint="eastAsia"/>
                      </w:rPr>
                      <w:t>第四季度</w:t>
                    </w:r>
                  </w:p>
                  <w:p>
                    <w:pPr>
                      <w:jc w:val="center"/>
                    </w:pPr>
                    <w:r>
                      <w:rPr>
                        <w:rFonts w:hint="eastAsia"/>
                      </w:rPr>
                      <w:t>（10-12月份）</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9672bff3419446c83a97f99d65a2e0b"/>
                <w:id w:val="-1352565826"/>
                <w:lock w:val="sdtLocked"/>
              </w:sdtPr>
              <w:sdtContent>
                <w:tc>
                  <w:tcPr>
                    <w:tcW w:w="2992" w:type="dxa"/>
                  </w:tcPr>
                  <w:p>
                    <w:r>
                      <w:rPr>
                        <w:rFonts w:hint="eastAsia"/>
                        <w:szCs w:val="21"/>
                      </w:rPr>
                      <w:t>营业收入</w:t>
                    </w:r>
                  </w:p>
                </w:tc>
              </w:sdtContent>
            </w:sdt>
            <w:tc>
              <w:tcPr>
                <w:tcW w:w="1558" w:type="dxa"/>
                <w:vAlign w:val="center"/>
              </w:tcPr>
              <w:p>
                <w:pPr>
                  <w:jc w:val="right"/>
                  <w:rPr>
                    <w:rFonts w:ascii="Arial Narrow" w:hAnsi="Arial Narrow"/>
                  </w:rPr>
                </w:pPr>
                <w:r>
                  <w:rPr>
                    <w:rFonts w:ascii="Arial Narrow" w:hAnsi="Arial Narrow"/>
                  </w:rPr>
                  <w:t>9,044,651,619.12</w:t>
                </w:r>
              </w:p>
            </w:tc>
            <w:tc>
              <w:tcPr>
                <w:tcW w:w="1653" w:type="dxa"/>
                <w:vAlign w:val="center"/>
              </w:tcPr>
              <w:p>
                <w:pPr>
                  <w:jc w:val="right"/>
                  <w:rPr>
                    <w:rFonts w:ascii="Arial Narrow" w:hAnsi="Arial Narrow"/>
                  </w:rPr>
                </w:pPr>
                <w:r>
                  <w:rPr>
                    <w:rFonts w:ascii="Arial Narrow" w:hAnsi="Arial Narrow"/>
                  </w:rPr>
                  <w:t>10,050,127,309.24</w:t>
                </w:r>
              </w:p>
            </w:tc>
            <w:tc>
              <w:tcPr>
                <w:tcW w:w="1653" w:type="dxa"/>
                <w:vAlign w:val="center"/>
              </w:tcPr>
              <w:p>
                <w:pPr>
                  <w:jc w:val="right"/>
                  <w:rPr>
                    <w:rFonts w:ascii="Arial Narrow" w:hAnsi="Arial Narrow"/>
                  </w:rPr>
                </w:pPr>
                <w:r>
                  <w:rPr>
                    <w:rFonts w:ascii="Arial Narrow" w:hAnsi="Arial Narrow"/>
                  </w:rPr>
                  <w:t>10,824,266,127.72</w:t>
                </w:r>
              </w:p>
            </w:tc>
            <w:tc>
              <w:tcPr>
                <w:tcW w:w="1653" w:type="dxa"/>
                <w:vAlign w:val="center"/>
              </w:tcPr>
              <w:p>
                <w:pPr>
                  <w:jc w:val="right"/>
                  <w:rPr>
                    <w:rFonts w:ascii="Arial Narrow" w:hAnsi="Arial Narrow"/>
                  </w:rPr>
                </w:pPr>
                <w:r>
                  <w:rPr>
                    <w:rFonts w:ascii="Arial Narrow" w:hAnsi="Arial Narrow"/>
                  </w:rPr>
                  <w:t>11,638,123,998.18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7fcc70769004239abd5440602d3b505"/>
                <w:id w:val="-1938517100"/>
                <w:lock w:val="sdtLocked"/>
              </w:sdtPr>
              <w:sdtContent>
                <w:tc>
                  <w:tcPr>
                    <w:tcW w:w="2992" w:type="dxa"/>
                  </w:tcPr>
                  <w:p>
                    <w:r>
                      <w:rPr>
                        <w:rFonts w:hint="eastAsia"/>
                        <w:szCs w:val="21"/>
                      </w:rPr>
                      <w:t>归属于上市公司股东的净利润</w:t>
                    </w:r>
                  </w:p>
                </w:tc>
              </w:sdtContent>
            </w:sdt>
            <w:tc>
              <w:tcPr>
                <w:tcW w:w="1558" w:type="dxa"/>
                <w:vAlign w:val="center"/>
              </w:tcPr>
              <w:p>
                <w:pPr>
                  <w:jc w:val="right"/>
                  <w:rPr>
                    <w:rFonts w:ascii="Arial Narrow" w:hAnsi="Arial Narrow"/>
                  </w:rPr>
                </w:pPr>
                <w:r>
                  <w:rPr>
                    <w:rFonts w:ascii="Arial Narrow" w:hAnsi="Arial Narrow"/>
                  </w:rPr>
                  <w:t>202,598,382.85</w:t>
                </w:r>
              </w:p>
            </w:tc>
            <w:tc>
              <w:tcPr>
                <w:tcW w:w="1653" w:type="dxa"/>
                <w:vAlign w:val="center"/>
              </w:tcPr>
              <w:p>
                <w:pPr>
                  <w:jc w:val="right"/>
                  <w:rPr>
                    <w:rFonts w:ascii="Arial Narrow" w:hAnsi="Arial Narrow"/>
                  </w:rPr>
                </w:pPr>
                <w:r>
                  <w:rPr>
                    <w:rFonts w:ascii="Arial Narrow" w:hAnsi="Arial Narrow"/>
                  </w:rPr>
                  <w:t>193,011,590.83</w:t>
                </w:r>
              </w:p>
            </w:tc>
            <w:tc>
              <w:tcPr>
                <w:tcW w:w="1653" w:type="dxa"/>
                <w:vAlign w:val="center"/>
              </w:tcPr>
              <w:p>
                <w:pPr>
                  <w:jc w:val="right"/>
                  <w:rPr>
                    <w:rFonts w:ascii="Arial Narrow" w:hAnsi="Arial Narrow"/>
                  </w:rPr>
                </w:pPr>
                <w:r>
                  <w:rPr>
                    <w:rFonts w:ascii="Arial Narrow" w:hAnsi="Arial Narrow"/>
                  </w:rPr>
                  <w:t>859,601,383.19</w:t>
                </w:r>
              </w:p>
            </w:tc>
            <w:tc>
              <w:tcPr>
                <w:tcW w:w="1653" w:type="dxa"/>
                <w:vAlign w:val="center"/>
              </w:tcPr>
              <w:p>
                <w:pPr>
                  <w:jc w:val="right"/>
                  <w:rPr>
                    <w:rFonts w:ascii="Arial Narrow" w:hAnsi="Arial Narrow"/>
                  </w:rPr>
                </w:pPr>
                <w:r>
                  <w:rPr>
                    <w:rFonts w:ascii="Arial Narrow" w:hAnsi="Arial Narrow"/>
                  </w:rPr>
                  <w:t>1,390,964,936.80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c4437a1c75a41d994bd913b3c6d8e6d"/>
                <w:id w:val="-79681766"/>
                <w:lock w:val="sdtLocked"/>
              </w:sdtPr>
              <w:sdtContent>
                <w:tc>
                  <w:tcPr>
                    <w:tcW w:w="2992" w:type="dxa"/>
                  </w:tcPr>
                  <w:p>
                    <w:r>
                      <w:rPr>
                        <w:rFonts w:hint="eastAsia"/>
                        <w:szCs w:val="21"/>
                      </w:rPr>
                      <w:t>归属于上市公司股东的扣除非经常性损益后的净利润</w:t>
                    </w:r>
                  </w:p>
                </w:tc>
              </w:sdtContent>
            </w:sdt>
            <w:tc>
              <w:tcPr>
                <w:tcW w:w="1558" w:type="dxa"/>
                <w:vAlign w:val="center"/>
              </w:tcPr>
              <w:p>
                <w:pPr>
                  <w:jc w:val="right"/>
                  <w:rPr>
                    <w:rFonts w:ascii="Arial Narrow" w:hAnsi="Arial Narrow"/>
                  </w:rPr>
                </w:pPr>
                <w:r>
                  <w:rPr>
                    <w:rFonts w:ascii="Arial Narrow" w:hAnsi="Arial Narrow"/>
                  </w:rPr>
                  <w:t>195,832,349.43</w:t>
                </w:r>
              </w:p>
            </w:tc>
            <w:tc>
              <w:tcPr>
                <w:tcW w:w="1653" w:type="dxa"/>
                <w:vAlign w:val="center"/>
              </w:tcPr>
              <w:p>
                <w:pPr>
                  <w:jc w:val="right"/>
                  <w:rPr>
                    <w:rFonts w:ascii="Arial Narrow" w:hAnsi="Arial Narrow"/>
                  </w:rPr>
                </w:pPr>
                <w:r>
                  <w:rPr>
                    <w:rFonts w:ascii="Arial Narrow" w:hAnsi="Arial Narrow"/>
                  </w:rPr>
                  <w:t>191,320,502.43</w:t>
                </w:r>
              </w:p>
            </w:tc>
            <w:tc>
              <w:tcPr>
                <w:tcW w:w="1653" w:type="dxa"/>
                <w:vAlign w:val="center"/>
              </w:tcPr>
              <w:p>
                <w:pPr>
                  <w:jc w:val="right"/>
                  <w:rPr>
                    <w:rFonts w:ascii="Arial Narrow" w:hAnsi="Arial Narrow"/>
                  </w:rPr>
                </w:pPr>
                <w:r>
                  <w:rPr>
                    <w:rFonts w:ascii="Arial Narrow" w:hAnsi="Arial Narrow"/>
                  </w:rPr>
                  <w:t>1,018,380,908.04</w:t>
                </w:r>
              </w:p>
            </w:tc>
            <w:tc>
              <w:tcPr>
                <w:tcW w:w="1653" w:type="dxa"/>
                <w:vAlign w:val="center"/>
              </w:tcPr>
              <w:p>
                <w:pPr>
                  <w:jc w:val="right"/>
                  <w:rPr>
                    <w:rFonts w:ascii="Arial Narrow" w:hAnsi="Arial Narrow"/>
                  </w:rPr>
                </w:pPr>
                <w:r>
                  <w:rPr>
                    <w:rFonts w:ascii="Arial Narrow" w:hAnsi="Arial Narrow"/>
                  </w:rPr>
                  <w:t>1,195,790,778.04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a66e199f32a4408bc762faa192c5ead"/>
                <w:id w:val="1424530582"/>
                <w:lock w:val="sdtLocked"/>
              </w:sdtPr>
              <w:sdtContent>
                <w:tc>
                  <w:tcPr>
                    <w:tcW w:w="2992" w:type="dxa"/>
                  </w:tcPr>
                  <w:p>
                    <w:r>
                      <w:rPr>
                        <w:rFonts w:hint="eastAsia"/>
                        <w:szCs w:val="21"/>
                      </w:rPr>
                      <w:t>经营活动产生的现金流量净额</w:t>
                    </w:r>
                  </w:p>
                </w:tc>
              </w:sdtContent>
            </w:sdt>
            <w:tc>
              <w:tcPr>
                <w:tcW w:w="1558" w:type="dxa"/>
                <w:vAlign w:val="center"/>
              </w:tcPr>
              <w:p>
                <w:pPr>
                  <w:jc w:val="right"/>
                  <w:rPr>
                    <w:rFonts w:ascii="Arial Narrow" w:hAnsi="Arial Narrow"/>
                  </w:rPr>
                </w:pPr>
                <w:r>
                  <w:rPr>
                    <w:rFonts w:ascii="Arial Narrow" w:hAnsi="Arial Narrow"/>
                  </w:rPr>
                  <w:t>-659,285,562.87</w:t>
                </w:r>
              </w:p>
            </w:tc>
            <w:tc>
              <w:tcPr>
                <w:tcW w:w="1653" w:type="dxa"/>
                <w:vAlign w:val="center"/>
              </w:tcPr>
              <w:p>
                <w:pPr>
                  <w:jc w:val="right"/>
                  <w:rPr>
                    <w:rFonts w:ascii="Arial Narrow" w:hAnsi="Arial Narrow"/>
                  </w:rPr>
                </w:pPr>
                <w:r>
                  <w:rPr>
                    <w:rFonts w:ascii="Arial Narrow" w:hAnsi="Arial Narrow"/>
                  </w:rPr>
                  <w:t>2,642,839,270.39</w:t>
                </w:r>
              </w:p>
            </w:tc>
            <w:tc>
              <w:tcPr>
                <w:tcW w:w="1653" w:type="dxa"/>
                <w:vAlign w:val="center"/>
              </w:tcPr>
              <w:p>
                <w:pPr>
                  <w:jc w:val="right"/>
                  <w:rPr>
                    <w:rFonts w:ascii="Arial Narrow" w:hAnsi="Arial Narrow"/>
                  </w:rPr>
                </w:pPr>
                <w:r>
                  <w:rPr>
                    <w:rFonts w:ascii="Arial Narrow" w:hAnsi="Arial Narrow"/>
                  </w:rPr>
                  <w:t>976,299,706.90</w:t>
                </w:r>
              </w:p>
            </w:tc>
            <w:tc>
              <w:tcPr>
                <w:tcW w:w="1653" w:type="dxa"/>
                <w:vAlign w:val="center"/>
              </w:tcPr>
              <w:p>
                <w:pPr>
                  <w:jc w:val="right"/>
                  <w:rPr>
                    <w:rFonts w:ascii="Arial Narrow" w:hAnsi="Arial Narrow"/>
                  </w:rPr>
                </w:pPr>
                <w:r>
                  <w:rPr>
                    <w:rFonts w:ascii="Arial Narrow" w:hAnsi="Arial Narrow"/>
                    <w:szCs w:val="21"/>
                  </w:rPr>
                  <w:t>1,652,739,229.74</w:t>
                </w:r>
              </w:p>
            </w:tc>
          </w:tr>
        </w:tbl>
        <w:p/>
        <w:p>
          <w:pPr>
            <w:rPr>
              <w:rFonts w:ascii="Calibri" w:hAnsi="Calibri" w:cs="Times New Roman"/>
              <w:bCs/>
              <w:kern w:val="2"/>
              <w:szCs w:val="32"/>
            </w:rPr>
          </w:pPr>
          <w:r>
            <w:rPr>
              <w:rFonts w:hint="eastAsia" w:ascii="Calibri" w:hAnsi="Calibri" w:cs="Times New Roman"/>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6772505"/>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sdt>
      <w:sdtPr>
        <w:rPr>
          <w:rFonts w:hint="eastAsia" w:ascii="宋体" w:hAnsi="宋体" w:cs="宋体"/>
          <w:b w:val="0"/>
          <w:bCs w:val="0"/>
          <w:kern w:val="0"/>
          <w:szCs w:val="24"/>
        </w:rPr>
        <w:alias w:val="模块:非经常性损益项目和金额"/>
        <w:tag w:val="_SEC_c9ec505011044df3b703919ed91a432c"/>
        <w:id w:val="6772566"/>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1"/>
              <w:numId w:val="4"/>
            </w:numPr>
            <w:ind w:left="496" w:hanging="495" w:hangingChars="236"/>
          </w:pPr>
          <w:r>
            <w:rPr>
              <w:rFonts w:hint="eastAsia"/>
            </w:rPr>
            <w:t>非经常性损益项目和金额</w:t>
          </w:r>
        </w:p>
        <w:sdt>
          <w:sdtPr>
            <w:rPr>
              <w:szCs w:val="21"/>
            </w:rPr>
            <w:alias w:val="是否适用：扣除非经常性损益项目和金额[双击切换]"/>
            <w:tag w:val="_GBC_64650d7f1d454b42ae227046b21a998c"/>
            <w:id w:val="6772507"/>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jc w:val="right"/>
            <w:rPr>
              <w:szCs w:val="21"/>
            </w:rPr>
          </w:pPr>
          <w:r>
            <w:rPr>
              <w:rFonts w:hint="eastAsia"/>
              <w:szCs w:val="21"/>
            </w:rPr>
            <w:t>单位:</w:t>
          </w:r>
          <w:sdt>
            <w:sdtPr>
              <w:rPr>
                <w:rFonts w:hint="eastAsia"/>
                <w:szCs w:val="21"/>
              </w:rPr>
              <w:alias w:val="单位：扣除非经常性损益项目和金额"/>
              <w:tag w:val="_GBC_4bca0a0f469f4d239b07e448ced324aa"/>
              <w:id w:val="67725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0d4dd12e591b4afca598165c7bca4ce4"/>
              <w:id w:val="67725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1"/>
            <w:tblW w:w="92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8"/>
            <w:gridCol w:w="1406"/>
            <w:gridCol w:w="1373"/>
            <w:gridCol w:w="151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f751403d0cb44994b9ad2600a703fbf6"/>
                <w:id w:val="6772510"/>
                <w:lock w:val="sdtLocked"/>
              </w:sdtPr>
              <w:sdtEndPr>
                <w:rPr>
                  <w:rFonts w:ascii="Times New Roman" w:hAnsi="Times New Roman"/>
                  <w:sz w:val="18"/>
                  <w:szCs w:val="18"/>
                </w:rPr>
              </w:sdtEndPr>
              <w:sdtContent>
                <w:tc>
                  <w:tcPr>
                    <w:tcW w:w="3458" w:type="dxa"/>
                    <w:vAlign w:val="center"/>
                  </w:tcPr>
                  <w:p>
                    <w:pPr>
                      <w:pStyle w:val="53"/>
                      <w:ind w:firstLine="0" w:firstLineChars="0"/>
                      <w:jc w:val="center"/>
                      <w:rPr>
                        <w:rFonts w:ascii="宋体" w:hAnsi="宋体"/>
                        <w:sz w:val="18"/>
                        <w:szCs w:val="18"/>
                      </w:rPr>
                    </w:pPr>
                    <w:r>
                      <w:rPr>
                        <w:rFonts w:hint="eastAsia" w:ascii="宋体" w:hAnsi="宋体"/>
                        <w:sz w:val="18"/>
                        <w:szCs w:val="18"/>
                      </w:rPr>
                      <w:t>非经常性损益项目</w:t>
                    </w:r>
                  </w:p>
                </w:tc>
              </w:sdtContent>
            </w:sdt>
            <w:sdt>
              <w:sdtPr>
                <w:rPr>
                  <w:rFonts w:ascii="Times New Roman" w:hAnsi="Times New Roman"/>
                  <w:sz w:val="18"/>
                  <w:szCs w:val="18"/>
                </w:rPr>
                <w:tag w:val="_PLD_c3a99d8df6764a7a9d1c26a6d1cd3b99"/>
                <w:id w:val="6772511"/>
                <w:lock w:val="sdtLocked"/>
              </w:sdtPr>
              <w:sdtEndPr>
                <w:rPr>
                  <w:rFonts w:ascii="Times New Roman" w:hAnsi="Times New Roman"/>
                  <w:sz w:val="18"/>
                  <w:szCs w:val="18"/>
                </w:rPr>
              </w:sdtEndPr>
              <w:sdtContent>
                <w:tc>
                  <w:tcPr>
                    <w:tcW w:w="1406" w:type="dxa"/>
                    <w:vAlign w:val="center"/>
                  </w:tcPr>
                  <w:p>
                    <w:pPr>
                      <w:pStyle w:val="53"/>
                      <w:ind w:firstLine="0" w:firstLineChars="0"/>
                      <w:jc w:val="center"/>
                      <w:rPr>
                        <w:rFonts w:ascii="宋体" w:hAnsi="宋体"/>
                        <w:sz w:val="18"/>
                        <w:szCs w:val="18"/>
                      </w:rPr>
                    </w:pPr>
                    <w:r>
                      <w:rPr>
                        <w:rFonts w:hint="eastAsia" w:ascii="宋体" w:hAnsi="宋体"/>
                        <w:sz w:val="18"/>
                        <w:szCs w:val="18"/>
                      </w:rPr>
                      <w:t>2017年金额</w:t>
                    </w:r>
                  </w:p>
                </w:tc>
              </w:sdtContent>
            </w:sdt>
            <w:sdt>
              <w:sdtPr>
                <w:rPr>
                  <w:rFonts w:ascii="Times New Roman" w:hAnsi="Times New Roman"/>
                  <w:sz w:val="18"/>
                  <w:szCs w:val="18"/>
                </w:rPr>
                <w:tag w:val="_PLD_b6d0ea39876b409699dafa605943bc7c"/>
                <w:id w:val="6772512"/>
                <w:lock w:val="sdtLocked"/>
              </w:sdtPr>
              <w:sdtEndPr>
                <w:rPr>
                  <w:rFonts w:ascii="Times New Roman" w:hAnsi="Times New Roman"/>
                  <w:sz w:val="18"/>
                  <w:szCs w:val="18"/>
                </w:rPr>
              </w:sdtEndPr>
              <w:sdtContent>
                <w:tc>
                  <w:tcPr>
                    <w:tcW w:w="1373" w:type="dxa"/>
                    <w:vAlign w:val="center"/>
                  </w:tcPr>
                  <w:p>
                    <w:pPr>
                      <w:pStyle w:val="53"/>
                      <w:ind w:firstLine="0" w:firstLineChars="0"/>
                      <w:jc w:val="center"/>
                      <w:rPr>
                        <w:rFonts w:ascii="宋体" w:hAnsi="宋体"/>
                        <w:sz w:val="18"/>
                        <w:szCs w:val="18"/>
                      </w:rPr>
                    </w:pPr>
                    <w:r>
                      <w:rPr>
                        <w:rFonts w:hint="eastAsia" w:ascii="宋体" w:hAnsi="宋体"/>
                        <w:sz w:val="18"/>
                        <w:szCs w:val="18"/>
                      </w:rPr>
                      <w:t>附注（如适用）</w:t>
                    </w:r>
                  </w:p>
                </w:tc>
              </w:sdtContent>
            </w:sdt>
            <w:sdt>
              <w:sdtPr>
                <w:rPr>
                  <w:rFonts w:ascii="Times New Roman" w:hAnsi="Times New Roman"/>
                  <w:sz w:val="18"/>
                  <w:szCs w:val="18"/>
                </w:rPr>
                <w:tag w:val="_PLD_7f6c15b2c5304b7f94e7c3ad607e51bc"/>
                <w:id w:val="6772513"/>
                <w:lock w:val="sdtLocked"/>
              </w:sdtPr>
              <w:sdtEndPr>
                <w:rPr>
                  <w:rFonts w:ascii="Times New Roman" w:hAnsi="Times New Roman"/>
                  <w:sz w:val="18"/>
                  <w:szCs w:val="18"/>
                </w:rPr>
              </w:sdtEndPr>
              <w:sdtContent>
                <w:tc>
                  <w:tcPr>
                    <w:tcW w:w="1517" w:type="dxa"/>
                    <w:vAlign w:val="center"/>
                  </w:tcPr>
                  <w:p>
                    <w:pPr>
                      <w:pStyle w:val="53"/>
                      <w:ind w:firstLine="0" w:firstLineChars="0"/>
                      <w:jc w:val="center"/>
                      <w:rPr>
                        <w:rFonts w:ascii="宋体" w:hAnsi="宋体"/>
                        <w:sz w:val="18"/>
                        <w:szCs w:val="18"/>
                      </w:rPr>
                    </w:pPr>
                    <w:r>
                      <w:rPr>
                        <w:rFonts w:hint="eastAsia" w:ascii="宋体" w:hAnsi="宋体"/>
                        <w:sz w:val="18"/>
                        <w:szCs w:val="18"/>
                      </w:rPr>
                      <w:t>2016年金额</w:t>
                    </w:r>
                  </w:p>
                </w:tc>
              </w:sdtContent>
            </w:sdt>
            <w:sdt>
              <w:sdtPr>
                <w:rPr>
                  <w:rFonts w:ascii="Times New Roman" w:hAnsi="Times New Roman"/>
                  <w:sz w:val="18"/>
                  <w:szCs w:val="18"/>
                </w:rPr>
                <w:tag w:val="_PLD_cc74238bb31a489cace6976e47d30974"/>
                <w:id w:val="6772514"/>
                <w:lock w:val="sdtLocked"/>
              </w:sdtPr>
              <w:sdtEndPr>
                <w:rPr>
                  <w:rFonts w:ascii="Times New Roman" w:hAnsi="Times New Roman"/>
                  <w:sz w:val="18"/>
                  <w:szCs w:val="18"/>
                </w:rPr>
              </w:sdtEndPr>
              <w:sdtContent>
                <w:tc>
                  <w:tcPr>
                    <w:tcW w:w="1471" w:type="dxa"/>
                    <w:vAlign w:val="center"/>
                  </w:tcPr>
                  <w:p>
                    <w:pPr>
                      <w:pStyle w:val="53"/>
                      <w:ind w:firstLine="0" w:firstLineChars="0"/>
                      <w:jc w:val="center"/>
                      <w:rPr>
                        <w:rFonts w:ascii="宋体" w:hAnsi="宋体"/>
                        <w:sz w:val="18"/>
                        <w:szCs w:val="18"/>
                      </w:rPr>
                    </w:pPr>
                    <w:r>
                      <w:rPr>
                        <w:rFonts w:hint="eastAsia" w:ascii="宋体" w:hAnsi="宋体"/>
                        <w:sz w:val="18"/>
                        <w:szCs w:val="18"/>
                      </w:rPr>
                      <w:t>2015年金额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844d8cfc8dc0403cae8741ce206231d7"/>
                <w:id w:val="6772515"/>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非流动资产处置损益</w:t>
                    </w:r>
                  </w:p>
                </w:tc>
              </w:sdtContent>
            </w:sdt>
            <w:sdt>
              <w:sdtPr>
                <w:rPr>
                  <w:rFonts w:ascii="Arial Narrow" w:hAnsi="Arial Narrow"/>
                  <w:szCs w:val="21"/>
                </w:rPr>
                <w:alias w:val="非流动性资产处置损益，包括已计提资产减值准备的冲销部分（非经常性损益项目）"/>
                <w:tag w:val="_GBC_debe6cce7ac944bbacffe3e7f5ed0bb6"/>
                <w:id w:val="6772516"/>
                <w:lock w:val="sdtLocked"/>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hint="eastAsia" w:ascii="Arial Narrow" w:hAnsi="Arial Narrow"/>
                        <w:szCs w:val="21"/>
                      </w:rPr>
                      <w:t>-3,825,393.16</w:t>
                    </w:r>
                  </w:p>
                </w:tc>
              </w:sdtContent>
            </w:sdt>
            <w:sdt>
              <w:sdtPr>
                <w:rPr>
                  <w:rFonts w:ascii="Arial Narrow" w:hAnsi="Arial Narrow" w:eastAsiaTheme="minorEastAsia"/>
                  <w:sz w:val="18"/>
                  <w:szCs w:val="18"/>
                </w:rPr>
                <w:alias w:val="非流动性资产处置损益，包括已计提资产减值准备的冲销部分的说明（非经常性损益项目）"/>
                <w:tag w:val="_GBC_cd8a7b3f2bbc4b59b588f24b6e3813ad"/>
                <w:id w:val="6772517"/>
                <w:lock w:val="sdtLocked"/>
                <w:text/>
              </w:sdtPr>
              <w:sdtEndPr>
                <w:rPr>
                  <w:rFonts w:ascii="Arial Narrow" w:hAnsi="Arial Narrow" w:eastAsiaTheme="minorEastAsia"/>
                  <w:sz w:val="18"/>
                  <w:szCs w:val="18"/>
                </w:rPr>
              </w:sdtEndPr>
              <w:sdtContent>
                <w:tc>
                  <w:tcPr>
                    <w:tcW w:w="1373" w:type="dxa"/>
                    <w:vAlign w:val="center"/>
                  </w:tcPr>
                  <w:p>
                    <w:pPr>
                      <w:widowControl w:val="0"/>
                      <w:jc w:val="left"/>
                      <w:rPr>
                        <w:rFonts w:ascii="Arial Narrow" w:hAnsi="Arial Narrow" w:eastAsiaTheme="minorEastAsia"/>
                        <w:sz w:val="18"/>
                        <w:szCs w:val="18"/>
                      </w:rPr>
                    </w:pPr>
                    <w:r>
                      <w:rPr>
                        <w:rFonts w:ascii="Arial Narrow" w:hAnsi="Arial Narrow" w:eastAsiaTheme="minorEastAsia"/>
                        <w:sz w:val="18"/>
                        <w:szCs w:val="18"/>
                      </w:rPr>
                      <w:t>七、70</w:t>
                    </w:r>
                  </w:p>
                </w:tc>
              </w:sdtContent>
            </w:sdt>
            <w:tc>
              <w:tcPr>
                <w:tcW w:w="1517" w:type="dxa"/>
                <w:vAlign w:val="center"/>
              </w:tcPr>
              <w:p>
                <w:pPr>
                  <w:widowControl w:val="0"/>
                  <w:jc w:val="right"/>
                  <w:rPr>
                    <w:rFonts w:ascii="Arial Narrow" w:hAnsi="Arial Narrow"/>
                    <w:szCs w:val="21"/>
                  </w:rPr>
                </w:pPr>
                <w:r>
                  <w:rPr>
                    <w:rFonts w:ascii="Arial Narrow" w:hAnsi="Arial Narrow"/>
                    <w:szCs w:val="21"/>
                  </w:rPr>
                  <w:t>-25,347,736.57</w:t>
                </w:r>
              </w:p>
            </w:tc>
            <w:tc>
              <w:tcPr>
                <w:tcW w:w="1471" w:type="dxa"/>
                <w:vAlign w:val="center"/>
              </w:tcPr>
              <w:p>
                <w:pPr>
                  <w:widowControl w:val="0"/>
                  <w:jc w:val="right"/>
                  <w:rPr>
                    <w:rFonts w:ascii="Arial Narrow" w:hAnsi="Arial Narrow"/>
                    <w:szCs w:val="21"/>
                  </w:rPr>
                </w:pPr>
                <w:r>
                  <w:rPr>
                    <w:rFonts w:ascii="Arial Narrow" w:hAnsi="Arial Narrow"/>
                    <w:szCs w:val="21"/>
                  </w:rPr>
                  <w:t>-22,564,718.59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8b9ff5877fb8464c8dcdb475bb249051"/>
                <w:id w:val="6772518"/>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越权审批，或无正式批准文件，或偶发性的税收返还、减免</w:t>
                    </w:r>
                  </w:p>
                </w:tc>
              </w:sdtContent>
            </w:sdt>
            <w:sdt>
              <w:sdtPr>
                <w:rPr>
                  <w:rFonts w:ascii="Arial Narrow" w:hAnsi="Arial Narrow"/>
                  <w:szCs w:val="21"/>
                </w:rPr>
                <w:alias w:val="越权审批，或无正式批准文件，或偶发性的税收返还、减免（非经常性损益项目）"/>
                <w:tag w:val="_GBC_d0d576666bd84531b422d02502f39b0d"/>
                <w:id w:val="6772519"/>
                <w:lock w:val="sdtLocked"/>
                <w:showingPlcHdr/>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ascii="Arial Narrow" w:hAnsi="Arial Narrow"/>
                        <w:szCs w:val="21"/>
                      </w:rPr>
                      <w:t>　</w:t>
                    </w:r>
                  </w:p>
                </w:tc>
              </w:sdtContent>
            </w:sdt>
            <w:sdt>
              <w:sdtPr>
                <w:rPr>
                  <w:rFonts w:ascii="Arial Narrow" w:hAnsi="Arial Narrow" w:eastAsiaTheme="minorEastAsia"/>
                  <w:sz w:val="18"/>
                  <w:szCs w:val="18"/>
                </w:rPr>
                <w:alias w:val="越权审批，或无正式批准文件，或偶发性的税收返还、减免的说明（非经常性损益项目）"/>
                <w:tag w:val="_GBC_73dcf168bb8244b7900ea31683a66c4a"/>
                <w:id w:val="6772520"/>
                <w:lock w:val="sdtLocked"/>
                <w:showingPlcHdr/>
                <w:text/>
              </w:sdtPr>
              <w:sdtEndPr>
                <w:rPr>
                  <w:rFonts w:ascii="Arial Narrow" w:hAnsi="Arial Narrow" w:eastAsiaTheme="minorEastAsia"/>
                  <w:sz w:val="18"/>
                  <w:szCs w:val="18"/>
                </w:rPr>
              </w:sdtEndPr>
              <w:sdtContent>
                <w:tc>
                  <w:tcPr>
                    <w:tcW w:w="1373" w:type="dxa"/>
                    <w:vAlign w:val="center"/>
                  </w:tcPr>
                  <w:p>
                    <w:pPr>
                      <w:widowControl w:val="0"/>
                      <w:jc w:val="left"/>
                      <w:rPr>
                        <w:rFonts w:ascii="Arial Narrow" w:hAnsi="Arial Narrow" w:eastAsiaTheme="minorEastAsia"/>
                        <w:sz w:val="18"/>
                        <w:szCs w:val="18"/>
                      </w:rPr>
                    </w:pPr>
                  </w:p>
                </w:tc>
              </w:sdtContent>
            </w:sdt>
            <w:tc>
              <w:tcPr>
                <w:tcW w:w="1517" w:type="dxa"/>
                <w:vAlign w:val="center"/>
              </w:tcPr>
              <w:p>
                <w:pPr>
                  <w:widowControl w:val="0"/>
                  <w:jc w:val="right"/>
                  <w:rPr>
                    <w:rFonts w:ascii="Arial Narrow" w:hAnsi="Arial Narrow"/>
                    <w:szCs w:val="21"/>
                  </w:rPr>
                </w:pPr>
              </w:p>
            </w:tc>
            <w:tc>
              <w:tcPr>
                <w:tcW w:w="1471" w:type="dxa"/>
                <w:vAlign w:val="center"/>
              </w:tcPr>
              <w:p>
                <w:pPr>
                  <w:widowControl w:val="0"/>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3a31f0c17a06427898ec246148becf2e"/>
                <w:id w:val="6772521"/>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计入当期损益的政府补助，但与公司正常经营业务密切相关，符合国家政策规定、按照一定标准定额或定量持续享受的政府补助除外</w:t>
                    </w:r>
                  </w:p>
                </w:tc>
              </w:sdtContent>
            </w:sdt>
            <w:sdt>
              <w:sdtPr>
                <w:rPr>
                  <w:rFonts w:ascii="Arial Narrow" w:hAnsi="Arial Narrow"/>
                  <w:szCs w:val="21"/>
                </w:rPr>
                <w:alias w:val="计入当期损益的政府补助，但与公司正常经营业务密切相关，符合国家政策规定、按照一定标准定额或定量持续享受的政府补助除外（非.."/>
                <w:tag w:val="_GBC_64d7a5b8c906488daff056242b76207a"/>
                <w:id w:val="6772522"/>
                <w:lock w:val="sdtLocked"/>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hint="eastAsia" w:ascii="Arial Narrow" w:hAnsi="Arial Narrow"/>
                        <w:szCs w:val="21"/>
                      </w:rPr>
                      <w:t>34,623,222.96</w:t>
                    </w:r>
                  </w:p>
                </w:tc>
              </w:sdtContent>
            </w:sdt>
            <w:sdt>
              <w:sdtPr>
                <w:rPr>
                  <w:rFonts w:ascii="Arial Narrow" w:hAnsi="Arial Narrow" w:eastAsiaTheme="minorEastAsia"/>
                  <w:sz w:val="18"/>
                  <w:szCs w:val="18"/>
                </w:rPr>
                <w:alias w:val="计入当期损益的政府补助，但与公司正常经营业务密切相关，符合国家政策规定、按照一定标准定额或定量持续享受的政府补助除外的说.."/>
                <w:tag w:val="_GBC_649768473bc54b6dae5982bc6739afbc"/>
                <w:id w:val="6772523"/>
                <w:lock w:val="sdtLocked"/>
                <w:text/>
              </w:sdtPr>
              <w:sdtEndPr>
                <w:rPr>
                  <w:rFonts w:ascii="Arial Narrow" w:hAnsi="Arial Narrow" w:eastAsiaTheme="minorEastAsia"/>
                  <w:sz w:val="18"/>
                  <w:szCs w:val="18"/>
                </w:rPr>
              </w:sdtEndPr>
              <w:sdtContent>
                <w:tc>
                  <w:tcPr>
                    <w:tcW w:w="1373" w:type="dxa"/>
                    <w:vAlign w:val="center"/>
                  </w:tcPr>
                  <w:p>
                    <w:pPr>
                      <w:widowControl w:val="0"/>
                      <w:jc w:val="left"/>
                      <w:rPr>
                        <w:rFonts w:ascii="Arial Narrow" w:hAnsi="Arial Narrow" w:eastAsiaTheme="minorEastAsia"/>
                        <w:sz w:val="18"/>
                        <w:szCs w:val="18"/>
                      </w:rPr>
                    </w:pPr>
                    <w:r>
                      <w:rPr>
                        <w:rFonts w:ascii="Arial Narrow" w:hAnsi="Arial Narrow" w:eastAsiaTheme="minorEastAsia"/>
                        <w:sz w:val="18"/>
                        <w:szCs w:val="18"/>
                      </w:rPr>
                      <w:t>七、69，79</w:t>
                    </w:r>
                  </w:p>
                </w:tc>
              </w:sdtContent>
            </w:sdt>
            <w:tc>
              <w:tcPr>
                <w:tcW w:w="1517" w:type="dxa"/>
                <w:vAlign w:val="center"/>
              </w:tcPr>
              <w:p>
                <w:pPr>
                  <w:widowControl w:val="0"/>
                  <w:jc w:val="right"/>
                  <w:rPr>
                    <w:rFonts w:ascii="Arial Narrow" w:hAnsi="Arial Narrow"/>
                    <w:szCs w:val="21"/>
                  </w:rPr>
                </w:pPr>
                <w:r>
                  <w:rPr>
                    <w:rFonts w:ascii="Arial Narrow" w:hAnsi="Arial Narrow"/>
                    <w:szCs w:val="21"/>
                  </w:rPr>
                  <w:t>47,553,045.58</w:t>
                </w:r>
              </w:p>
            </w:tc>
            <w:tc>
              <w:tcPr>
                <w:tcW w:w="1471" w:type="dxa"/>
                <w:vAlign w:val="center"/>
              </w:tcPr>
              <w:p>
                <w:pPr>
                  <w:widowControl w:val="0"/>
                  <w:jc w:val="right"/>
                  <w:rPr>
                    <w:rFonts w:ascii="Arial Narrow" w:hAnsi="Arial Narrow"/>
                    <w:szCs w:val="21"/>
                  </w:rPr>
                </w:pPr>
                <w:r>
                  <w:rPr>
                    <w:rFonts w:ascii="Arial Narrow" w:hAnsi="Arial Narrow"/>
                    <w:szCs w:val="21"/>
                  </w:rPr>
                  <w:t>43,069,827.46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99733a1125874352a2bcb4c645ff24b1"/>
                <w:id w:val="6772524"/>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非货币性资产交换损益</w:t>
                    </w:r>
                  </w:p>
                </w:tc>
              </w:sdtContent>
            </w:sdt>
            <w:sdt>
              <w:sdtPr>
                <w:rPr>
                  <w:rFonts w:ascii="Arial Narrow" w:hAnsi="Arial Narrow"/>
                  <w:szCs w:val="21"/>
                </w:rPr>
                <w:alias w:val="非货币性资产交换损益（非经常性损益项目）"/>
                <w:tag w:val="_GBC_486acd8fb80f452e9704219348b9b157"/>
                <w:id w:val="6772525"/>
                <w:lock w:val="sdtLocked"/>
                <w:showingPlcHdr/>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ascii="Arial Narrow" w:hAnsi="Arial Narrow"/>
                        <w:szCs w:val="21"/>
                      </w:rPr>
                      <w:t>　</w:t>
                    </w:r>
                  </w:p>
                </w:tc>
              </w:sdtContent>
            </w:sdt>
            <w:sdt>
              <w:sdtPr>
                <w:rPr>
                  <w:rFonts w:ascii="Arial Narrow" w:hAnsi="Arial Narrow" w:eastAsiaTheme="minorEastAsia"/>
                  <w:sz w:val="18"/>
                  <w:szCs w:val="18"/>
                </w:rPr>
                <w:alias w:val="非货币性资产交换损益的说明（非经常性损益项目）"/>
                <w:tag w:val="_GBC_0ccb6660928243f8a097d143e6293645"/>
                <w:id w:val="6772526"/>
                <w:lock w:val="sdtLocked"/>
                <w:showingPlcHdr/>
                <w:text/>
              </w:sdtPr>
              <w:sdtEndPr>
                <w:rPr>
                  <w:rFonts w:ascii="Arial Narrow" w:hAnsi="Arial Narrow" w:eastAsiaTheme="minorEastAsia"/>
                  <w:sz w:val="18"/>
                  <w:szCs w:val="18"/>
                </w:rPr>
              </w:sdtEndPr>
              <w:sdtContent>
                <w:tc>
                  <w:tcPr>
                    <w:tcW w:w="1373" w:type="dxa"/>
                    <w:vAlign w:val="center"/>
                  </w:tcPr>
                  <w:p>
                    <w:pPr>
                      <w:widowControl w:val="0"/>
                      <w:jc w:val="right"/>
                      <w:rPr>
                        <w:rFonts w:ascii="Arial Narrow" w:hAnsi="Arial Narrow" w:eastAsiaTheme="minorEastAsia"/>
                        <w:sz w:val="18"/>
                        <w:szCs w:val="18"/>
                      </w:rPr>
                    </w:pPr>
                  </w:p>
                </w:tc>
              </w:sdtContent>
            </w:sdt>
            <w:tc>
              <w:tcPr>
                <w:tcW w:w="1517" w:type="dxa"/>
                <w:vAlign w:val="center"/>
              </w:tcPr>
              <w:p>
                <w:pPr>
                  <w:widowControl w:val="0"/>
                  <w:jc w:val="right"/>
                  <w:rPr>
                    <w:rFonts w:ascii="Arial Narrow" w:hAnsi="Arial Narrow"/>
                    <w:szCs w:val="21"/>
                  </w:rPr>
                </w:pPr>
              </w:p>
            </w:tc>
            <w:tc>
              <w:tcPr>
                <w:tcW w:w="1471" w:type="dxa"/>
                <w:vAlign w:val="center"/>
              </w:tcPr>
              <w:p>
                <w:pPr>
                  <w:widowControl w:val="0"/>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53d42ebc6c434009804c4f34f1eeea8d"/>
                <w:id w:val="6772527"/>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委托他人投资或管理资产的损益</w:t>
                    </w:r>
                  </w:p>
                </w:tc>
              </w:sdtContent>
            </w:sdt>
            <w:sdt>
              <w:sdtPr>
                <w:rPr>
                  <w:rFonts w:ascii="Arial Narrow" w:hAnsi="Arial Narrow"/>
                  <w:szCs w:val="21"/>
                </w:rPr>
                <w:alias w:val="委托他人投资或管理资产的损益（非经常性损益项目）"/>
                <w:tag w:val="_GBC_03d926456c3f4d68989224017afdae20"/>
                <w:id w:val="6772528"/>
                <w:lock w:val="sdtLocked"/>
                <w:showingPlcHdr/>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ascii="Arial Narrow" w:hAnsi="Arial Narrow"/>
                        <w:szCs w:val="21"/>
                      </w:rPr>
                      <w:t>　</w:t>
                    </w:r>
                  </w:p>
                </w:tc>
              </w:sdtContent>
            </w:sdt>
            <w:sdt>
              <w:sdtPr>
                <w:rPr>
                  <w:rFonts w:ascii="Arial Narrow" w:hAnsi="Arial Narrow" w:eastAsiaTheme="minorEastAsia"/>
                  <w:sz w:val="18"/>
                  <w:szCs w:val="18"/>
                </w:rPr>
                <w:alias w:val="委托他人投资或管理资产的损益的说明（非经常性损益项目）"/>
                <w:tag w:val="_GBC_7aa707768bd34d49895e80e2deb35e28"/>
                <w:id w:val="6772529"/>
                <w:lock w:val="sdtLocked"/>
                <w:showingPlcHdr/>
                <w:text/>
              </w:sdtPr>
              <w:sdtEndPr>
                <w:rPr>
                  <w:rFonts w:ascii="Arial Narrow" w:hAnsi="Arial Narrow" w:eastAsiaTheme="minorEastAsia"/>
                  <w:sz w:val="18"/>
                  <w:szCs w:val="18"/>
                </w:rPr>
              </w:sdtEndPr>
              <w:sdtContent>
                <w:tc>
                  <w:tcPr>
                    <w:tcW w:w="1373" w:type="dxa"/>
                    <w:vAlign w:val="center"/>
                  </w:tcPr>
                  <w:p>
                    <w:pPr>
                      <w:widowControl w:val="0"/>
                      <w:jc w:val="right"/>
                      <w:rPr>
                        <w:rFonts w:ascii="Arial Narrow" w:hAnsi="Arial Narrow" w:eastAsiaTheme="minorEastAsia"/>
                        <w:sz w:val="18"/>
                        <w:szCs w:val="18"/>
                      </w:rPr>
                    </w:pPr>
                  </w:p>
                </w:tc>
              </w:sdtContent>
            </w:sdt>
            <w:tc>
              <w:tcPr>
                <w:tcW w:w="1517" w:type="dxa"/>
                <w:vAlign w:val="center"/>
              </w:tcPr>
              <w:p>
                <w:pPr>
                  <w:widowControl w:val="0"/>
                  <w:jc w:val="right"/>
                  <w:rPr>
                    <w:rFonts w:ascii="Arial Narrow" w:hAnsi="Arial Narrow"/>
                    <w:szCs w:val="21"/>
                  </w:rPr>
                </w:pPr>
              </w:p>
            </w:tc>
            <w:tc>
              <w:tcPr>
                <w:tcW w:w="1471" w:type="dxa"/>
                <w:vAlign w:val="center"/>
              </w:tcPr>
              <w:p>
                <w:pPr>
                  <w:widowControl w:val="0"/>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0f317a7354f44cf385d177fb07ac6b6d"/>
                <w:id w:val="6772530"/>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因不可抗力因素，如遭受自然灾害而计提的各项资产减值准备</w:t>
                    </w:r>
                  </w:p>
                </w:tc>
              </w:sdtContent>
            </w:sdt>
            <w:sdt>
              <w:sdtPr>
                <w:rPr>
                  <w:rFonts w:ascii="Arial Narrow" w:hAnsi="Arial Narrow"/>
                  <w:szCs w:val="21"/>
                </w:rPr>
                <w:alias w:val="因不可抗力因素，如遭受自然灾害而计提的各项资产减值准备（非经常性损益项目）"/>
                <w:tag w:val="_GBC_60f488230e88476f8e910bcd4afbb8de"/>
                <w:id w:val="6772531"/>
                <w:lock w:val="sdtLocked"/>
                <w:showingPlcHdr/>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ascii="Arial Narrow" w:hAnsi="Arial Narrow"/>
                        <w:szCs w:val="21"/>
                      </w:rPr>
                      <w:t>　</w:t>
                    </w:r>
                  </w:p>
                </w:tc>
              </w:sdtContent>
            </w:sdt>
            <w:sdt>
              <w:sdtPr>
                <w:rPr>
                  <w:rFonts w:ascii="Arial Narrow" w:hAnsi="Arial Narrow" w:eastAsiaTheme="minorEastAsia"/>
                  <w:sz w:val="18"/>
                  <w:szCs w:val="18"/>
                </w:rPr>
                <w:alias w:val="因不可抗力因素，如遭受自然灾害而计提的各项资产减值准备的说明（非经常性损益项目）"/>
                <w:tag w:val="_GBC_d2105b54b30143e88dd78d8eb2a19029"/>
                <w:id w:val="6772532"/>
                <w:lock w:val="sdtLocked"/>
                <w:showingPlcHdr/>
                <w:text/>
              </w:sdtPr>
              <w:sdtEndPr>
                <w:rPr>
                  <w:rFonts w:ascii="Arial Narrow" w:hAnsi="Arial Narrow" w:eastAsiaTheme="minorEastAsia"/>
                  <w:sz w:val="18"/>
                  <w:szCs w:val="18"/>
                </w:rPr>
              </w:sdtEndPr>
              <w:sdtContent>
                <w:tc>
                  <w:tcPr>
                    <w:tcW w:w="1373" w:type="dxa"/>
                    <w:vAlign w:val="center"/>
                  </w:tcPr>
                  <w:p>
                    <w:pPr>
                      <w:widowControl w:val="0"/>
                      <w:jc w:val="right"/>
                      <w:rPr>
                        <w:rFonts w:ascii="Arial Narrow" w:hAnsi="Arial Narrow" w:eastAsiaTheme="minorEastAsia"/>
                        <w:sz w:val="18"/>
                        <w:szCs w:val="18"/>
                      </w:rPr>
                    </w:pPr>
                  </w:p>
                </w:tc>
              </w:sdtContent>
            </w:sdt>
            <w:tc>
              <w:tcPr>
                <w:tcW w:w="1517" w:type="dxa"/>
                <w:vAlign w:val="center"/>
              </w:tcPr>
              <w:p>
                <w:pPr>
                  <w:widowControl w:val="0"/>
                  <w:jc w:val="right"/>
                  <w:rPr>
                    <w:rFonts w:ascii="Arial Narrow" w:hAnsi="Arial Narrow"/>
                    <w:szCs w:val="21"/>
                  </w:rPr>
                </w:pPr>
              </w:p>
            </w:tc>
            <w:tc>
              <w:tcPr>
                <w:tcW w:w="1471" w:type="dxa"/>
                <w:vAlign w:val="center"/>
              </w:tcPr>
              <w:p>
                <w:pPr>
                  <w:widowControl w:val="0"/>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a5e0a009a4f44eb0bf80d179b10fe78f"/>
                <w:id w:val="6772533"/>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交易价格显失公允的交易产生的超过公允价值部分的损益</w:t>
                    </w:r>
                  </w:p>
                </w:tc>
              </w:sdtContent>
            </w:sdt>
            <w:sdt>
              <w:sdtPr>
                <w:rPr>
                  <w:rFonts w:ascii="Arial Narrow" w:hAnsi="Arial Narrow"/>
                  <w:szCs w:val="21"/>
                </w:rPr>
                <w:alias w:val="交易价格显失公允的交易产生的超过公允价值部分的损益（非经常性损益项目）"/>
                <w:tag w:val="_GBC_0d3f47734ca14bf5bcb7a1e74537307d"/>
                <w:id w:val="6772534"/>
                <w:lock w:val="sdtLocked"/>
                <w:showingPlcHdr/>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ascii="Arial Narrow" w:hAnsi="Arial Narrow"/>
                        <w:szCs w:val="21"/>
                      </w:rPr>
                      <w:t>　</w:t>
                    </w:r>
                  </w:p>
                </w:tc>
              </w:sdtContent>
            </w:sdt>
            <w:sdt>
              <w:sdtPr>
                <w:rPr>
                  <w:rFonts w:ascii="Arial Narrow" w:hAnsi="Arial Narrow" w:eastAsiaTheme="minorEastAsia"/>
                  <w:szCs w:val="21"/>
                </w:rPr>
                <w:alias w:val="交易价格显失公允的交易产生的超过公允价值部分的损益的说明（非经常性损益项目）"/>
                <w:tag w:val="_GBC_98d5c2a1bff64b70b1fe53422048aebb"/>
                <w:id w:val="6772535"/>
                <w:lock w:val="sdtLocked"/>
                <w:showingPlcHdr/>
                <w:text/>
              </w:sdtPr>
              <w:sdtEndPr>
                <w:rPr>
                  <w:rFonts w:ascii="Arial Narrow" w:hAnsi="Arial Narrow" w:eastAsiaTheme="minorEastAsia"/>
                  <w:szCs w:val="21"/>
                </w:rPr>
              </w:sdtEndPr>
              <w:sdtContent>
                <w:tc>
                  <w:tcPr>
                    <w:tcW w:w="1373" w:type="dxa"/>
                    <w:vAlign w:val="center"/>
                  </w:tcPr>
                  <w:p>
                    <w:pPr>
                      <w:widowControl w:val="0"/>
                      <w:jc w:val="right"/>
                      <w:rPr>
                        <w:rFonts w:ascii="Arial Narrow" w:hAnsi="Arial Narrow" w:eastAsiaTheme="minorEastAsia"/>
                        <w:szCs w:val="21"/>
                      </w:rPr>
                    </w:pPr>
                  </w:p>
                </w:tc>
              </w:sdtContent>
            </w:sdt>
            <w:tc>
              <w:tcPr>
                <w:tcW w:w="1517" w:type="dxa"/>
                <w:vAlign w:val="center"/>
              </w:tcPr>
              <w:p>
                <w:pPr>
                  <w:widowControl w:val="0"/>
                  <w:jc w:val="right"/>
                  <w:rPr>
                    <w:rFonts w:ascii="Arial Narrow" w:hAnsi="Arial Narrow"/>
                    <w:szCs w:val="21"/>
                  </w:rPr>
                </w:pPr>
              </w:p>
            </w:tc>
            <w:tc>
              <w:tcPr>
                <w:tcW w:w="1471" w:type="dxa"/>
                <w:vAlign w:val="center"/>
              </w:tcPr>
              <w:p>
                <w:pPr>
                  <w:widowControl w:val="0"/>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d5c4b44a00e644abae94fd5aab6a0f53"/>
                <w:id w:val="6772536"/>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与公司正常经营业务无关的或有事项产生的损益</w:t>
                    </w:r>
                  </w:p>
                </w:tc>
              </w:sdtContent>
            </w:sdt>
            <w:sdt>
              <w:sdtPr>
                <w:rPr>
                  <w:rFonts w:ascii="Arial Narrow" w:hAnsi="Arial Narrow"/>
                  <w:szCs w:val="21"/>
                </w:rPr>
                <w:alias w:val="与公司正常经营业务无关的或有事项产生的损益（非经常性损益项目）"/>
                <w:tag w:val="_GBC_4df813a9059a434380e9bbc3d5359064"/>
                <w:id w:val="6772537"/>
                <w:lock w:val="sdtLocked"/>
                <w:showingPlcHdr/>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ascii="Arial Narrow" w:hAnsi="Arial Narrow"/>
                        <w:szCs w:val="21"/>
                      </w:rPr>
                      <w:t>　</w:t>
                    </w:r>
                  </w:p>
                </w:tc>
              </w:sdtContent>
            </w:sdt>
            <w:sdt>
              <w:sdtPr>
                <w:rPr>
                  <w:rFonts w:ascii="Arial Narrow" w:hAnsi="Arial Narrow" w:eastAsiaTheme="minorEastAsia"/>
                  <w:szCs w:val="21"/>
                </w:rPr>
                <w:alias w:val="与公司正常经营业务无关的或有事项产生的损益的说明（非经常性损益项目）"/>
                <w:tag w:val="_GBC_1ece571fbdc6432389b9ee98afce0e0b"/>
                <w:id w:val="6772538"/>
                <w:lock w:val="sdtLocked"/>
                <w:showingPlcHdr/>
                <w:text/>
              </w:sdtPr>
              <w:sdtEndPr>
                <w:rPr>
                  <w:rFonts w:ascii="Arial Narrow" w:hAnsi="Arial Narrow" w:eastAsiaTheme="minorEastAsia"/>
                  <w:szCs w:val="21"/>
                </w:rPr>
              </w:sdtEndPr>
              <w:sdtContent>
                <w:tc>
                  <w:tcPr>
                    <w:tcW w:w="1373" w:type="dxa"/>
                    <w:vAlign w:val="center"/>
                  </w:tcPr>
                  <w:p>
                    <w:pPr>
                      <w:widowControl w:val="0"/>
                      <w:jc w:val="right"/>
                      <w:rPr>
                        <w:rFonts w:ascii="Arial Narrow" w:hAnsi="Arial Narrow" w:eastAsiaTheme="minorEastAsia"/>
                        <w:szCs w:val="21"/>
                      </w:rPr>
                    </w:pPr>
                  </w:p>
                </w:tc>
              </w:sdtContent>
            </w:sdt>
            <w:tc>
              <w:tcPr>
                <w:tcW w:w="1517" w:type="dxa"/>
                <w:vAlign w:val="center"/>
              </w:tcPr>
              <w:p>
                <w:pPr>
                  <w:widowControl w:val="0"/>
                  <w:jc w:val="right"/>
                  <w:rPr>
                    <w:rFonts w:ascii="Arial Narrow" w:hAnsi="Arial Narrow"/>
                    <w:szCs w:val="21"/>
                  </w:rPr>
                </w:pPr>
                <w:r>
                  <w:rPr>
                    <w:rFonts w:ascii="Arial Narrow" w:hAnsi="Arial Narrow"/>
                    <w:szCs w:val="21"/>
                  </w:rPr>
                  <w:t>-34,890,663.36</w:t>
                </w:r>
              </w:p>
            </w:tc>
            <w:tc>
              <w:tcPr>
                <w:tcW w:w="1471" w:type="dxa"/>
                <w:vAlign w:val="center"/>
              </w:tcPr>
              <w:p>
                <w:pPr>
                  <w:widowControl w:val="0"/>
                  <w:jc w:val="right"/>
                  <w:rPr>
                    <w:rFonts w:ascii="Arial Narrow" w:hAnsi="Arial Narrow"/>
                    <w:szCs w:val="21"/>
                  </w:rPr>
                </w:pPr>
                <w:r>
                  <w:rPr>
                    <w:rFonts w:ascii="Arial Narrow" w:hAnsi="Arial Narrow"/>
                    <w:szCs w:val="21"/>
                  </w:rPr>
                  <w:t>-126,585,205.31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d348174b96dd4a83b00307fc57431fc5"/>
                <w:id w:val="6772539"/>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sdt>
              <w:sdtPr>
                <w:rPr>
                  <w:rFonts w:ascii="Arial Narrow" w:hAnsi="Arial Narrow"/>
                  <w:szCs w:val="21"/>
                </w:rPr>
                <w:alias w:val="除同公司正常经营业务相关的有效套期保值业务外，持有交易性金融资产、交易性金融负债产生的公允价值变动损益，以及处置交易性金.."/>
                <w:tag w:val="_GBC_42b8bd6886ac42a2b1b105fcc46d4877"/>
                <w:id w:val="6772540"/>
                <w:lock w:val="sdtLocked"/>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hint="eastAsia" w:ascii="Arial Narrow" w:hAnsi="Arial Narrow"/>
                        <w:szCs w:val="21"/>
                      </w:rPr>
                      <w:t>-2,655,967.11</w:t>
                    </w:r>
                  </w:p>
                </w:tc>
              </w:sdtContent>
            </w:sdt>
            <w:sdt>
              <w:sdtPr>
                <w:rPr>
                  <w:rFonts w:ascii="Arial Narrow" w:hAnsi="Arial Narrow" w:eastAsiaTheme="minorEastAsia"/>
                  <w:sz w:val="18"/>
                  <w:szCs w:val="18"/>
                </w:rPr>
                <w:alias w:val="除同公司正常经营业务相关的有效套期保值业务外，持有交易性金融资产、交易性金融负债产生的公允价值变动损益，以及处置交易性金.."/>
                <w:tag w:val="_GBC_d54ac4d5c8934949b1f216e62675e7ba"/>
                <w:id w:val="6772541"/>
                <w:lock w:val="sdtLocked"/>
                <w:text/>
              </w:sdtPr>
              <w:sdtEndPr>
                <w:rPr>
                  <w:rFonts w:ascii="Arial Narrow" w:hAnsi="Arial Narrow" w:eastAsiaTheme="minorEastAsia"/>
                  <w:sz w:val="18"/>
                  <w:szCs w:val="18"/>
                </w:rPr>
              </w:sdtEndPr>
              <w:sdtContent>
                <w:tc>
                  <w:tcPr>
                    <w:tcW w:w="1373" w:type="dxa"/>
                    <w:vAlign w:val="center"/>
                  </w:tcPr>
                  <w:p>
                    <w:pPr>
                      <w:widowControl w:val="0"/>
                      <w:jc w:val="left"/>
                      <w:rPr>
                        <w:rFonts w:ascii="Arial Narrow" w:hAnsi="Arial Narrow" w:eastAsiaTheme="minorEastAsia"/>
                        <w:sz w:val="18"/>
                        <w:szCs w:val="18"/>
                      </w:rPr>
                    </w:pPr>
                    <w:r>
                      <w:rPr>
                        <w:rFonts w:ascii="Arial Narrow" w:hAnsi="Arial Narrow" w:eastAsiaTheme="minorEastAsia"/>
                        <w:sz w:val="18"/>
                        <w:szCs w:val="18"/>
                      </w:rPr>
                      <w:t>七、67，68</w:t>
                    </w:r>
                  </w:p>
                </w:tc>
              </w:sdtContent>
            </w:sdt>
            <w:tc>
              <w:tcPr>
                <w:tcW w:w="1517" w:type="dxa"/>
                <w:vAlign w:val="center"/>
              </w:tcPr>
              <w:p>
                <w:pPr>
                  <w:widowControl w:val="0"/>
                  <w:jc w:val="right"/>
                  <w:rPr>
                    <w:rFonts w:ascii="Arial Narrow" w:hAnsi="Arial Narrow"/>
                    <w:szCs w:val="21"/>
                  </w:rPr>
                </w:pPr>
                <w:r>
                  <w:rPr>
                    <w:rFonts w:ascii="Arial Narrow" w:hAnsi="Arial Narrow"/>
                    <w:szCs w:val="21"/>
                  </w:rPr>
                  <w:t>-5,387,678.62</w:t>
                </w:r>
              </w:p>
            </w:tc>
            <w:tc>
              <w:tcPr>
                <w:tcW w:w="1471" w:type="dxa"/>
                <w:vAlign w:val="center"/>
              </w:tcPr>
              <w:p>
                <w:pPr>
                  <w:widowControl w:val="0"/>
                  <w:jc w:val="right"/>
                  <w:rPr>
                    <w:rFonts w:ascii="Arial Narrow" w:hAnsi="Arial Narrow"/>
                    <w:szCs w:val="21"/>
                  </w:rPr>
                </w:pPr>
                <w:r>
                  <w:rPr>
                    <w:rFonts w:ascii="Arial Narrow" w:hAnsi="Arial Narrow"/>
                    <w:szCs w:val="21"/>
                  </w:rPr>
                  <w:t>7,040,422.53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1e0c7973eaf44cc1ae438b299c10bc01"/>
                <w:id w:val="6772542"/>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单独进行减值测试的应收款项减值准备转回</w:t>
                    </w:r>
                  </w:p>
                </w:tc>
              </w:sdtContent>
            </w:sdt>
            <w:sdt>
              <w:sdtPr>
                <w:rPr>
                  <w:rFonts w:ascii="Arial Narrow" w:hAnsi="Arial Narrow"/>
                  <w:szCs w:val="21"/>
                </w:rPr>
                <w:alias w:val="单独进行减值测试的应收款项减值准备转回（非经常性损益项目）"/>
                <w:tag w:val="_GBC_11e7a54782ce4d4ea55741ca3eccfab2"/>
                <w:id w:val="6772543"/>
                <w:lock w:val="sdtLocked"/>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hint="eastAsia" w:ascii="Arial Narrow" w:hAnsi="Arial Narrow"/>
                        <w:szCs w:val="21"/>
                      </w:rPr>
                      <w:t>19,345,009.04</w:t>
                    </w:r>
                  </w:p>
                </w:tc>
              </w:sdtContent>
            </w:sdt>
            <w:sdt>
              <w:sdtPr>
                <w:rPr>
                  <w:rFonts w:ascii="Arial Narrow" w:hAnsi="Arial Narrow" w:eastAsiaTheme="minorEastAsia"/>
                  <w:sz w:val="18"/>
                  <w:szCs w:val="18"/>
                </w:rPr>
                <w:alias w:val="单独进行减值测试的应收款项减值准备转回的说明（非经常性损益项目）"/>
                <w:tag w:val="_GBC_6b3635c462884a1ab6e9eda67edb2743"/>
                <w:id w:val="6772544"/>
                <w:lock w:val="sdtLocked"/>
                <w:text/>
              </w:sdtPr>
              <w:sdtEndPr>
                <w:rPr>
                  <w:rFonts w:ascii="Arial Narrow" w:hAnsi="Arial Narrow" w:eastAsiaTheme="minorEastAsia"/>
                  <w:sz w:val="18"/>
                  <w:szCs w:val="18"/>
                </w:rPr>
              </w:sdtEndPr>
              <w:sdtContent>
                <w:tc>
                  <w:tcPr>
                    <w:tcW w:w="1373" w:type="dxa"/>
                    <w:vAlign w:val="center"/>
                  </w:tcPr>
                  <w:p>
                    <w:pPr>
                      <w:widowControl w:val="0"/>
                      <w:jc w:val="left"/>
                      <w:rPr>
                        <w:rFonts w:ascii="Arial Narrow" w:hAnsi="Arial Narrow" w:eastAsiaTheme="minorEastAsia"/>
                        <w:sz w:val="18"/>
                        <w:szCs w:val="18"/>
                      </w:rPr>
                    </w:pPr>
                    <w:r>
                      <w:rPr>
                        <w:rFonts w:ascii="Arial Narrow" w:hAnsi="Arial Narrow" w:eastAsiaTheme="minorEastAsia"/>
                        <w:sz w:val="18"/>
                        <w:szCs w:val="18"/>
                      </w:rPr>
                      <w:t>七、5（2）</w:t>
                    </w:r>
                  </w:p>
                </w:tc>
              </w:sdtContent>
            </w:sdt>
            <w:tc>
              <w:tcPr>
                <w:tcW w:w="1517" w:type="dxa"/>
                <w:vAlign w:val="center"/>
              </w:tcPr>
              <w:p>
                <w:pPr>
                  <w:widowControl w:val="0"/>
                  <w:jc w:val="right"/>
                  <w:rPr>
                    <w:rFonts w:ascii="Arial Narrow" w:hAnsi="Arial Narrow"/>
                    <w:szCs w:val="21"/>
                  </w:rPr>
                </w:pPr>
              </w:p>
            </w:tc>
            <w:tc>
              <w:tcPr>
                <w:tcW w:w="1471" w:type="dxa"/>
                <w:vAlign w:val="center"/>
              </w:tcPr>
              <w:p>
                <w:pPr>
                  <w:widowControl w:val="0"/>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80eb423167a4447fa29c77c0868920cf"/>
                <w:id w:val="6772545"/>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根据税收、会计等法律、法规的要求对当期损益进行一次性调整对当期损益的影响</w:t>
                    </w:r>
                  </w:p>
                </w:tc>
              </w:sdtContent>
            </w:sdt>
            <w:sdt>
              <w:sdtPr>
                <w:rPr>
                  <w:rFonts w:ascii="Arial Narrow" w:hAnsi="Arial Narrow"/>
                  <w:szCs w:val="21"/>
                </w:rPr>
                <w:alias w:val="根据税收、会计等法律、法规的要求对当期损益进行一次性调整对当期损益的影响（非经常性损益项目）"/>
                <w:tag w:val="_GBC_ca4bb3049b574b3e8c6e1776b8440b3c"/>
                <w:id w:val="6772546"/>
                <w:lock w:val="sdtLocked"/>
                <w:showingPlcHdr/>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ascii="Arial Narrow" w:hAnsi="Arial Narrow"/>
                        <w:szCs w:val="21"/>
                      </w:rPr>
                      <w:t>　</w:t>
                    </w:r>
                  </w:p>
                </w:tc>
              </w:sdtContent>
            </w:sdt>
            <w:sdt>
              <w:sdtPr>
                <w:rPr>
                  <w:rFonts w:ascii="Arial Narrow" w:hAnsi="Arial Narrow" w:eastAsiaTheme="minorEastAsia"/>
                  <w:sz w:val="18"/>
                  <w:szCs w:val="18"/>
                </w:rPr>
                <w:alias w:val="根据税收、会计等法律、法规的要求对当期损益进行一次性调整对当期损益的影响的说明（非经常性损益项目）"/>
                <w:tag w:val="_GBC_238aa7e1b60241b4a325f2307526db7f"/>
                <w:id w:val="6772547"/>
                <w:lock w:val="sdtLocked"/>
                <w:showingPlcHdr/>
                <w:text/>
              </w:sdtPr>
              <w:sdtEndPr>
                <w:rPr>
                  <w:rFonts w:ascii="Arial Narrow" w:hAnsi="Arial Narrow" w:eastAsiaTheme="minorEastAsia"/>
                  <w:sz w:val="18"/>
                  <w:szCs w:val="18"/>
                </w:rPr>
              </w:sdtEndPr>
              <w:sdtContent>
                <w:tc>
                  <w:tcPr>
                    <w:tcW w:w="1373" w:type="dxa"/>
                    <w:vAlign w:val="center"/>
                  </w:tcPr>
                  <w:p>
                    <w:pPr>
                      <w:widowControl w:val="0"/>
                      <w:jc w:val="left"/>
                      <w:rPr>
                        <w:rFonts w:ascii="Arial Narrow" w:hAnsi="Arial Narrow" w:eastAsiaTheme="minorEastAsia"/>
                        <w:sz w:val="18"/>
                        <w:szCs w:val="18"/>
                      </w:rPr>
                    </w:pPr>
                  </w:p>
                </w:tc>
              </w:sdtContent>
            </w:sdt>
            <w:tc>
              <w:tcPr>
                <w:tcW w:w="1517" w:type="dxa"/>
                <w:vAlign w:val="center"/>
              </w:tcPr>
              <w:p>
                <w:pPr>
                  <w:widowControl w:val="0"/>
                  <w:jc w:val="right"/>
                  <w:rPr>
                    <w:rFonts w:ascii="Arial Narrow" w:hAnsi="Arial Narrow"/>
                    <w:szCs w:val="21"/>
                  </w:rPr>
                </w:pPr>
              </w:p>
            </w:tc>
            <w:tc>
              <w:tcPr>
                <w:tcW w:w="1471" w:type="dxa"/>
                <w:vAlign w:val="center"/>
              </w:tcPr>
              <w:p>
                <w:pPr>
                  <w:widowControl w:val="0"/>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f3cbcb5c4a554cb89b6fcecd900b57f6"/>
                <w:id w:val="6772548"/>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受托经营取得的托管费收入</w:t>
                    </w:r>
                  </w:p>
                </w:tc>
              </w:sdtContent>
            </w:sdt>
            <w:sdt>
              <w:sdtPr>
                <w:rPr>
                  <w:rFonts w:ascii="Arial Narrow" w:hAnsi="Arial Narrow"/>
                  <w:szCs w:val="21"/>
                </w:rPr>
                <w:alias w:val="受托经营取得的托管费收入（非经常性损益项目）"/>
                <w:tag w:val="_GBC_64dec82270cd41ecb837bfb42a00fe5d"/>
                <w:id w:val="6772549"/>
                <w:lock w:val="sdtLocked"/>
                <w:showingPlcHdr/>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ascii="Arial Narrow" w:hAnsi="Arial Narrow"/>
                        <w:szCs w:val="21"/>
                      </w:rPr>
                      <w:t>　</w:t>
                    </w:r>
                  </w:p>
                </w:tc>
              </w:sdtContent>
            </w:sdt>
            <w:sdt>
              <w:sdtPr>
                <w:rPr>
                  <w:rFonts w:ascii="Arial Narrow" w:hAnsi="Arial Narrow" w:eastAsiaTheme="minorEastAsia"/>
                  <w:sz w:val="18"/>
                  <w:szCs w:val="18"/>
                </w:rPr>
                <w:alias w:val="受托经营取得的托管费收入的说明（非经常性损益项目）"/>
                <w:tag w:val="_GBC_eb60e395088e43f9ae0d163e9b11708e"/>
                <w:id w:val="6772550"/>
                <w:lock w:val="sdtLocked"/>
                <w:showingPlcHdr/>
                <w:text/>
              </w:sdtPr>
              <w:sdtEndPr>
                <w:rPr>
                  <w:rFonts w:ascii="Arial Narrow" w:hAnsi="Arial Narrow" w:eastAsiaTheme="minorEastAsia"/>
                  <w:sz w:val="18"/>
                  <w:szCs w:val="18"/>
                </w:rPr>
              </w:sdtEndPr>
              <w:sdtContent>
                <w:tc>
                  <w:tcPr>
                    <w:tcW w:w="1373" w:type="dxa"/>
                    <w:vAlign w:val="center"/>
                  </w:tcPr>
                  <w:p>
                    <w:pPr>
                      <w:widowControl w:val="0"/>
                      <w:jc w:val="left"/>
                      <w:rPr>
                        <w:rFonts w:ascii="Arial Narrow" w:hAnsi="Arial Narrow" w:eastAsiaTheme="minorEastAsia"/>
                        <w:sz w:val="18"/>
                        <w:szCs w:val="18"/>
                      </w:rPr>
                    </w:pPr>
                  </w:p>
                </w:tc>
              </w:sdtContent>
            </w:sdt>
            <w:tc>
              <w:tcPr>
                <w:tcW w:w="1517" w:type="dxa"/>
                <w:vAlign w:val="center"/>
              </w:tcPr>
              <w:p>
                <w:pPr>
                  <w:widowControl w:val="0"/>
                  <w:jc w:val="right"/>
                  <w:rPr>
                    <w:rFonts w:ascii="Arial Narrow" w:hAnsi="Arial Narrow"/>
                    <w:szCs w:val="21"/>
                  </w:rPr>
                </w:pPr>
              </w:p>
            </w:tc>
            <w:tc>
              <w:tcPr>
                <w:tcW w:w="1471" w:type="dxa"/>
                <w:vAlign w:val="center"/>
              </w:tcPr>
              <w:p>
                <w:pPr>
                  <w:widowControl w:val="0"/>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e6be33fdedf14f828b768e63f66776a7"/>
                <w:id w:val="6772551"/>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除上述各项之外的其他营业外收入和支出</w:t>
                    </w:r>
                  </w:p>
                </w:tc>
              </w:sdtContent>
            </w:sdt>
            <w:sdt>
              <w:sdtPr>
                <w:rPr>
                  <w:rFonts w:ascii="Arial Narrow" w:hAnsi="Arial Narrow"/>
                  <w:szCs w:val="21"/>
                </w:rPr>
                <w:alias w:val="除上述各项之外的其他营业外收入和支出（非经常性损益项目）"/>
                <w:tag w:val="_GBC_a773965a05794857b243336e0cfaa234"/>
                <w:id w:val="6772552"/>
                <w:lock w:val="sdtLocked"/>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hint="eastAsia" w:ascii="Arial Narrow" w:hAnsi="Arial Narrow"/>
                        <w:szCs w:val="21"/>
                      </w:rPr>
                      <w:t>5,279,899.72</w:t>
                    </w:r>
                  </w:p>
                </w:tc>
              </w:sdtContent>
            </w:sdt>
            <w:sdt>
              <w:sdtPr>
                <w:rPr>
                  <w:rFonts w:ascii="Arial Narrow" w:hAnsi="Arial Narrow" w:eastAsiaTheme="minorEastAsia"/>
                  <w:sz w:val="18"/>
                  <w:szCs w:val="18"/>
                </w:rPr>
                <w:alias w:val="除上述各项之外的其他营业外收入和支出的说明（非经常性损益项目）"/>
                <w:tag w:val="_GBC_ac5f6194a5db40ea8e92409805b59f35"/>
                <w:id w:val="6772553"/>
                <w:lock w:val="sdtLocked"/>
                <w:text/>
              </w:sdtPr>
              <w:sdtEndPr>
                <w:rPr>
                  <w:rFonts w:ascii="Arial Narrow" w:hAnsi="Arial Narrow" w:eastAsiaTheme="minorEastAsia"/>
                  <w:sz w:val="18"/>
                  <w:szCs w:val="18"/>
                </w:rPr>
              </w:sdtEndPr>
              <w:sdtContent>
                <w:tc>
                  <w:tcPr>
                    <w:tcW w:w="1373" w:type="dxa"/>
                    <w:vAlign w:val="center"/>
                  </w:tcPr>
                  <w:p>
                    <w:pPr>
                      <w:widowControl w:val="0"/>
                      <w:jc w:val="left"/>
                      <w:rPr>
                        <w:rFonts w:ascii="Arial Narrow" w:hAnsi="Arial Narrow" w:eastAsiaTheme="minorEastAsia"/>
                        <w:sz w:val="18"/>
                        <w:szCs w:val="18"/>
                      </w:rPr>
                    </w:pPr>
                    <w:r>
                      <w:rPr>
                        <w:rFonts w:hint="eastAsia" w:ascii="Arial Narrow" w:hAnsi="Arial Narrow" w:eastAsiaTheme="minorEastAsia"/>
                        <w:sz w:val="18"/>
                        <w:szCs w:val="18"/>
                      </w:rPr>
                      <w:t>七、69，70</w:t>
                    </w:r>
                  </w:p>
                </w:tc>
              </w:sdtContent>
            </w:sdt>
            <w:tc>
              <w:tcPr>
                <w:tcW w:w="1517" w:type="dxa"/>
                <w:vAlign w:val="center"/>
              </w:tcPr>
              <w:p>
                <w:pPr>
                  <w:widowControl w:val="0"/>
                  <w:jc w:val="right"/>
                  <w:rPr>
                    <w:rFonts w:ascii="Arial Narrow" w:hAnsi="Arial Narrow"/>
                    <w:szCs w:val="21"/>
                  </w:rPr>
                </w:pPr>
                <w:r>
                  <w:rPr>
                    <w:rFonts w:ascii="Arial Narrow" w:hAnsi="Arial Narrow"/>
                    <w:szCs w:val="21"/>
                  </w:rPr>
                  <w:t>11,519,354.01</w:t>
                </w:r>
              </w:p>
            </w:tc>
            <w:tc>
              <w:tcPr>
                <w:tcW w:w="1471" w:type="dxa"/>
                <w:vAlign w:val="center"/>
              </w:tcPr>
              <w:p>
                <w:pPr>
                  <w:widowControl w:val="0"/>
                  <w:jc w:val="right"/>
                  <w:rPr>
                    <w:rFonts w:ascii="Arial Narrow" w:hAnsi="Arial Narrow"/>
                    <w:szCs w:val="21"/>
                  </w:rPr>
                </w:pPr>
                <w:r>
                  <w:rPr>
                    <w:rFonts w:ascii="Arial Narrow" w:hAnsi="Arial Narrow"/>
                    <w:szCs w:val="21"/>
                  </w:rPr>
                  <w:t>523,182.93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069ba37d792f40e6b04d4878cd0275d9"/>
                <w:id w:val="6772554"/>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其他符合非经常性损益定义的损益项目</w:t>
                    </w:r>
                  </w:p>
                </w:tc>
              </w:sdtContent>
            </w:sdt>
            <w:sdt>
              <w:sdtPr>
                <w:rPr>
                  <w:rFonts w:ascii="Arial Narrow" w:hAnsi="Arial Narrow"/>
                  <w:szCs w:val="21"/>
                </w:rPr>
                <w:alias w:val="其他符合非经常性损益定义的损益项目（非经常性损益项目）"/>
                <w:tag w:val="_GBC_dc3014cc76184a2b8eb76e4aa565ffad"/>
                <w:id w:val="6772555"/>
                <w:lock w:val="sdtLocked"/>
                <w:showingPlcHdr/>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ascii="Arial Narrow" w:hAnsi="Arial Narrow"/>
                        <w:szCs w:val="21"/>
                      </w:rPr>
                      <w:t>　</w:t>
                    </w:r>
                  </w:p>
                </w:tc>
              </w:sdtContent>
            </w:sdt>
            <w:sdt>
              <w:sdtPr>
                <w:rPr>
                  <w:rFonts w:ascii="Arial Narrow" w:hAnsi="Arial Narrow" w:eastAsiaTheme="minorEastAsia"/>
                  <w:sz w:val="18"/>
                  <w:szCs w:val="18"/>
                </w:rPr>
                <w:alias w:val="其他符合非经常性损益定义的损益项目说明（非经常性损益项目）"/>
                <w:tag w:val="_GBC_6779f30daaa643fc8b85b77d8abfb3a1"/>
                <w:id w:val="6772556"/>
                <w:lock w:val="sdtLocked"/>
                <w:showingPlcHdr/>
                <w:text/>
              </w:sdtPr>
              <w:sdtEndPr>
                <w:rPr>
                  <w:rFonts w:ascii="Arial Narrow" w:hAnsi="Arial Narrow" w:eastAsiaTheme="minorEastAsia"/>
                  <w:sz w:val="18"/>
                  <w:szCs w:val="18"/>
                </w:rPr>
              </w:sdtEndPr>
              <w:sdtContent>
                <w:tc>
                  <w:tcPr>
                    <w:tcW w:w="1373" w:type="dxa"/>
                    <w:vAlign w:val="center"/>
                  </w:tcPr>
                  <w:p>
                    <w:pPr>
                      <w:widowControl w:val="0"/>
                      <w:jc w:val="left"/>
                      <w:rPr>
                        <w:rFonts w:ascii="Arial Narrow" w:hAnsi="Arial Narrow" w:eastAsiaTheme="minorEastAsia"/>
                        <w:sz w:val="18"/>
                        <w:szCs w:val="18"/>
                      </w:rPr>
                    </w:pPr>
                  </w:p>
                </w:tc>
              </w:sdtContent>
            </w:sdt>
            <w:tc>
              <w:tcPr>
                <w:tcW w:w="1517" w:type="dxa"/>
                <w:vAlign w:val="center"/>
              </w:tcPr>
              <w:p>
                <w:pPr>
                  <w:widowControl w:val="0"/>
                  <w:jc w:val="right"/>
                  <w:rPr>
                    <w:rFonts w:ascii="Arial Narrow" w:hAnsi="Arial Narrow"/>
                    <w:szCs w:val="21"/>
                  </w:rPr>
                </w:pPr>
              </w:p>
            </w:tc>
            <w:tc>
              <w:tcPr>
                <w:tcW w:w="1471" w:type="dxa"/>
                <w:vAlign w:val="center"/>
              </w:tcPr>
              <w:p>
                <w:pPr>
                  <w:widowControl w:val="0"/>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0149f9eb956c4e448b13c00025046984"/>
                <w:id w:val="6772557"/>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少数股东权益影响额</w:t>
                    </w:r>
                  </w:p>
                </w:tc>
              </w:sdtContent>
            </w:sdt>
            <w:sdt>
              <w:sdtPr>
                <w:rPr>
                  <w:rFonts w:ascii="Arial Narrow" w:hAnsi="Arial Narrow"/>
                  <w:szCs w:val="21"/>
                </w:rPr>
                <w:alias w:val="少数股东权益影响额（非经常性损益项目）"/>
                <w:tag w:val="_GBC_8a33ddc327de4910a42517cecea4257d"/>
                <w:id w:val="6772558"/>
                <w:lock w:val="sdtLocked"/>
                <w:showingPlcHdr/>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ascii="Arial Narrow" w:hAnsi="Arial Narrow"/>
                        <w:szCs w:val="21"/>
                      </w:rPr>
                      <w:t>　</w:t>
                    </w:r>
                  </w:p>
                </w:tc>
              </w:sdtContent>
            </w:sdt>
            <w:sdt>
              <w:sdtPr>
                <w:rPr>
                  <w:rFonts w:asciiTheme="minorEastAsia" w:hAnsiTheme="minorEastAsia" w:eastAsiaTheme="minorEastAsia"/>
                  <w:sz w:val="18"/>
                  <w:szCs w:val="18"/>
                </w:rPr>
                <w:alias w:val="少数股东权益影响额的说明（非经常性损益项目）"/>
                <w:tag w:val="_GBC_f99579c660ec489493ceb1b242ea1220"/>
                <w:id w:val="6772559"/>
                <w:lock w:val="sdtLocked"/>
                <w:showingPlcHdr/>
                <w:text/>
              </w:sdtPr>
              <w:sdtEndPr>
                <w:rPr>
                  <w:rFonts w:asciiTheme="minorEastAsia" w:hAnsiTheme="minorEastAsia" w:eastAsiaTheme="minorEastAsia"/>
                  <w:sz w:val="18"/>
                  <w:szCs w:val="18"/>
                </w:rPr>
              </w:sdtEndPr>
              <w:sdtContent>
                <w:tc>
                  <w:tcPr>
                    <w:tcW w:w="1373" w:type="dxa"/>
                    <w:vAlign w:val="center"/>
                  </w:tcPr>
                  <w:p>
                    <w:pPr>
                      <w:widowControl w:val="0"/>
                      <w:jc w:val="left"/>
                      <w:rPr>
                        <w:rFonts w:asciiTheme="minorEastAsia" w:hAnsiTheme="minorEastAsia" w:eastAsiaTheme="minorEastAsia"/>
                        <w:sz w:val="18"/>
                        <w:szCs w:val="18"/>
                      </w:rPr>
                    </w:pPr>
                  </w:p>
                </w:tc>
              </w:sdtContent>
            </w:sdt>
            <w:tc>
              <w:tcPr>
                <w:tcW w:w="1517" w:type="dxa"/>
                <w:vAlign w:val="center"/>
              </w:tcPr>
              <w:p>
                <w:pPr>
                  <w:widowControl w:val="0"/>
                  <w:jc w:val="right"/>
                  <w:rPr>
                    <w:rFonts w:ascii="Arial Narrow" w:hAnsi="Arial Narrow"/>
                    <w:szCs w:val="21"/>
                  </w:rPr>
                </w:pPr>
              </w:p>
            </w:tc>
            <w:tc>
              <w:tcPr>
                <w:tcW w:w="1471" w:type="dxa"/>
                <w:vAlign w:val="center"/>
              </w:tcPr>
              <w:p>
                <w:pPr>
                  <w:widowControl w:val="0"/>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f36791cf59a8480abcd9c8ff79bd2231"/>
                <w:id w:val="6772560"/>
                <w:lock w:val="sdtLocked"/>
              </w:sdtPr>
              <w:sdtEndPr>
                <w:rPr>
                  <w:rFonts w:ascii="Times New Roman" w:hAnsi="Times New Roman"/>
                  <w:sz w:val="18"/>
                  <w:szCs w:val="18"/>
                </w:rPr>
              </w:sdtEndPr>
              <w:sdtContent>
                <w:tc>
                  <w:tcPr>
                    <w:tcW w:w="3458" w:type="dxa"/>
                  </w:tcPr>
                  <w:p>
                    <w:pPr>
                      <w:pStyle w:val="53"/>
                      <w:ind w:firstLine="0" w:firstLineChars="0"/>
                      <w:jc w:val="left"/>
                      <w:rPr>
                        <w:sz w:val="18"/>
                        <w:szCs w:val="18"/>
                      </w:rPr>
                    </w:pPr>
                    <w:r>
                      <w:rPr>
                        <w:sz w:val="18"/>
                        <w:szCs w:val="18"/>
                      </w:rPr>
                      <w:t>所得税影响额</w:t>
                    </w:r>
                  </w:p>
                </w:tc>
              </w:sdtContent>
            </w:sdt>
            <w:sdt>
              <w:sdtPr>
                <w:rPr>
                  <w:rFonts w:ascii="Arial Narrow" w:hAnsi="Arial Narrow"/>
                  <w:szCs w:val="21"/>
                </w:rPr>
                <w:alias w:val="非经常性损益_对所得税的影响"/>
                <w:tag w:val="_GBC_e14f120878e34174ad3744d5e7db4eea"/>
                <w:id w:val="6772561"/>
                <w:lock w:val="sdtLocked"/>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hint="eastAsia" w:ascii="Arial Narrow" w:hAnsi="Arial Narrow"/>
                        <w:szCs w:val="21"/>
                      </w:rPr>
                      <w:t>-7,915,015.72</w:t>
                    </w:r>
                  </w:p>
                </w:tc>
              </w:sdtContent>
            </w:sdt>
            <w:sdt>
              <w:sdtPr>
                <w:rPr>
                  <w:rFonts w:asciiTheme="minorEastAsia" w:hAnsiTheme="minorEastAsia" w:eastAsiaTheme="minorEastAsia"/>
                  <w:sz w:val="18"/>
                  <w:szCs w:val="18"/>
                </w:rPr>
                <w:alias w:val="所得税影响额的说明（非经常性损益项目）"/>
                <w:tag w:val="_GBC_fd22684ee3ac4dbea3da29cb32093302"/>
                <w:id w:val="6772562"/>
                <w:lock w:val="sdtLocked"/>
                <w:showingPlcHdr/>
                <w:text/>
              </w:sdtPr>
              <w:sdtEndPr>
                <w:rPr>
                  <w:rFonts w:asciiTheme="minorEastAsia" w:hAnsiTheme="minorEastAsia" w:eastAsiaTheme="minorEastAsia"/>
                  <w:sz w:val="18"/>
                  <w:szCs w:val="18"/>
                </w:rPr>
              </w:sdtEndPr>
              <w:sdtContent>
                <w:tc>
                  <w:tcPr>
                    <w:tcW w:w="1373" w:type="dxa"/>
                    <w:vAlign w:val="center"/>
                  </w:tcPr>
                  <w:p>
                    <w:pPr>
                      <w:widowControl w:val="0"/>
                      <w:jc w:val="left"/>
                      <w:rPr>
                        <w:rFonts w:asciiTheme="minorEastAsia" w:hAnsiTheme="minorEastAsia" w:eastAsiaTheme="minorEastAsia"/>
                        <w:sz w:val="18"/>
                        <w:szCs w:val="18"/>
                      </w:rPr>
                    </w:pPr>
                  </w:p>
                </w:tc>
              </w:sdtContent>
            </w:sdt>
            <w:tc>
              <w:tcPr>
                <w:tcW w:w="1517" w:type="dxa"/>
                <w:vAlign w:val="center"/>
              </w:tcPr>
              <w:p>
                <w:pPr>
                  <w:widowControl w:val="0"/>
                  <w:jc w:val="right"/>
                  <w:rPr>
                    <w:rFonts w:ascii="Arial Narrow" w:hAnsi="Arial Narrow"/>
                    <w:szCs w:val="21"/>
                  </w:rPr>
                </w:pPr>
              </w:p>
            </w:tc>
            <w:tc>
              <w:tcPr>
                <w:tcW w:w="1471" w:type="dxa"/>
                <w:vAlign w:val="center"/>
              </w:tcPr>
              <w:p>
                <w:pPr>
                  <w:widowControl w:val="0"/>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cdd9c8f04b3e40cfa4a4a82686706b76"/>
                <w:id w:val="6772563"/>
                <w:lock w:val="sdtLocked"/>
              </w:sdtPr>
              <w:sdtEndPr>
                <w:rPr>
                  <w:rFonts w:ascii="Times New Roman" w:hAnsi="Times New Roman"/>
                  <w:sz w:val="18"/>
                  <w:szCs w:val="18"/>
                </w:rPr>
              </w:sdtEndPr>
              <w:sdtContent>
                <w:tc>
                  <w:tcPr>
                    <w:tcW w:w="3458" w:type="dxa"/>
                    <w:vAlign w:val="center"/>
                  </w:tcPr>
                  <w:p>
                    <w:pPr>
                      <w:pStyle w:val="53"/>
                      <w:ind w:firstLine="0" w:firstLineChars="0"/>
                      <w:jc w:val="center"/>
                      <w:rPr>
                        <w:sz w:val="18"/>
                        <w:szCs w:val="18"/>
                      </w:rPr>
                    </w:pPr>
                    <w:r>
                      <w:rPr>
                        <w:sz w:val="18"/>
                        <w:szCs w:val="18"/>
                      </w:rPr>
                      <w:t>合计</w:t>
                    </w:r>
                  </w:p>
                </w:tc>
              </w:sdtContent>
            </w:sdt>
            <w:sdt>
              <w:sdtPr>
                <w:rPr>
                  <w:rFonts w:ascii="Arial Narrow" w:hAnsi="Arial Narrow"/>
                  <w:szCs w:val="21"/>
                </w:rPr>
                <w:alias w:val="扣除的非经常性损益合计"/>
                <w:tag w:val="_GBC_27f939c97c8647838fab8288ea8c5220"/>
                <w:id w:val="6772564"/>
                <w:lock w:val="sdtLocked"/>
                <w:text/>
              </w:sdtPr>
              <w:sdtEndPr>
                <w:rPr>
                  <w:rFonts w:ascii="Arial Narrow" w:hAnsi="Arial Narrow"/>
                  <w:szCs w:val="21"/>
                </w:rPr>
              </w:sdtEndPr>
              <w:sdtContent>
                <w:tc>
                  <w:tcPr>
                    <w:tcW w:w="1406" w:type="dxa"/>
                    <w:vAlign w:val="center"/>
                  </w:tcPr>
                  <w:p>
                    <w:pPr>
                      <w:widowControl w:val="0"/>
                      <w:jc w:val="right"/>
                      <w:rPr>
                        <w:rFonts w:ascii="Arial Narrow" w:hAnsi="Arial Narrow"/>
                        <w:szCs w:val="21"/>
                      </w:rPr>
                    </w:pPr>
                    <w:r>
                      <w:rPr>
                        <w:rFonts w:hint="eastAsia" w:ascii="Arial Narrow" w:hAnsi="Arial Narrow"/>
                        <w:szCs w:val="21"/>
                      </w:rPr>
                      <w:t>44,851,755.73</w:t>
                    </w:r>
                  </w:p>
                </w:tc>
              </w:sdtContent>
            </w:sdt>
            <w:sdt>
              <w:sdtPr>
                <w:rPr>
                  <w:rFonts w:ascii="Arial Narrow" w:hAnsi="Arial Narrow"/>
                  <w:sz w:val="18"/>
                  <w:szCs w:val="18"/>
                </w:rPr>
                <w:alias w:val="扣除的非经常性损益合计说明"/>
                <w:tag w:val="_GBC_7d667fbe166547a9b35986a48bb69a40"/>
                <w:id w:val="6772565"/>
                <w:lock w:val="sdtLocked"/>
                <w:showingPlcHdr/>
                <w:text/>
              </w:sdtPr>
              <w:sdtEndPr>
                <w:rPr>
                  <w:rFonts w:ascii="Arial Narrow" w:hAnsi="Arial Narrow"/>
                  <w:sz w:val="18"/>
                  <w:szCs w:val="18"/>
                </w:rPr>
              </w:sdtEndPr>
              <w:sdtContent>
                <w:tc>
                  <w:tcPr>
                    <w:tcW w:w="1373" w:type="dxa"/>
                    <w:vAlign w:val="center"/>
                  </w:tcPr>
                  <w:p>
                    <w:pPr>
                      <w:widowControl w:val="0"/>
                      <w:jc w:val="left"/>
                      <w:rPr>
                        <w:rFonts w:ascii="Arial Narrow" w:hAnsi="Arial Narrow"/>
                        <w:sz w:val="18"/>
                        <w:szCs w:val="18"/>
                      </w:rPr>
                    </w:pPr>
                  </w:p>
                </w:tc>
              </w:sdtContent>
            </w:sdt>
            <w:tc>
              <w:tcPr>
                <w:tcW w:w="1517" w:type="dxa"/>
                <w:vAlign w:val="center"/>
              </w:tcPr>
              <w:p>
                <w:pPr>
                  <w:widowControl w:val="0"/>
                  <w:jc w:val="right"/>
                  <w:rPr>
                    <w:rFonts w:ascii="Arial Narrow" w:hAnsi="Arial Narrow"/>
                    <w:szCs w:val="21"/>
                  </w:rPr>
                </w:pPr>
                <w:r>
                  <w:rPr>
                    <w:rFonts w:ascii="Arial Narrow" w:hAnsi="Arial Narrow"/>
                    <w:szCs w:val="21"/>
                  </w:rPr>
                  <w:t>-6,553,678.96</w:t>
                </w:r>
              </w:p>
            </w:tc>
            <w:tc>
              <w:tcPr>
                <w:tcW w:w="1471" w:type="dxa"/>
                <w:vAlign w:val="center"/>
              </w:tcPr>
              <w:p>
                <w:pPr>
                  <w:widowControl w:val="0"/>
                  <w:jc w:val="right"/>
                  <w:rPr>
                    <w:rFonts w:ascii="Arial Narrow" w:hAnsi="Arial Narrow"/>
                    <w:szCs w:val="21"/>
                  </w:rPr>
                </w:pPr>
                <w:r>
                  <w:rPr>
                    <w:rFonts w:ascii="Arial Narrow" w:hAnsi="Arial Narrow"/>
                    <w:szCs w:val="21"/>
                  </w:rPr>
                  <w:t>-98,516,490.98</w:t>
                </w:r>
              </w:p>
            </w:tc>
          </w:tr>
        </w:tbl>
        <w:p/>
        <w:p/>
      </w:sdtContent>
    </w:sdt>
    <w:sdt>
      <w:sdtPr>
        <w:rPr>
          <w:rFonts w:hint="eastAsia" w:ascii="宋体" w:hAnsi="宋体" w:cs="宋体"/>
          <w:b w:val="0"/>
          <w:bCs w:val="0"/>
          <w:kern w:val="0"/>
          <w:szCs w:val="24"/>
        </w:rPr>
        <w:alias w:val="模块:采用公允价值计量的项目"/>
        <w:tag w:val="_SEC_4b13c06b07154e45b14204b22dd943ad"/>
        <w:id w:val="6772577"/>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1"/>
              <w:numId w:val="4"/>
            </w:numPr>
            <w:ind w:left="496" w:hanging="495" w:hangingChars="236"/>
          </w:pPr>
          <w:r>
            <w:rPr>
              <w:rFonts w:hint="eastAsia"/>
            </w:rPr>
            <w:t>采用公允价值计量的项目</w:t>
          </w:r>
        </w:p>
        <w:sdt>
          <w:sdtPr>
            <w:alias w:val="是否适用：采用公允价值计量的项目[双击切换]"/>
            <w:tag w:val="_GBC_e89d76d7486246e0ac1d3db15e4df008"/>
            <w:id w:val="677256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wordWrap w:val="0"/>
            <w:jc w:val="right"/>
            <w:rPr>
              <w:rFonts w:asciiTheme="minorEastAsia" w:hAnsiTheme="minorEastAsia" w:eastAsiaTheme="minorEastAsia"/>
              <w:szCs w:val="21"/>
            </w:rPr>
          </w:pPr>
          <w:r>
            <w:rPr>
              <w:rFonts w:hint="eastAsia" w:asciiTheme="minorEastAsia" w:hAnsiTheme="minorEastAsia" w:eastAsiaTheme="minorEastAsia"/>
              <w:szCs w:val="21"/>
            </w:rPr>
            <w:t>单位：</w:t>
          </w:r>
          <w:sdt>
            <w:sdtPr>
              <w:rPr>
                <w:rFonts w:hint="eastAsia" w:asciiTheme="minorEastAsia" w:hAnsiTheme="minorEastAsia" w:eastAsiaTheme="minorEastAsia"/>
                <w:szCs w:val="21"/>
              </w:rPr>
              <w:alias w:val="单位：采用公允价值计量的项目"/>
              <w:tag w:val="_GBC_3db790decc6f48c79df9bb825ea34c80"/>
              <w:id w:val="6772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Theme="minorEastAsia" w:hAnsiTheme="minorEastAsia" w:eastAsiaTheme="minorEastAsia"/>
                <w:szCs w:val="21"/>
              </w:rPr>
            </w:sdtEndPr>
            <w:sdtContent>
              <w:r>
                <w:rPr>
                  <w:rFonts w:hint="eastAsia" w:asciiTheme="minorEastAsia" w:hAnsiTheme="minorEastAsia" w:eastAsiaTheme="minorEastAsia"/>
                  <w:szCs w:val="21"/>
                </w:rPr>
                <w:t>元</w:t>
              </w:r>
            </w:sdtContent>
          </w:sdt>
          <w:r>
            <w:rPr>
              <w:rFonts w:hint="eastAsia" w:asciiTheme="minorEastAsia" w:hAnsiTheme="minorEastAsia" w:eastAsiaTheme="minorEastAsia"/>
              <w:szCs w:val="21"/>
            </w:rPr>
            <w:t xml:space="preserve">  币种：</w:t>
          </w:r>
          <w:sdt>
            <w:sdtPr>
              <w:rPr>
                <w:rFonts w:hint="eastAsia" w:asciiTheme="minorEastAsia" w:hAnsiTheme="minorEastAsia" w:eastAsiaTheme="minorEastAsia"/>
                <w:szCs w:val="21"/>
              </w:rPr>
              <w:alias w:val="币种：采用公允价值计量的项目"/>
              <w:tag w:val="_GBC_6f16a5f9084343f1b7cf46e770d31080"/>
              <w:id w:val="6772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Theme="minorEastAsia" w:hAnsiTheme="minorEastAsia" w:eastAsiaTheme="minorEastAsia"/>
                <w:szCs w:val="21"/>
              </w:rPr>
            </w:sdtEndPr>
            <w:sdtContent>
              <w:r>
                <w:rPr>
                  <w:rFonts w:hint="eastAsia" w:asciiTheme="minorEastAsia" w:hAnsiTheme="minorEastAsia" w:eastAsiaTheme="minorEastAsia"/>
                  <w:szCs w:val="21"/>
                </w:rPr>
                <w:t>人民币</w:t>
              </w:r>
            </w:sdtContent>
          </w:sdt>
        </w:p>
        <w:tbl>
          <w:tblPr>
            <w:tblStyle w:val="81"/>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699"/>
            <w:gridCol w:w="1708"/>
            <w:gridCol w:w="1693"/>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tag w:val="_PLD_7afb41bb6f11412490d2cf97e6a8af4a"/>
                <w:id w:val="6772570"/>
                <w:lock w:val="sdtLocked"/>
              </w:sdtPr>
              <w:sdtContent>
                <w:tc>
                  <w:tcPr>
                    <w:tcW w:w="1951" w:type="dxa"/>
                    <w:vAlign w:val="center"/>
                  </w:tcPr>
                  <w:p>
                    <w:pPr>
                      <w:widowControl w:val="0"/>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sdtContent>
            </w:sdt>
            <w:sdt>
              <w:sdtPr>
                <w:tag w:val="_PLD_da0df6228e264965b54ebbf01610457e"/>
                <w:id w:val="6772571"/>
                <w:lock w:val="sdtLocked"/>
              </w:sdtPr>
              <w:sdtContent>
                <w:tc>
                  <w:tcPr>
                    <w:tcW w:w="1699" w:type="dxa"/>
                    <w:vAlign w:val="center"/>
                  </w:tcPr>
                  <w:p>
                    <w:pPr>
                      <w:widowControl w:val="0"/>
                      <w:jc w:val="center"/>
                      <w:rPr>
                        <w:rFonts w:asciiTheme="minorEastAsia" w:hAnsiTheme="minorEastAsia" w:eastAsiaTheme="minorEastAsia"/>
                        <w:szCs w:val="21"/>
                      </w:rPr>
                    </w:pPr>
                    <w:r>
                      <w:rPr>
                        <w:rFonts w:hint="eastAsia" w:asciiTheme="minorEastAsia" w:hAnsiTheme="minorEastAsia" w:eastAsiaTheme="minorEastAsia"/>
                        <w:szCs w:val="21"/>
                      </w:rPr>
                      <w:t>期初余额</w:t>
                    </w:r>
                  </w:p>
                </w:tc>
              </w:sdtContent>
            </w:sdt>
            <w:sdt>
              <w:sdtPr>
                <w:tag w:val="_PLD_32f24a9a3da24799945b9be672e1778c"/>
                <w:id w:val="6772572"/>
                <w:lock w:val="sdtLocked"/>
              </w:sdtPr>
              <w:sdtContent>
                <w:tc>
                  <w:tcPr>
                    <w:tcW w:w="1708" w:type="dxa"/>
                    <w:vAlign w:val="center"/>
                  </w:tcPr>
                  <w:p>
                    <w:pPr>
                      <w:widowControl w:val="0"/>
                      <w:jc w:val="center"/>
                      <w:rPr>
                        <w:rFonts w:asciiTheme="minorEastAsia" w:hAnsiTheme="minorEastAsia" w:eastAsiaTheme="minorEastAsia"/>
                        <w:szCs w:val="21"/>
                      </w:rPr>
                    </w:pPr>
                    <w:r>
                      <w:rPr>
                        <w:rFonts w:hint="eastAsia" w:asciiTheme="minorEastAsia" w:hAnsiTheme="minorEastAsia" w:eastAsiaTheme="minorEastAsia"/>
                        <w:szCs w:val="21"/>
                      </w:rPr>
                      <w:t>期末余额</w:t>
                    </w:r>
                  </w:p>
                </w:tc>
              </w:sdtContent>
            </w:sdt>
            <w:sdt>
              <w:sdtPr>
                <w:tag w:val="_PLD_e96c7ea54e9845adafdee1a3e4d1777a"/>
                <w:id w:val="6772573"/>
                <w:lock w:val="sdtLocked"/>
              </w:sdtPr>
              <w:sdtContent>
                <w:tc>
                  <w:tcPr>
                    <w:tcW w:w="1693" w:type="dxa"/>
                    <w:vAlign w:val="center"/>
                  </w:tcPr>
                  <w:p>
                    <w:pPr>
                      <w:widowControl w:val="0"/>
                      <w:jc w:val="center"/>
                      <w:rPr>
                        <w:rFonts w:asciiTheme="minorEastAsia" w:hAnsiTheme="minorEastAsia" w:eastAsiaTheme="minorEastAsia"/>
                        <w:szCs w:val="21"/>
                      </w:rPr>
                    </w:pPr>
                    <w:r>
                      <w:rPr>
                        <w:rFonts w:hint="eastAsia" w:asciiTheme="minorEastAsia" w:hAnsiTheme="minorEastAsia" w:eastAsiaTheme="minorEastAsia"/>
                        <w:szCs w:val="21"/>
                      </w:rPr>
                      <w:t>当期变动</w:t>
                    </w:r>
                  </w:p>
                </w:tc>
              </w:sdtContent>
            </w:sdt>
            <w:sdt>
              <w:sdtPr>
                <w:tag w:val="_PLD_1472a884c9f543dba7a82865e73f1536"/>
                <w:id w:val="6772574"/>
                <w:lock w:val="sdtLocked"/>
              </w:sdtPr>
              <w:sdtContent>
                <w:tc>
                  <w:tcPr>
                    <w:tcW w:w="1997" w:type="dxa"/>
                    <w:vAlign w:val="center"/>
                  </w:tcPr>
                  <w:p>
                    <w:pPr>
                      <w:widowControl w:val="0"/>
                      <w:jc w:val="center"/>
                      <w:rPr>
                        <w:rFonts w:asciiTheme="minorEastAsia" w:hAnsiTheme="minorEastAsia" w:eastAsiaTheme="minorEastAsia"/>
                        <w:szCs w:val="21"/>
                      </w:rPr>
                    </w:pPr>
                    <w:r>
                      <w:rPr>
                        <w:rFonts w:hint="eastAsia" w:asciiTheme="minorEastAsia" w:hAnsiTheme="minorEastAsia" w:eastAsiaTheme="minorEastAsia"/>
                        <w:szCs w:val="21"/>
                      </w:rPr>
                      <w:t>对当期利润的影响金额</w:t>
                    </w:r>
                  </w:p>
                </w:tc>
              </w:sdtContent>
            </w:sdt>
          </w:tr>
          <w:sdt>
            <w:sdtPr>
              <w:rPr>
                <w:rFonts w:hint="eastAsia" w:asciiTheme="minorEastAsia" w:hAnsiTheme="minorEastAsia" w:eastAsiaTheme="minorEastAsia" w:cstheme="minorBidi"/>
                <w:kern w:val="2"/>
                <w:szCs w:val="21"/>
              </w:rPr>
              <w:alias w:val="采用公允价值计量的项目情况明细"/>
              <w:tag w:val="_TUP_99268db9eb064c0d97aa8abe10bf05f1"/>
              <w:id w:val="6772575"/>
              <w:lock w:val="sdtLocked"/>
            </w:sdtPr>
            <w:sdtEndPr>
              <w:rPr>
                <w:rFonts w:hint="eastAsia" w:asciiTheme="minorEastAsia" w:hAnsiTheme="minorEastAsia"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951" w:type="dxa"/>
                  </w:tcPr>
                  <w:p>
                    <w:pPr>
                      <w:widowControl w:val="0"/>
                      <w:jc w:val="both"/>
                      <w:rPr>
                        <w:rFonts w:asciiTheme="minorEastAsia" w:hAnsiTheme="minorEastAsia" w:eastAsiaTheme="minorEastAsia"/>
                        <w:szCs w:val="21"/>
                      </w:rPr>
                    </w:pPr>
                    <w:r>
                      <w:rPr>
                        <w:rFonts w:hint="eastAsia" w:asciiTheme="minorEastAsia" w:hAnsiTheme="minorEastAsia" w:eastAsiaTheme="minorEastAsia"/>
                        <w:szCs w:val="21"/>
                      </w:rPr>
                      <w:t>交易性金融资产</w:t>
                    </w:r>
                  </w:p>
                </w:tc>
                <w:tc>
                  <w:tcPr>
                    <w:tcW w:w="1699" w:type="dxa"/>
                  </w:tcPr>
                  <w:p>
                    <w:pPr>
                      <w:widowControl w:val="0"/>
                      <w:jc w:val="right"/>
                      <w:rPr>
                        <w:rFonts w:asciiTheme="minorEastAsia" w:hAnsiTheme="minorEastAsia" w:eastAsiaTheme="minorEastAsia"/>
                        <w:szCs w:val="21"/>
                      </w:rPr>
                    </w:pPr>
                    <w:r>
                      <w:rPr>
                        <w:rFonts w:asciiTheme="minorEastAsia" w:hAnsiTheme="minorEastAsia" w:eastAsiaTheme="minorEastAsia"/>
                        <w:szCs w:val="21"/>
                      </w:rPr>
                      <w:t>26,562,400</w:t>
                    </w:r>
                    <w:r>
                      <w:rPr>
                        <w:rFonts w:hint="eastAsia" w:asciiTheme="minorEastAsia" w:hAnsiTheme="minorEastAsia" w:eastAsiaTheme="minorEastAsia"/>
                        <w:szCs w:val="21"/>
                      </w:rPr>
                      <w:t>.00</w:t>
                    </w:r>
                  </w:p>
                </w:tc>
                <w:tc>
                  <w:tcPr>
                    <w:tcW w:w="1708" w:type="dxa"/>
                  </w:tcPr>
                  <w:p>
                    <w:pPr>
                      <w:widowControl w:val="0"/>
                      <w:jc w:val="right"/>
                      <w:rPr>
                        <w:rFonts w:asciiTheme="minorEastAsia" w:hAnsiTheme="minorEastAsia" w:eastAsiaTheme="minorEastAsia"/>
                        <w:szCs w:val="21"/>
                      </w:rPr>
                    </w:pPr>
                    <w:r>
                      <w:rPr>
                        <w:rFonts w:asciiTheme="minorEastAsia" w:hAnsiTheme="minorEastAsia" w:eastAsiaTheme="minorEastAsia"/>
                        <w:szCs w:val="21"/>
                      </w:rPr>
                      <w:t>27,568,000.00</w:t>
                    </w:r>
                  </w:p>
                </w:tc>
                <w:tc>
                  <w:tcPr>
                    <w:tcW w:w="1693" w:type="dxa"/>
                  </w:tcPr>
                  <w:p>
                    <w:pPr>
                      <w:widowControl w:val="0"/>
                      <w:jc w:val="right"/>
                      <w:rPr>
                        <w:rFonts w:asciiTheme="minorEastAsia" w:hAnsiTheme="minorEastAsia" w:eastAsiaTheme="minorEastAsia"/>
                        <w:szCs w:val="21"/>
                      </w:rPr>
                    </w:pPr>
                    <w:r>
                      <w:rPr>
                        <w:rFonts w:asciiTheme="minorEastAsia" w:hAnsiTheme="minorEastAsia" w:eastAsiaTheme="minorEastAsia"/>
                        <w:szCs w:val="21"/>
                      </w:rPr>
                      <w:t>1,005,600.00</w:t>
                    </w:r>
                  </w:p>
                </w:tc>
                <w:tc>
                  <w:tcPr>
                    <w:tcW w:w="1997" w:type="dxa"/>
                  </w:tcPr>
                  <w:p>
                    <w:pPr>
                      <w:widowControl w:val="0"/>
                      <w:jc w:val="right"/>
                      <w:rPr>
                        <w:rFonts w:asciiTheme="minorEastAsia" w:hAnsiTheme="minorEastAsia" w:eastAsiaTheme="minorEastAsia"/>
                        <w:szCs w:val="21"/>
                      </w:rPr>
                    </w:pPr>
                    <w:r>
                      <w:rPr>
                        <w:rFonts w:asciiTheme="minorEastAsia" w:hAnsiTheme="minorEastAsia" w:eastAsiaTheme="minorEastAsia"/>
                        <w:szCs w:val="21"/>
                      </w:rPr>
                      <w:t>-2,655,967.11</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sdt>
              <w:sdtPr>
                <w:tag w:val="_PLD_a4d05bd3d4b34885acfe6e5bc6d34fc1"/>
                <w:id w:val="6772576"/>
                <w:lock w:val="sdtLocked"/>
              </w:sdtPr>
              <w:sdtContent>
                <w:tc>
                  <w:tcPr>
                    <w:tcW w:w="1951" w:type="dxa"/>
                    <w:tcBorders>
                      <w:bottom w:val="single" w:color="auto" w:sz="4" w:space="0"/>
                    </w:tcBorders>
                    <w:vAlign w:val="center"/>
                  </w:tcPr>
                  <w:p>
                    <w:pPr>
                      <w:widowControl w:val="0"/>
                      <w:jc w:val="center"/>
                      <w:rPr>
                        <w:rFonts w:asciiTheme="minorEastAsia" w:hAnsiTheme="minorEastAsia" w:eastAsiaTheme="minorEastAsia"/>
                        <w:szCs w:val="21"/>
                      </w:rPr>
                    </w:pPr>
                    <w:r>
                      <w:rPr>
                        <w:rFonts w:hint="eastAsia" w:asciiTheme="minorEastAsia" w:hAnsiTheme="minorEastAsia" w:eastAsiaTheme="minorEastAsia"/>
                        <w:szCs w:val="21"/>
                      </w:rPr>
                      <w:t>合计</w:t>
                    </w:r>
                  </w:p>
                </w:tc>
              </w:sdtContent>
            </w:sdt>
            <w:tc>
              <w:tcPr>
                <w:tcW w:w="1699" w:type="dxa"/>
              </w:tcPr>
              <w:p>
                <w:pPr>
                  <w:widowControl w:val="0"/>
                  <w:jc w:val="right"/>
                  <w:rPr>
                    <w:rFonts w:asciiTheme="minorEastAsia" w:hAnsiTheme="minorEastAsia" w:eastAsiaTheme="minorEastAsia"/>
                    <w:szCs w:val="21"/>
                  </w:rPr>
                </w:pPr>
                <w:r>
                  <w:t>26,562,400.00</w:t>
                </w:r>
              </w:p>
            </w:tc>
            <w:tc>
              <w:tcPr>
                <w:tcW w:w="1708" w:type="dxa"/>
              </w:tcPr>
              <w:p>
                <w:pPr>
                  <w:widowControl w:val="0"/>
                  <w:jc w:val="right"/>
                  <w:rPr>
                    <w:rFonts w:asciiTheme="minorEastAsia" w:hAnsiTheme="minorEastAsia" w:eastAsiaTheme="minorEastAsia"/>
                    <w:szCs w:val="21"/>
                  </w:rPr>
                </w:pPr>
                <w:r>
                  <w:t>27,568,000.00</w:t>
                </w:r>
              </w:p>
            </w:tc>
            <w:tc>
              <w:tcPr>
                <w:tcW w:w="1693" w:type="dxa"/>
              </w:tcPr>
              <w:p>
                <w:pPr>
                  <w:widowControl w:val="0"/>
                  <w:jc w:val="right"/>
                  <w:rPr>
                    <w:rFonts w:asciiTheme="minorEastAsia" w:hAnsiTheme="minorEastAsia" w:eastAsiaTheme="minorEastAsia"/>
                    <w:szCs w:val="21"/>
                  </w:rPr>
                </w:pPr>
                <w:r>
                  <w:t>1,005,600.00</w:t>
                </w:r>
              </w:p>
            </w:tc>
            <w:tc>
              <w:tcPr>
                <w:tcW w:w="1997" w:type="dxa"/>
              </w:tcPr>
              <w:p>
                <w:pPr>
                  <w:widowControl w:val="0"/>
                  <w:jc w:val="right"/>
                  <w:rPr>
                    <w:rFonts w:asciiTheme="minorEastAsia" w:hAnsiTheme="minorEastAsia" w:eastAsiaTheme="minorEastAsia"/>
                    <w:szCs w:val="21"/>
                  </w:rPr>
                </w:pPr>
                <w:r>
                  <w:t>-2,655,967.11</w:t>
                </w:r>
              </w:p>
            </w:tc>
          </w:tr>
        </w:tbl>
        <w:p/>
      </w:sdtContent>
    </w:sdt>
    <w:sdt>
      <w:sdtPr>
        <w:rPr>
          <w:rFonts w:hint="eastAsia" w:ascii="宋体" w:hAnsi="宋体" w:cs="宋体"/>
          <w:b w:val="0"/>
          <w:bCs w:val="0"/>
          <w:kern w:val="0"/>
          <w:szCs w:val="24"/>
        </w:rPr>
        <w:alias w:val="模块:其他财务和业务数据"/>
        <w:tag w:val="_SEC_2b90c267769d4c769805494ec1d46591"/>
        <w:id w:val="6772579"/>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1"/>
              <w:numId w:val="4"/>
            </w:numPr>
            <w:ind w:left="496" w:hanging="495" w:hangingChars="236"/>
          </w:pPr>
          <w:r>
            <w:rPr>
              <w:rFonts w:hint="eastAsia"/>
            </w:rPr>
            <w:t>其他</w:t>
          </w:r>
        </w:p>
        <w:sdt>
          <w:sdtPr>
            <w:alias w:val="是否适用：公司简介和主要财务指标其他说明[双击切换]"/>
            <w:tag w:val="_GBC_ac20c9ad49eb470dba71a763f930572f"/>
            <w:id w:val="677257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2"/>
        <w:numPr>
          <w:ilvl w:val="0"/>
          <w:numId w:val="2"/>
        </w:numPr>
        <w:ind w:left="498" w:hanging="498" w:hangingChars="177"/>
      </w:pPr>
      <w:bookmarkStart w:id="17" w:name="_Toc469563077"/>
      <w:bookmarkStart w:id="18" w:name="_Toc437440710"/>
      <w:r>
        <w:rPr>
          <w:rFonts w:hint="eastAsia"/>
        </w:rPr>
        <w:t>公司业务概要</w:t>
      </w:r>
      <w:bookmarkEnd w:id="17"/>
      <w:bookmarkEnd w:id="18"/>
    </w:p>
    <w:sdt>
      <w:sdtPr>
        <w:rPr>
          <w:rFonts w:hint="eastAsia" w:ascii="宋体" w:hAnsi="宋体" w:cs="宋体"/>
          <w:b w:val="0"/>
          <w:bCs w:val="0"/>
          <w:kern w:val="0"/>
          <w:szCs w:val="24"/>
        </w:rPr>
        <w:alias w:val="模块:报告期内公司所从事的主要业务、经营模式及行业情况说明"/>
        <w:tag w:val="_SEC_4f73d6431da94481a52b41cd560063a7"/>
        <w:id w:val="6772581"/>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7"/>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ecd3f0994b9b47bfb4032a81b831775e"/>
            <w:id w:val="6772580"/>
            <w:lock w:val="sdtLocked"/>
            <w:placeholder>
              <w:docPart w:val="GBC22222222222222222222222222222"/>
            </w:placeholder>
          </w:sdtPr>
          <w:sdtEndPr>
            <w:rPr>
              <w:rFonts w:hint="eastAsia"/>
            </w:rPr>
          </w:sdtEndPr>
          <w:sdtContent>
            <w:p>
              <w:pPr>
                <w:rPr>
                  <w:color w:val="000000" w:themeColor="text1"/>
                  <w:szCs w:val="21"/>
                </w:rPr>
              </w:pPr>
              <w:r>
                <w:rPr>
                  <w:rFonts w:hint="eastAsia"/>
                  <w:color w:val="000000" w:themeColor="text1"/>
                  <w:szCs w:val="21"/>
                </w:rPr>
                <w:t>（一）公司的主要业务及产品</w:t>
              </w:r>
            </w:p>
            <w:p>
              <w:pPr>
                <w:rPr>
                  <w:color w:val="000000" w:themeColor="text1"/>
                  <w:szCs w:val="21"/>
                </w:rPr>
              </w:pPr>
            </w:p>
            <w:p>
              <w:pPr>
                <w:rPr>
                  <w:color w:val="000000" w:themeColor="text1"/>
                  <w:szCs w:val="21"/>
                </w:rPr>
              </w:pPr>
              <w:r>
                <w:rPr>
                  <w:rFonts w:hint="eastAsia"/>
                  <w:color w:val="000000" w:themeColor="text1"/>
                  <w:szCs w:val="21"/>
                </w:rPr>
                <w:t>公司依法经营烧结、炼铁、炼钢及其副产品的销售，钢材轧制、加工及其副产品的销售；炼焦及其副产品的销售。主要产品涵盖中板材、小型材、中型材、钢坯等，主要分为板材、角钢、槽钢、圆钢、螺纹钢、高线等品种。报告期内，公司的主营业务未产生重大变化。</w:t>
              </w:r>
            </w:p>
            <w:p>
              <w:pPr>
                <w:rPr>
                  <w:color w:val="000000" w:themeColor="text1"/>
                  <w:szCs w:val="21"/>
                </w:rPr>
              </w:pPr>
            </w:p>
            <w:p>
              <w:pPr>
                <w:rPr>
                  <w:color w:val="000000" w:themeColor="text1"/>
                  <w:szCs w:val="21"/>
                </w:rPr>
              </w:pPr>
              <w:r>
                <w:rPr>
                  <w:rFonts w:hint="eastAsia"/>
                  <w:color w:val="000000" w:themeColor="text1"/>
                  <w:szCs w:val="21"/>
                </w:rPr>
                <w:t>（二）公司经营模式</w:t>
              </w:r>
            </w:p>
            <w:p>
              <w:pPr>
                <w:rPr>
                  <w:szCs w:val="21"/>
                </w:rPr>
              </w:pPr>
            </w:p>
            <w:p>
              <w:pPr>
                <w:rPr>
                  <w:szCs w:val="21"/>
                </w:rPr>
              </w:pPr>
              <w:r>
                <w:rPr>
                  <w:rFonts w:hint="eastAsia"/>
                  <w:szCs w:val="21"/>
                </w:rPr>
                <w:t>公司是目前广西区域最主要的大型钢铁联合生产企业，采用“开发＋生产＋销售型”经营模式，能够根据市场需求，开发市场所需的新产品，并自行生产销售。</w:t>
              </w:r>
            </w:p>
            <w:p>
              <w:pPr>
                <w:rPr>
                  <w:szCs w:val="21"/>
                </w:rPr>
              </w:pPr>
            </w:p>
            <w:p>
              <w:pPr>
                <w:rPr>
                  <w:color w:val="000000" w:themeColor="text1"/>
                  <w:szCs w:val="21"/>
                </w:rPr>
              </w:pPr>
              <w:r>
                <w:rPr>
                  <w:rFonts w:hint="eastAsia"/>
                  <w:color w:val="000000" w:themeColor="text1"/>
                  <w:szCs w:val="21"/>
                </w:rPr>
                <w:t>1.开发模式</w:t>
              </w:r>
            </w:p>
            <w:p>
              <w:pPr>
                <w:pStyle w:val="78"/>
                <w:rPr>
                  <w:rFonts w:ascii="宋体" w:hAnsi="宋体"/>
                </w:rPr>
              </w:pPr>
              <w:r>
                <w:rPr>
                  <w:rFonts w:hint="eastAsia" w:ascii="宋体" w:hAnsi="宋体"/>
                </w:rPr>
                <w:t xml:space="preserve">    技术中心为公司产品研发主体单位，下设有板材开发科、长材开发科、工艺技术科、金属材料检测室等科室，主要从事新产品、新工艺、新技术的开发及应用。公司建立有完善的“产销研”创新体系，品种研发团队由技术中心、经销公司、质量部、炼钢厂、中板厂、棒线型材厂的业务骨干组成，并形成完善的“信息-研究-生产-销售-服务”的品种开发链条。技术中心与东北大学、北京科技大学等大专院校及科研机构往来密切，通过项目合作、人才柔性引进等多种方式，不断提高产品研发能力。</w:t>
              </w:r>
            </w:p>
            <w:p>
              <w:pPr>
                <w:pStyle w:val="78"/>
              </w:pPr>
            </w:p>
            <w:p>
              <w:pPr>
                <w:rPr>
                  <w:color w:val="000000" w:themeColor="text1"/>
                  <w:szCs w:val="21"/>
                </w:rPr>
              </w:pPr>
              <w:r>
                <w:rPr>
                  <w:rFonts w:hint="eastAsia"/>
                  <w:color w:val="000000" w:themeColor="text1"/>
                  <w:szCs w:val="21"/>
                </w:rPr>
                <w:t>2.采购模式</w:t>
              </w:r>
            </w:p>
            <w:p>
              <w:r>
                <w:rPr>
                  <w:rFonts w:hint="eastAsia"/>
                </w:rPr>
                <w:t xml:space="preserve">    公司主营业务需要采购的大宗原燃料主要有铁矿石、煤、熔剂等。铁矿石主要依赖进口，进口铁矿石采购主要采用报盘询价谈判定价模式，国内铁矿石采用统一定价的采购模式；炼焦煤采购有报盘询价、谈判议价两种定价模式；熔剂采用谈判议价采购模式。</w:t>
              </w:r>
            </w:p>
            <w:p/>
            <w:p>
              <w:pPr>
                <w:rPr>
                  <w:color w:val="000000" w:themeColor="text1"/>
                  <w:szCs w:val="21"/>
                </w:rPr>
              </w:pPr>
              <w:r>
                <w:rPr>
                  <w:rFonts w:hint="eastAsia"/>
                  <w:color w:val="000000" w:themeColor="text1"/>
                  <w:szCs w:val="21"/>
                </w:rPr>
                <w:t>3.生产模式</w:t>
              </w:r>
            </w:p>
            <w:p>
              <w:pPr>
                <w:ind w:firstLine="420" w:firstLineChars="200"/>
                <w:rPr>
                  <w:color w:val="000000" w:themeColor="text1"/>
                </w:rPr>
              </w:pPr>
              <w:r>
                <w:rPr>
                  <w:rFonts w:hint="eastAsia"/>
                  <w:color w:val="000000" w:themeColor="text1"/>
                </w:rPr>
                <w:t>公司产品以建材产品、中厚板为主，公司根据市场效益情况，灵活组织轧材线生产，将有限的金属料优先供应效益较好的产线生产。为满足终端用户个性化需求，公司通过MES系统采用以销定产的模式，按订单组织生产，大部分产品均有客户属性。总调度室根据经销录入的订单，综合考虑炼钢产能、精炼炉能力、轧钢能力、设备检修、设备工况等因素，按照合同的交货期和订单的优先级编制生产计划，组织各产线生产。</w:t>
              </w:r>
            </w:p>
            <w:p>
              <w:pPr>
                <w:rPr>
                  <w:color w:val="FF0000"/>
                  <w:szCs w:val="21"/>
                </w:rPr>
              </w:pPr>
            </w:p>
            <w:p>
              <w:pPr>
                <w:rPr>
                  <w:color w:val="000000" w:themeColor="text1"/>
                  <w:szCs w:val="21"/>
                </w:rPr>
              </w:pPr>
              <w:r>
                <w:rPr>
                  <w:rFonts w:hint="eastAsia"/>
                  <w:color w:val="000000" w:themeColor="text1"/>
                  <w:szCs w:val="21"/>
                </w:rPr>
                <w:t>4.销售模式</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公司根据客户的购买方式、销售渠道、产品流通形式等要素，采用的销售渠道有经销商销售、直供终端客户销售、投标中标重点工程专供销售、电商销售、出口销售等模式。</w:t>
              </w:r>
            </w:p>
            <w:p>
              <w:pPr>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（1）线上模式</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公司参与建设了电商销售平台，目前在平台上注册会员416个，均为钢材贸易商。</w:t>
              </w:r>
              <w:r>
                <w:rPr>
                  <w:rFonts w:hint="eastAsia"/>
                </w:rPr>
                <w:t>2017年实现营业收入3.19亿元。</w:t>
              </w:r>
            </w:p>
            <w:p>
              <w:pPr>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A.电商业务的交易模式</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电商销售采取现货挂牌、竞价销售和期货销售等模式，发挥电子商务运作的优势，较好的发挥了市场价格引领作用，实现了较好的经济效益。</w:t>
              </w:r>
            </w:p>
            <w:p>
              <w:pPr>
                <w:rPr>
                  <w:rFonts w:asciiTheme="minorEastAsia" w:hAnsiTheme="minorEastAsia" w:eastAsiaTheme="minorEastAsia"/>
                  <w:b/>
                  <w:bCs/>
                  <w:szCs w:val="21"/>
                </w:rPr>
              </w:pPr>
              <w:r>
                <w:rPr>
                  <w:rFonts w:hint="eastAsia" w:asciiTheme="minorEastAsia" w:hAnsiTheme="minorEastAsia" w:eastAsiaTheme="minorEastAsia"/>
                  <w:b/>
                  <w:bCs/>
                  <w:szCs w:val="21"/>
                </w:rPr>
                <w:t xml:space="preserve">    B.电商交易风险防控</w:t>
              </w:r>
            </w:p>
            <w:p>
              <w:pPr>
                <w:rPr>
                  <w:rFonts w:asciiTheme="minorEastAsia" w:hAnsiTheme="minorEastAsia" w:eastAsiaTheme="minorEastAsia"/>
                  <w:szCs w:val="21"/>
                </w:rPr>
              </w:pPr>
              <w:r>
                <w:rPr>
                  <w:rFonts w:hint="eastAsia" w:asciiTheme="minorEastAsia" w:hAnsiTheme="minorEastAsia" w:eastAsiaTheme="minorEastAsia"/>
                  <w:szCs w:val="21"/>
                </w:rPr>
                <w:t>稳妥推进推广电商销售业务，建立完善的电商管理制度，严格执行公司销售管理制度，做好风险防控。一是确保网上平台资金、信息、货物、商业机密等的安全。二是做好注册会员的资质、信誉、经验、规模、资金实力等基础资料可靠性和合规性的审核。三是合同签订严格把关，执行“款到发货”销售原则。建立销售回款与财务结算对账机制，确保每笔销售合同发货、收款准确无误，严格履行合同和协议，确保货物和货款安全。</w:t>
              </w:r>
            </w:p>
            <w:p>
              <w:pPr>
                <w:ind w:firstLine="413" w:firstLineChars="196"/>
                <w:rPr>
                  <w:rFonts w:asciiTheme="minorEastAsia" w:hAnsiTheme="minorEastAsia" w:eastAsiaTheme="minorEastAsia"/>
                  <w:b/>
                  <w:bCs/>
                  <w:szCs w:val="21"/>
                </w:rPr>
              </w:pPr>
              <w:r>
                <w:rPr>
                  <w:rFonts w:hint="eastAsia" w:asciiTheme="minorEastAsia" w:hAnsiTheme="minorEastAsia" w:eastAsiaTheme="minorEastAsia"/>
                  <w:b/>
                  <w:bCs/>
                  <w:szCs w:val="21"/>
                </w:rPr>
                <w:t>C.电商交易与传统销售模式的协同效应</w:t>
              </w:r>
            </w:p>
            <w:p>
              <w:pPr>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电子商务是经营贸易的发展趋势，公司紧跟其发展步伐，积极探索摸索其技巧和规律。由于柳钢产品定位和产品结构造成了现有的电商模式还不能适用于所有产品，因此，我们选择了少量和非主要的品种进行实践，以积累电商经验。其中，螺纹钢非尺等非主流产品进入电商平台进行竞价销售和现货挂牌销售。目前，平台客户规模和信誉度逐渐提高，实现节省人工、快速销售和效益增加的目的。但仍然只是一个竞价平台，非通俗意义的如阿里巴巴之类电子商务网络，其副作用也比较明显，如给投机商提供了机会、还没有真正意义的终端用户参与其中。</w:t>
              </w:r>
            </w:p>
            <w:p>
              <w:pPr>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柳钢电子商务作为传统销售模式的补充，为将来公司销售的改革转型升级进行了有益的探索。面对钢铁行业发展“新常态”，公司正在积极转变营销理念，创新钢材销售模式，逐步探索一条符合自身发展的“互联网+钢铁”之路。</w:t>
              </w:r>
            </w:p>
            <w:p>
              <w:pPr>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（2）线下模式</w:t>
              </w:r>
            </w:p>
            <w:p>
              <w:pPr>
                <w:ind w:right="22" w:firstLine="420" w:firstLineChars="200"/>
                <w:rPr>
                  <w:rFonts w:asciiTheme="minorEastAsia" w:hAnsiTheme="minorEastAsia" w:eastAsiaTheme="minorEastAsia"/>
                  <w:szCs w:val="21"/>
                </w:rPr>
              </w:pPr>
              <w:r>
                <w:rPr>
                  <w:rFonts w:hint="eastAsia" w:asciiTheme="minorEastAsia" w:hAnsiTheme="minorEastAsia" w:eastAsiaTheme="minorEastAsia"/>
                  <w:kern w:val="144"/>
                  <w:szCs w:val="21"/>
                </w:rPr>
                <w:t>公司钢材线下销售主要通过经销商、直供终端、工程客户及出口等渠道进行销售，其中通过经销商销售比例最大，占84.77%，其次为直供用户，最后为出口。</w:t>
              </w:r>
              <w:r>
                <w:rPr>
                  <w:rFonts w:hint="eastAsia" w:asciiTheme="minorEastAsia" w:hAnsiTheme="minorEastAsia" w:eastAsiaTheme="minorEastAsia"/>
                  <w:szCs w:val="21"/>
                </w:rPr>
                <w:t>2017年公司积极采取生产安排动态调整，及时调整产品资源流向，完善销售体系。新开辟了海南市场，新增云南市场客户；同时充分发挥柳钢品牌优势和区位优势，有效巩固建筑材、集装箱板等优势产品的市场地位，积极拓展具有较高附加值的市场领域，并开辟了搪瓷钢、管线钢、车厢用钢的新用户；另外更加注重根据各区域市场行情合理调整销售布局，以两广市场为主，辐射西南、华东市场，优化钢材出口区域布局和品种结构，增加贸易出口国，销售工作取得了新的突破。</w:t>
              </w:r>
            </w:p>
            <w:p>
              <w:r>
                <w:rPr>
                  <w:rFonts w:hint="eastAsia"/>
                </w:rPr>
                <w:t xml:space="preserve">    行业情况说明</w:t>
              </w:r>
              <w:r>
                <w:rPr>
                  <w:rFonts w:hint="eastAsia"/>
                  <w:szCs w:val="21"/>
                </w:rPr>
                <w:t>详见“第四节 经营情况讨论与分析”中的“（一）2017年钢铁行业运行情况”。</w:t>
              </w:r>
            </w:p>
          </w:sdtContent>
        </w:sdt>
      </w:sdtContent>
    </w:sdt>
    <w:p/>
    <w:p>
      <w:pPr>
        <w:pStyle w:val="3"/>
        <w:numPr>
          <w:ilvl w:val="0"/>
          <w:numId w:val="7"/>
        </w:numPr>
        <w:tabs>
          <w:tab w:val="left" w:pos="426"/>
        </w:tabs>
        <w:jc w:val="left"/>
      </w:pPr>
      <w:r>
        <w:rPr>
          <w:rFonts w:hint="eastAsia"/>
        </w:rPr>
        <w:t>报告期内公司主要资产发生重大变化情况的说明</w:t>
      </w:r>
    </w:p>
    <w:sdt>
      <w:sdtPr>
        <w:alias w:val="是否适用：报告期内公司主要资产发生重大变化情况的说明[双击切换]"/>
        <w:tag w:val="_GBC_7f4c43218b7043b3bdf1e530047cc5d1"/>
        <w:id w:val="6772582"/>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b w:val="0"/>
          <w:bCs w:val="0"/>
          <w:kern w:val="0"/>
          <w:szCs w:val="24"/>
        </w:rPr>
        <w:alias w:val="模块:报告期内公司主要资产发生重大变化情况的说明"/>
        <w:tag w:val="_SEC_d733579ca1be4b6280b2cf34d2da3454"/>
        <w:id w:val="6772586"/>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7"/>
            </w:numPr>
            <w:tabs>
              <w:tab w:val="left" w:pos="426"/>
            </w:tabs>
            <w:jc w:val="left"/>
          </w:pPr>
          <w:r>
            <w:rPr>
              <w:rFonts w:hint="eastAsia"/>
            </w:rPr>
            <w:t>报告期内核心竞争力分析</w:t>
          </w:r>
        </w:p>
        <w:sdt>
          <w:sdtPr>
            <w:alias w:val="是否适用：报告期内核心竞争力分析[双击切换]"/>
            <w:tag w:val="_GBC_a03591f0f7444c9b8f5c55d6f75c3136"/>
            <w:id w:val="677258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报告期内核心竞争力分析"/>
            <w:tag w:val="_GBC_956a57b53cd74344a32f2309bcc5f344"/>
            <w:id w:val="6772585"/>
            <w:lock w:val="sdtLocked"/>
            <w:placeholder>
              <w:docPart w:val="GBC22222222222222222222222222222"/>
            </w:placeholder>
          </w:sdtPr>
          <w:sdtEndPr>
            <w:rPr>
              <w:rFonts w:hint="eastAsia"/>
            </w:rPr>
          </w:sdtEndPr>
          <w:sdtContent>
            <w:p>
              <w:pPr>
                <w:rPr>
                  <w:rFonts w:asciiTheme="minorEastAsia" w:hAnsiTheme="minorEastAsia" w:eastAsiaTheme="minorEastAsia"/>
                  <w:szCs w:val="21"/>
                </w:rPr>
              </w:pPr>
              <w:r>
                <w:rPr>
                  <w:rFonts w:hint="eastAsia" w:asciiTheme="minorEastAsia" w:hAnsiTheme="minorEastAsia" w:eastAsiaTheme="minorEastAsia"/>
                  <w:szCs w:val="21"/>
                </w:rPr>
                <w:t>（1）新产品开发优势</w:t>
              </w:r>
            </w:p>
            <w:p>
              <w:pPr>
                <w:ind w:firstLine="420" w:firstLineChars="200"/>
              </w:pPr>
              <w:r>
                <w:rPr>
                  <w:rFonts w:hint="eastAsia"/>
                </w:rPr>
                <w:t>在新产品开发方面，公司逐步打造了在建筑用钢、船用钢、工程机械用钢、模具用钢、汽车用钢等领域的品牌产品，全年完成中板系列：</w:t>
              </w:r>
              <w:r>
                <w:t>Q460QK桥壳钢</w:t>
              </w:r>
              <w:r>
                <w:rPr>
                  <w:rFonts w:hint="eastAsia"/>
                </w:rPr>
                <w:t>，长材系列：</w:t>
              </w:r>
              <w:r>
                <w:t>SWRCH6A冷镦钢、ER70S-6焊条钢</w:t>
              </w:r>
              <w:r>
                <w:rPr>
                  <w:rFonts w:hint="eastAsia"/>
                </w:rPr>
                <w:t>等5个新产品开发，全年完成品种钢生产415万吨，同比增加92万吨，品种钢比例达58%，创造了较好的经济效益。</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（2）科技创新优势</w:t>
              </w:r>
            </w:p>
            <w:p>
              <w:pPr>
                <w:ind w:firstLine="420" w:firstLineChars="200"/>
              </w:pPr>
              <w:r>
                <w:rPr>
                  <w:rFonts w:hint="eastAsia"/>
                </w:rPr>
                <w:t>在科技创新方面，加强校企合作及基础研究，与北京科技大学、安徽工业大学等高校进行技术合作共19项，结合柳州市“双百人才工程”活动，联系多位专家来柳钢进行技术服务工作，同时开展冶金基础性能检测研究和高炉炉渣等性能试验，新技术、新工艺应用更加广泛。</w:t>
              </w:r>
            </w:p>
            <w:p>
              <w:pPr>
                <w:ind w:firstLine="420" w:firstLineChars="200"/>
                <w:rPr>
                  <w:color w:val="000000" w:themeColor="text1"/>
                </w:rPr>
              </w:pPr>
              <w:r>
                <w:rPr>
                  <w:rFonts w:hint="eastAsia"/>
                </w:rPr>
                <w:t>公司目前已经形成了以技术中心为主体，各管理部门和生产厂技术管理部门及车间参加，科研协作单位参予的三级技术创新体系，持续不断的促进钢铁产业新技术、新产品的开发及产业化。2017年公司获授权专利37件，其中发明专利15件，实用新型专利22件。</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（3）品牌建设优势</w:t>
              </w:r>
            </w:p>
            <w:p>
              <w:r>
                <w:rPr>
                  <w:rFonts w:hint="eastAsia" w:asciiTheme="minorEastAsia" w:hAnsiTheme="minorEastAsia" w:eastAsiaTheme="minorEastAsia"/>
                  <w:szCs w:val="21"/>
                </w:rPr>
                <w:t xml:space="preserve">    公司不遗余力深入推进产品品牌建设，扩大品牌影响力：</w:t>
              </w:r>
              <w:r>
                <w:rPr>
                  <w:rFonts w:hint="eastAsia"/>
                </w:rPr>
                <w:t>高强钢筋通过质量认证年度监审及HRB400E盘条扩项申报，获得产品质量认证证书；船用钢通过挪威-德劳工厂认可换证现场审核；船用钢通过CCS工厂认可年度监督审核；顺利完成结构钢欧盟CE和新加坡FPC认证年度监督审核。</w:t>
              </w:r>
            </w:p>
            <w:p>
              <w:pPr>
                <w:ind w:firstLine="420" w:firstLineChars="200"/>
              </w:pPr>
              <w:r>
                <w:rPr>
                  <w:rFonts w:hint="eastAsia"/>
                </w:rPr>
                <w:t>集装箱钢板、30MnSi管桩钢筋盘条等产品获得冶金行业“品质卓越产品”称号；集装箱钢板SPH-A、30 MnSi管桩钢筋盘条共5个产品获得冶金产品实物质量“金杯奖”称号；热轧带肋钢筋等8个产品获评广西名牌产品荣誉。</w:t>
              </w:r>
            </w:p>
            <w:p>
              <w:r>
                <w:rPr>
                  <w:rFonts w:hint="eastAsia"/>
                </w:rPr>
                <w:t xml:space="preserve">    柳钢还获得首届自治区主席质量奖等170多项荣誉称号，并成功入选工信部第一批符合《钢铁行业规范条件》企业。</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（4）区位优势</w:t>
              </w:r>
            </w:p>
            <w:p>
              <w:pPr>
                <w:adjustRightInd w:val="0"/>
                <w:snapToGrid w:val="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公司有贴近区域大市场的运输及价格优势，是整个华南、西南地区最大的钢铁企业，80%左右的产品都集中在广东、广西地区销售，而两广区域的价格一直处在全国高位，且通过水路运输至广东的物流成本也较低，可以实现较好的效益。</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（5）政策优势</w:t>
              </w:r>
            </w:p>
            <w:p>
              <w:pPr>
                <w:adjustRightInd w:val="0"/>
                <w:snapToGrid w:val="0"/>
                <w:ind w:firstLine="420" w:firstLineChars="200"/>
                <w:outlineLvl w:val="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在国家加大化解过剩产能、淘汰落后、打击“地条钢”、节能减排工作力度的政策背景下，一些钢铁产能释放将受到抑制，部分环保不达标的企业或面临淘汰或关停的命运。而柳钢是第一批通过《钢铁行业规范条件》的企业，节能减排、循环经济等走在全国同行前列，近年来累计投资60多亿元，建成50多项技术先进的环保项目，有效确保了工业废水“零”排放、废渣与废气全部综合回收利用，实现了现代钢铁企业与城市的和谐发展，企业形象和竞争力得到极大提升。</w:t>
              </w:r>
            </w:p>
            <w:p>
              <w:pPr>
                <w:ind w:firstLine="40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为防止 “地条钢”等违规产能死灰复燃，2018年供给侧改革政策预计会持续深化推进，而环保监管仍呈高压态势，将为合规钢企提供良好的市场经营环境，有助于钢铁行业形成长效的盈利机制。</w:t>
              </w:r>
            </w:p>
            <w:p>
              <w:pPr>
                <w:ind w:firstLine="405"/>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（6）管理优势</w:t>
              </w:r>
            </w:p>
            <w:p>
              <w:r>
                <w:rPr>
                  <w:rFonts w:hint="eastAsia" w:asciiTheme="minorEastAsia" w:hAnsiTheme="minorEastAsia" w:eastAsiaTheme="minorEastAsia"/>
                  <w:szCs w:val="21"/>
                </w:rPr>
                <w:t xml:space="preserve">    经过十多年的深化改革和建设，公司有一支精干高效、职业化水平较高的干部职工队伍，能够结合市场情况，根据市场需求以效益优先原则灵活调节产品结构，同时还可以通过钢材大市场的运作，适当调整和维护好钢材市场价格。柳钢在应对市场变化方面，具有反应快、判断准、决策快的灵活机制，这些都是我们搞好企业经营发展的关键条件和有力保证。</w:t>
              </w:r>
            </w:p>
          </w:sdtContent>
        </w:sdt>
      </w:sdtContent>
    </w:sdt>
    <w:p>
      <w:pPr>
        <w:pStyle w:val="2"/>
        <w:numPr>
          <w:ilvl w:val="0"/>
          <w:numId w:val="2"/>
        </w:numPr>
        <w:ind w:left="498" w:hanging="498" w:hangingChars="177"/>
      </w:pPr>
      <w:bookmarkStart w:id="19" w:name="_Toc469563078"/>
      <w:r>
        <w:rPr>
          <w:rFonts w:hint="eastAsia"/>
        </w:rPr>
        <w:t>经营情况讨论与分析</w:t>
      </w:r>
      <w:bookmarkEnd w:id="19"/>
    </w:p>
    <w:sdt>
      <w:sdtPr>
        <w:rPr>
          <w:rFonts w:hint="eastAsia" w:ascii="宋体" w:hAnsi="宋体" w:cs="宋体"/>
          <w:b w:val="0"/>
          <w:bCs w:val="0"/>
          <w:kern w:val="0"/>
          <w:szCs w:val="24"/>
        </w:rPr>
        <w:alias w:val="模块:管理层讨论与分析"/>
        <w:tag w:val="_SEC_465bd2646eb04eab8e1c01ba688faf29"/>
        <w:id w:val="6772588"/>
        <w:lock w:val="sdtLocked"/>
        <w:placeholder>
          <w:docPart w:val="GBC22222222222222222222222222222"/>
        </w:placeholder>
      </w:sdtPr>
      <w:sdtEndPr>
        <w:rPr>
          <w:rFonts w:hint="eastAsia" w:cs="宋体" w:asciiTheme="minorEastAsia" w:hAnsiTheme="minorEastAsia" w:eastAsiaTheme="minorEastAsia"/>
          <w:b w:val="0"/>
          <w:bCs w:val="0"/>
          <w:kern w:val="0"/>
          <w:szCs w:val="24"/>
        </w:rPr>
      </w:sdtEndPr>
      <w:sdtContent>
        <w:p>
          <w:pPr>
            <w:pStyle w:val="3"/>
            <w:numPr>
              <w:ilvl w:val="0"/>
              <w:numId w:val="8"/>
            </w:numPr>
            <w:ind w:left="368" w:hanging="367" w:hangingChars="175"/>
          </w:pPr>
          <w:r>
            <w:rPr>
              <w:rFonts w:hint="eastAsia"/>
            </w:rPr>
            <w:t>经营情况</w:t>
          </w:r>
          <w:r>
            <w:t>讨论与分析</w:t>
          </w:r>
        </w:p>
        <w:sdt>
          <w:sdtPr>
            <w:rPr>
              <w:rFonts w:hint="eastAsia" w:asciiTheme="minorEastAsia" w:hAnsiTheme="minorEastAsia" w:eastAsiaTheme="minorEastAsia"/>
            </w:rPr>
            <w:alias w:val="管理层讨论与分析"/>
            <w:tag w:val="_GBC_75862f3cb18e486fb20eb44dbcc462a9"/>
            <w:id w:val="6772587"/>
            <w:lock w:val="sdtLocked"/>
            <w:placeholder>
              <w:docPart w:val="GBC22222222222222222222222222222"/>
            </w:placeholder>
          </w:sdtPr>
          <w:sdtEndPr>
            <w:rPr>
              <w:rFonts w:hint="eastAsia" w:asciiTheme="minorEastAsia" w:hAnsiTheme="minorEastAsia" w:eastAsiaTheme="minorEastAsia"/>
            </w:rPr>
          </w:sdtEndPr>
          <w:sdtContent>
            <w:p>
              <w:pPr>
                <w:rPr>
                  <w:sz w:val="24"/>
                </w:rPr>
              </w:pPr>
              <w:r>
                <w:rPr>
                  <w:rFonts w:hint="eastAsia"/>
                  <w:b/>
                  <w:szCs w:val="21"/>
                </w:rPr>
                <w:t>（一）2017年钢铁行业运行情况</w:t>
              </w:r>
            </w:p>
            <w:p>
              <w:pPr>
                <w:rPr>
                  <w:rFonts w:asciiTheme="minorEastAsia" w:hAnsiTheme="minorEastAsia" w:eastAsiaTheme="minorEastAsia"/>
                  <w:b/>
                  <w:szCs w:val="21"/>
                </w:rPr>
              </w:pPr>
              <w:r>
                <w:rPr>
                  <w:rFonts w:hint="eastAsia" w:asciiTheme="minorEastAsia" w:hAnsiTheme="minorEastAsia" w:eastAsiaTheme="minorEastAsia"/>
                  <w:b/>
                  <w:szCs w:val="21"/>
                </w:rPr>
                <w:t xml:space="preserve"> 1.行业宏观数据分析及上下游情况</w:t>
              </w:r>
            </w:p>
            <w:p>
              <w:pPr>
                <w:rPr>
                  <w:rFonts w:asciiTheme="minorEastAsia" w:hAnsiTheme="minorEastAsia" w:eastAsiaTheme="minorEastAsia"/>
                  <w:szCs w:val="21"/>
                </w:rPr>
              </w:pPr>
              <w:r>
                <w:rPr>
                  <w:rFonts w:hint="eastAsia" w:asciiTheme="minorEastAsia" w:hAnsiTheme="minorEastAsia" w:eastAsiaTheme="minorEastAsia"/>
                  <w:szCs w:val="21"/>
                </w:rPr>
                <w:t xml:space="preserve">    （1）深化供给侧结构性改革，统计内产量创新高</w:t>
              </w:r>
            </w:p>
            <w:p>
              <w:pPr>
                <w:rPr>
                  <w:rFonts w:asciiTheme="minorEastAsia" w:hAnsiTheme="minorEastAsia" w:eastAsiaTheme="minorEastAsia"/>
                  <w:szCs w:val="21"/>
                </w:rPr>
              </w:pPr>
              <w:r>
                <w:rPr>
                  <w:rFonts w:hint="eastAsia"/>
                </w:rPr>
                <w:t xml:space="preserve">    2017年是钢铁去产能的攻坚之年，全年共化解粗钢产能5000万吨以上， 超过1亿吨“地条钢”产能出清，超额完成年度目标任务。</w:t>
              </w:r>
              <w:r>
                <w:rPr>
                  <w:rFonts w:hint="eastAsia" w:asciiTheme="minorEastAsia" w:hAnsiTheme="minorEastAsia" w:eastAsiaTheme="minorEastAsia"/>
                  <w:szCs w:val="21"/>
                </w:rPr>
                <w:t>据国家统计局数据，2017年，全国生铁、粗钢和钢材（不含重复材）累计产量分别达到7.11亿吨、8.32亿吨和10.48亿吨，分别同比增长1.8%、5.7%和0.8%。全国累计出口钢材7543万吨，同比下降30.5%；累计进口钢材1330万吨，同比增长0.6%。2017年统计内粗钢产量</w:t>
              </w:r>
              <w:r>
                <w:rPr>
                  <w:rFonts w:hint="eastAsia"/>
                </w:rPr>
                <w:t>达到历史最高水平，但考虑到大量“地条钢”产量未纳入统计范围之内，2017年实际粗钢产量不会高于2016年水平</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 xml:space="preserve">    （2）钢材价格快速上涨，企业效益明显好转</w:t>
              </w:r>
            </w:p>
            <w:p>
              <w:pPr>
                <w:rPr>
                  <w:rFonts w:asciiTheme="minorEastAsia" w:hAnsiTheme="minorEastAsia" w:eastAsiaTheme="minorEastAsia"/>
                  <w:szCs w:val="21"/>
                </w:rPr>
              </w:pPr>
              <w:r>
                <w:rPr>
                  <w:rFonts w:hint="eastAsia"/>
                </w:rPr>
                <w:t xml:space="preserve">    2017年12月底，中国钢材价格指数为121.8点，比年初上升22.3点，涨幅22.4%，其中长材价格指数由年初97.6点升至129.0点，涨幅32.2%；板材价格指数由年初104.6点升至117.4点，涨幅12.2%。细分品种中，国内螺纹钢价格年初为3268元/吨，最高涨至5000元/吨以上，年底回落至4447元/吨，同比增长36.1%。受益于产品价格大幅上涨，我国黑色金属冶炼和压延加工业主营业务收入6.74万亿元，同比增长22.4%，实现利润3419亿元，较去年同期增加2189亿元，同比增长177.8%。2017年，中国钢铁工业协会统计的重点大中型企业累计实现销售收入3.69万亿元，同比增长34.1%，实现利润1773亿元，同比增长613.6%。</w:t>
              </w:r>
            </w:p>
            <w:p>
              <w:pPr>
                <w:rPr>
                  <w:rFonts w:asciiTheme="minorEastAsia" w:hAnsiTheme="minorEastAsia" w:eastAsiaTheme="minorEastAsia"/>
                  <w:szCs w:val="21"/>
                </w:rPr>
              </w:pPr>
              <w:r>
                <w:rPr>
                  <w:rFonts w:hint="eastAsia" w:asciiTheme="minorEastAsia" w:hAnsiTheme="minorEastAsia" w:eastAsiaTheme="minorEastAsia"/>
                  <w:szCs w:val="21"/>
                </w:rPr>
                <w:t xml:space="preserve">    （3）全球经济复苏，需求回暖超预期</w:t>
              </w:r>
            </w:p>
            <w:p>
              <w:pPr>
                <w:rPr>
                  <w:rFonts w:asciiTheme="minorEastAsia" w:hAnsiTheme="minorEastAsia" w:eastAsiaTheme="minorEastAsia"/>
                  <w:szCs w:val="21"/>
                </w:rPr>
              </w:pPr>
              <w:r>
                <w:rPr>
                  <w:rFonts w:hint="eastAsia"/>
                  <w:color w:val="000000"/>
                  <w:szCs w:val="21"/>
                </w:rPr>
                <w:t xml:space="preserve">    2017年以来，受益于全球经济超预期复苏和国内经济稳中向好发展的拉动，建筑、机械、汽车、能源、造船、家电、集装箱等主要下游行业钢材消费量均保持良好增长态势，促进中国钢材整体需求量较快增长。据估计，2017年中国钢材需求量为7.25亿吨，同比增长7.7%，这一速度也远超过预期，对2017年价格上涨起到关键作用。但鉴于钢材价格涨势过快已经给下游行业造成较大的成本压力，2018年钢铁行业盈利的高增长预计难以持续。</w:t>
              </w:r>
            </w:p>
            <w:p>
              <w:pPr>
                <w:rPr>
                  <w:rFonts w:asciiTheme="minorEastAsia" w:hAnsiTheme="minorEastAsia" w:eastAsiaTheme="minorEastAsia"/>
                  <w:b/>
                  <w:szCs w:val="21"/>
                </w:rPr>
              </w:pPr>
              <w:r>
                <w:rPr>
                  <w:rFonts w:hint="eastAsia" w:asciiTheme="minorEastAsia" w:hAnsiTheme="minorEastAsia" w:eastAsiaTheme="minorEastAsia"/>
                  <w:b/>
                  <w:szCs w:val="21"/>
                </w:rPr>
                <w:t>2.宏观经济政策及行业状况的变化</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展望未来1-2年，2017年党的十九大胜利召开，释放出更多、更有针对性的稳增长政策措施，国民经济有望继续保持稳中有进、稳中向好的发展态势，有利于钢铁行业的持续复苏：一是保持基础设施建设投资稳定增长，</w:t>
              </w:r>
              <w:r>
                <w:rPr>
                  <w:rFonts w:hint="eastAsia"/>
                  <w:szCs w:val="21"/>
                </w:rPr>
                <w:t>近段时期固定资产投资、房地产投资、工业生产、贸易出口等经济指标增速持续回落，显示宏观经济环境收紧，这就要求决策部门进行逆调节，出台稳增长措施。而当前中国物价上涨温和，呈现既不通缩，又未严重通胀的较为理想态势</w:t>
              </w:r>
              <w:r>
                <w:rPr>
                  <w:rFonts w:hint="eastAsia" w:asciiTheme="minorEastAsia" w:hAnsiTheme="minorEastAsia" w:eastAsiaTheme="minorEastAsia"/>
                  <w:szCs w:val="21"/>
                </w:rPr>
                <w:t>，</w:t>
              </w:r>
              <w:r>
                <w:rPr>
                  <w:rFonts w:hint="eastAsia"/>
                  <w:szCs w:val="21"/>
                </w:rPr>
                <w:t>这为稳增长措施出台提供了较为安全的区间</w:t>
              </w:r>
              <w:r>
                <w:rPr>
                  <w:rFonts w:hint="eastAsia" w:asciiTheme="minorEastAsia" w:hAnsiTheme="minorEastAsia" w:eastAsiaTheme="minorEastAsia"/>
                  <w:szCs w:val="21"/>
                </w:rPr>
                <w:t>；</w:t>
              </w:r>
              <w:r>
                <w:rPr>
                  <w:rFonts w:hint="eastAsia"/>
                  <w:szCs w:val="21"/>
                </w:rPr>
                <w:t>二是党的十九大报告强调把发展着力点在实体经济上，做大做强国有企业以及深化供给侧结构性改革，中央经济工作会议也明确了继续坚持稳中求进工作总基调，政策效应持续显现，有利于优化存量资源配置，扩大优质供给，实现供需动态平衡</w:t>
              </w: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但是，我们也要看到不利的因素，</w:t>
              </w:r>
              <w:r>
                <w:rPr>
                  <w:szCs w:val="21"/>
                </w:rPr>
                <w:t>一是</w:t>
              </w:r>
              <w:r>
                <w:rPr>
                  <w:rFonts w:hint="eastAsia"/>
                  <w:szCs w:val="21"/>
                </w:rPr>
                <w:t>金融业在严格的监管环境下持续推进去杠杆，2018年的资金面预计逐步收紧，企业融资难的问题日益突出。二是下游需求增速有放缓的趋势，尤其是房地产行业已进入下行周期，可能造成经济增速不及预期。</w:t>
              </w:r>
              <w:r>
                <w:rPr>
                  <w:szCs w:val="21"/>
                </w:rPr>
                <w:t>三是去产能导致的供给偏紧效应逐渐减弱。国家“十三五”期间淘汰钢铁落后产能的指标为</w:t>
              </w:r>
              <w:r>
                <w:rPr>
                  <w:rFonts w:hint="eastAsia"/>
                  <w:szCs w:val="21"/>
                </w:rPr>
                <w:t>1.4</w:t>
              </w:r>
              <w:r>
                <w:rPr>
                  <w:szCs w:val="21"/>
                </w:rPr>
                <w:t>亿吨，目前任务已经完成</w:t>
              </w:r>
              <w:r>
                <w:rPr>
                  <w:rFonts w:hint="eastAsia" w:asciiTheme="minorEastAsia" w:hAnsiTheme="minorEastAsia" w:eastAsiaTheme="minorEastAsia"/>
                  <w:szCs w:val="21"/>
                </w:rPr>
                <w:t>大半</w:t>
              </w:r>
              <w:r>
                <w:rPr>
                  <w:szCs w:val="21"/>
                </w:rPr>
                <w:t>，钢铁去产能接近尾声，合规企业的现有生产仍有潜力。同时，从二季度起，预计将有</w:t>
              </w:r>
              <w:r>
                <w:rPr>
                  <w:rFonts w:hint="eastAsia"/>
                  <w:szCs w:val="21"/>
                </w:rPr>
                <w:t>3000</w:t>
              </w:r>
              <w:r>
                <w:rPr>
                  <w:szCs w:val="21"/>
                </w:rPr>
                <w:t>万吨的电炉炼钢产能逐步释放。</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考虑到目前行业的的格局及政策因素，预计2018年钢铁行业的变化将体现在以下几个方面：一是供给侧改革仍将继续推进，</w:t>
              </w:r>
              <w:r>
                <w:rPr>
                  <w:rFonts w:hint="eastAsia"/>
                </w:rPr>
                <w:t>破除无效供给、培育新动能、降低实体经济成本预计将是今年供给侧结构性改革的重点。</w:t>
              </w:r>
              <w:r>
                <w:rPr>
                  <w:rFonts w:hint="eastAsia" w:asciiTheme="minorEastAsia" w:hAnsiTheme="minorEastAsia" w:eastAsiaTheme="minorEastAsia"/>
                  <w:szCs w:val="21"/>
                </w:rPr>
                <w:t>管理层</w:t>
              </w:r>
              <w:r>
                <w:rPr>
                  <w:rFonts w:hint="eastAsia"/>
                </w:rPr>
                <w:t>将加大对新增产能的监督检查力度，严把产能置换关，严禁以任何名义新增钢铁产能。同时，严防“地条钢”死灰复燃，保住供给侧结构性改革的成果也将是重中之重。二是，电炉炼钢有序发展，管理层将对不同地区新建电炉项目在产能置换政策上给予适当倾斜，鼓励小型电炉企业联合重组和接收过剩地区转移产能，发展先进水平的电炉企业。短流程电炉炼钢相关规范政策有望陆续出台。三是环保政策的不断升级将倒逼钢铁企业实施环保技改，有利于钢铁行业可持续发展；倒逼京津冀等环境敏感地区钢铁产能向环境容量较大的地区转移，有利于钢铁行业布局优化。</w:t>
              </w:r>
            </w:p>
            <w:p>
              <w:pPr>
                <w:widowControl w:val="0"/>
                <w:jc w:val="both"/>
                <w:rPr>
                  <w:b/>
                  <w:szCs w:val="21"/>
                </w:rPr>
              </w:pPr>
              <w:r>
                <w:rPr>
                  <w:rFonts w:hint="eastAsia"/>
                  <w:b/>
                  <w:szCs w:val="21"/>
                </w:rPr>
                <w:t>（二）公司的行业地位</w:t>
              </w:r>
            </w:p>
            <w:p>
              <w:pPr>
                <w:rPr>
                  <w:szCs w:val="21"/>
                </w:rPr>
              </w:pPr>
              <w:r>
                <w:rPr>
                  <w:rFonts w:hint="eastAsia"/>
                  <w:szCs w:val="21"/>
                </w:rPr>
                <w:t xml:space="preserve">    2017年公司继续名列中国企业500强、中国制造业企业500强榜单。全年铁、钢、钢材累计完成产量分别为</w:t>
              </w:r>
              <w:r>
                <w:rPr>
                  <w:szCs w:val="21"/>
                </w:rPr>
                <w:t>1</w:t>
              </w:r>
              <w:r>
                <w:rPr>
                  <w:rFonts w:hint="eastAsia"/>
                  <w:szCs w:val="21"/>
                </w:rPr>
                <w:t>150</w:t>
              </w:r>
              <w:r>
                <w:rPr>
                  <w:szCs w:val="21"/>
                </w:rPr>
                <w:t>万吨、1</w:t>
              </w:r>
              <w:r>
                <w:rPr>
                  <w:rFonts w:hint="eastAsia"/>
                  <w:szCs w:val="21"/>
                </w:rPr>
                <w:t>230</w:t>
              </w:r>
              <w:r>
                <w:rPr>
                  <w:szCs w:val="21"/>
                </w:rPr>
                <w:t>万吨、</w:t>
              </w:r>
              <w:r>
                <w:rPr>
                  <w:rFonts w:hint="eastAsia"/>
                  <w:szCs w:val="21"/>
                </w:rPr>
                <w:t>722</w:t>
              </w:r>
              <w:r>
                <w:rPr>
                  <w:szCs w:val="21"/>
                </w:rPr>
                <w:t>万吨，分别同比增长</w:t>
              </w:r>
              <w:r>
                <w:rPr>
                  <w:color w:val="000000" w:themeColor="text1"/>
                  <w:szCs w:val="21"/>
                </w:rPr>
                <w:t>7.08%、11.31%、32.48%，</w:t>
              </w:r>
              <w:r>
                <w:rPr>
                  <w:rFonts w:hint="eastAsia"/>
                  <w:szCs w:val="21"/>
                </w:rPr>
                <w:t>营业</w:t>
              </w:r>
              <w:r>
                <w:rPr>
                  <w:szCs w:val="21"/>
                </w:rPr>
                <w:t>收入</w:t>
              </w:r>
              <w:r>
                <w:rPr>
                  <w:rFonts w:hint="eastAsia"/>
                  <w:szCs w:val="21"/>
                </w:rPr>
                <w:t>415.57</w:t>
              </w:r>
              <w:r>
                <w:rPr>
                  <w:szCs w:val="21"/>
                </w:rPr>
                <w:t>亿元，</w:t>
              </w:r>
              <w:r>
                <w:rPr>
                  <w:rFonts w:hint="eastAsia"/>
                  <w:szCs w:val="21"/>
                </w:rPr>
                <w:t>净利润26.46亿元。较好地巩固了柳钢作为华南、西南地区最大的钢铁联合企业地位。根据冶金工业规划研究院发布的2017年钢铁企业竞争力评级结果，柳钢获评“A级竞争力特强钢铁企业”。</w:t>
              </w:r>
            </w:p>
            <w:p>
              <w:pPr>
                <w:widowControl w:val="0"/>
                <w:jc w:val="both"/>
                <w:rPr>
                  <w:sz w:val="24"/>
                </w:rPr>
              </w:pPr>
            </w:p>
            <w:p>
              <w:pPr>
                <w:widowControl w:val="0"/>
                <w:jc w:val="both"/>
                <w:rPr>
                  <w:b/>
                  <w:szCs w:val="21"/>
                </w:rPr>
              </w:pPr>
              <w:r>
                <w:rPr>
                  <w:rFonts w:hint="eastAsia"/>
                  <w:b/>
                  <w:szCs w:val="21"/>
                </w:rPr>
                <w:t>（三）公司运营情况</w:t>
              </w:r>
            </w:p>
            <w:p>
              <w:pPr>
                <w:widowControl w:val="0"/>
                <w:jc w:val="both"/>
                <w:rPr>
                  <w:b/>
                  <w:szCs w:val="21"/>
                </w:rPr>
              </w:pPr>
              <w:r>
                <w:rPr>
                  <w:rFonts w:hint="eastAsia"/>
                  <w:b/>
                  <w:szCs w:val="21"/>
                </w:rPr>
                <w:t>1.产品销售情况</w:t>
              </w:r>
            </w:p>
            <w:p>
              <w:pPr>
                <w:snapToGrid w:val="0"/>
                <w:ind w:firstLine="420" w:firstLineChars="200"/>
                <w:rPr>
                  <w:szCs w:val="21"/>
                </w:rPr>
              </w:pPr>
              <w:r>
                <w:rPr>
                  <w:rFonts w:hint="eastAsia"/>
                  <w:szCs w:val="21"/>
                </w:rPr>
                <w:t>2017年公司营业收入415.57亿元，同比增长55.93%，钢材销售价格较上年度大幅反弹。公司借助市场回暖的契机，积极创新销售模式，加强市场信息收集研判，准确把握市场趋势，采取积极有效的措施提高效益。</w:t>
              </w:r>
            </w:p>
            <w:p>
              <w:pPr>
                <w:snapToGrid w:val="0"/>
                <w:ind w:firstLine="420" w:firstLineChars="200"/>
                <w:rPr>
                  <w:szCs w:val="21"/>
                </w:rPr>
              </w:pPr>
              <w:r>
                <w:rPr>
                  <w:rFonts w:hint="eastAsia"/>
                  <w:szCs w:val="21"/>
                </w:rPr>
                <w:t>（1）及时调整资源流向，市场调控精准化。8月下旬为了扭转区内螺纹钢价格持续低迷的局面，采取最严厉的调控措施，暂停了广西区内螺纹钢发货，向市场传递坚定维护产品价格的决心，使有库存的客户较大幅度地减少亏损</w:t>
              </w:r>
            </w:p>
            <w:p>
              <w:pPr>
                <w:snapToGrid w:val="0"/>
                <w:ind w:firstLine="420" w:firstLineChars="200"/>
                <w:rPr>
                  <w:szCs w:val="21"/>
                </w:rPr>
              </w:pPr>
              <w:r>
                <w:rPr>
                  <w:rFonts w:hint="eastAsia"/>
                  <w:szCs w:val="21"/>
                </w:rPr>
                <w:t>（2）生产安排动态调整，区域流向效益优先：紧跟市场形势，以效益优先为原则灵活调整生产安排，确保效益好的棒线型产品全年满负荷生产，同时产品投放始终占领广西和海南等高价区域的制高点。</w:t>
              </w:r>
            </w:p>
            <w:p>
              <w:pPr>
                <w:snapToGrid w:val="0"/>
                <w:ind w:firstLine="420" w:firstLineChars="200"/>
                <w:rPr>
                  <w:szCs w:val="21"/>
                </w:rPr>
              </w:pPr>
              <w:r>
                <w:rPr>
                  <w:rFonts w:hint="eastAsia"/>
                  <w:szCs w:val="21"/>
                </w:rPr>
                <w:t>（3）充分发挥直销公司维护市场价格职能优势，灵活采取让直销公司报价引导市场价格的销售策略，加强与区域代理商的沟通及协调，传递公司维稳价格信号，抑制价格无序下跌。</w:t>
              </w:r>
            </w:p>
            <w:p>
              <w:pPr>
                <w:snapToGrid w:val="0"/>
                <w:ind w:firstLine="420" w:firstLineChars="200"/>
                <w:rPr>
                  <w:szCs w:val="21"/>
                </w:rPr>
              </w:pPr>
              <w:r>
                <w:rPr>
                  <w:rFonts w:hint="eastAsia"/>
                  <w:szCs w:val="21"/>
                </w:rPr>
                <w:t>（4）加大重点工程、终端用户直供比例，开拓了广东奥荣（搪瓷钢客户）、云南方圆工贸（管线钢客户）及十堰驰田汽车（车厢用钢）及重庆春鹏、贵州钢绳、自贡大西洋、湛江东雷高速、清远四桥、广州横奇沥等终端客户，提高了对终端用户的销量。</w:t>
              </w:r>
            </w:p>
            <w:p>
              <w:pPr>
                <w:widowControl w:val="0"/>
                <w:jc w:val="both"/>
                <w:rPr>
                  <w:b/>
                  <w:szCs w:val="21"/>
                </w:rPr>
              </w:pPr>
              <w:r>
                <w:rPr>
                  <w:rFonts w:hint="eastAsia"/>
                  <w:b/>
                  <w:szCs w:val="21"/>
                </w:rPr>
                <w:t>2.品牌建设情况</w:t>
              </w:r>
            </w:p>
            <w:p>
              <w:pPr>
                <w:snapToGrid w:val="0"/>
                <w:ind w:firstLine="420" w:firstLineChars="200"/>
                <w:rPr>
                  <w:szCs w:val="21"/>
                </w:rPr>
              </w:pPr>
              <w:r>
                <w:rPr>
                  <w:rFonts w:hint="eastAsia"/>
                  <w:szCs w:val="21"/>
                </w:rPr>
                <w:t>2017年，根据公司产品结构的调整、市场开拓与产品推广的需求，全年开展16项认证创优、品牌建设工作，全力打造优势产品品牌，提升了公司品牌影响力和市场竞争力。</w:t>
              </w:r>
            </w:p>
            <w:p>
              <w:pPr>
                <w:widowControl w:val="0"/>
                <w:jc w:val="both"/>
                <w:rPr>
                  <w:b/>
                  <w:szCs w:val="21"/>
                </w:rPr>
              </w:pPr>
              <w:r>
                <w:rPr>
                  <w:rFonts w:hint="eastAsia"/>
                  <w:b/>
                  <w:szCs w:val="21"/>
                </w:rPr>
                <w:t>3.公司产能情况</w:t>
              </w:r>
            </w:p>
            <w:p>
              <w:pPr>
                <w:snapToGrid w:val="0"/>
                <w:ind w:firstLine="420" w:firstLineChars="200"/>
                <w:rPr>
                  <w:szCs w:val="21"/>
                </w:rPr>
              </w:pPr>
              <w:r>
                <w:rPr>
                  <w:rFonts w:hint="eastAsia"/>
                  <w:szCs w:val="21"/>
                </w:rPr>
                <w:t>炼铁产能：公司拥有2750m³高炉1座（设计产能与实际产能均为260万吨）、2650 m³高炉1座（设计产能与实际产能均为224万吨）、2000 m³高炉2座（设计产能与实际产能合计均为380万吨）、1500 m³高炉2座（设计产能与实际产能合计均为286万吨），合计炼铁产能1150万吨。</w:t>
              </w:r>
            </w:p>
            <w:p>
              <w:pPr>
                <w:snapToGrid w:val="0"/>
                <w:ind w:firstLine="420" w:firstLineChars="200"/>
                <w:rPr>
                  <w:szCs w:val="21"/>
                </w:rPr>
              </w:pPr>
              <w:r>
                <w:rPr>
                  <w:rFonts w:hint="eastAsia"/>
                  <w:szCs w:val="21"/>
                </w:rPr>
                <w:t>炼钢产能：公司拥有150吨转炉共5座（设计产能与实际产能合计均为825万吨）、120吨转炉3座（设计产能与实际产能合计均为425万吨），合计炼钢产能1250万吨。</w:t>
              </w:r>
            </w:p>
            <w:p>
              <w:pPr>
                <w:snapToGrid w:val="0"/>
                <w:ind w:firstLine="420" w:firstLineChars="200"/>
                <w:rPr>
                  <w:szCs w:val="21"/>
                </w:rPr>
              </w:pPr>
              <w:r>
                <w:rPr>
                  <w:rFonts w:hint="eastAsia"/>
                  <w:szCs w:val="21"/>
                </w:rPr>
                <w:t>轧钢产能：公司拥有中厚板轧机1套（设计产能与实际产能均为160万吨）、中型型钢轧机1套（设计产能与实际产能均为80万吨）、小型型钢轧机6套（设计产能与实际产能合计均为520万吨）、高速线材轧机2套（设计产能与实际产能合计均为140万吨），合计轧钢产能900万吨。</w:t>
              </w:r>
            </w:p>
            <w:p>
              <w:pPr>
                <w:snapToGrid w:val="0"/>
                <w:ind w:firstLine="420" w:firstLineChars="200"/>
                <w:rPr>
                  <w:szCs w:val="21"/>
                </w:rPr>
              </w:pPr>
              <w:r>
                <w:rPr>
                  <w:rFonts w:hint="eastAsia"/>
                  <w:szCs w:val="21"/>
                </w:rPr>
                <w:t>截止2017年末，无在建产能。2018年公司将根据宏观政策及市场变化情况决定是否进行压缩产能计划。</w:t>
              </w:r>
            </w:p>
            <w:p>
              <w:pPr>
                <w:snapToGrid w:val="0"/>
                <w:rPr>
                  <w:b/>
                  <w:szCs w:val="21"/>
                </w:rPr>
              </w:pPr>
              <w:r>
                <w:rPr>
                  <w:rFonts w:hint="eastAsia"/>
                  <w:b/>
                  <w:szCs w:val="21"/>
                </w:rPr>
                <w:t>4.生产与安全</w:t>
              </w:r>
            </w:p>
            <w:p>
              <w:pPr>
                <w:snapToGrid w:val="0"/>
                <w:ind w:firstLine="420" w:firstLineChars="200"/>
                <w:rPr>
                  <w:szCs w:val="21"/>
                </w:rPr>
              </w:pPr>
              <w:r>
                <w:rPr>
                  <w:rFonts w:hint="eastAsia"/>
                  <w:szCs w:val="21"/>
                </w:rPr>
                <w:t>2017年钢铁行业持续回暖，行业平均利润率达到近年来的高值。公司抓住有利时机，积极优化组织，合理调配，铁前系统以高炉为中心，多添废钢，实施低铁水耗生产模式，有效释放转炉连铸机产能。全年铁、钢、钢材累计完成产量分别达到</w:t>
              </w:r>
              <w:r>
                <w:rPr>
                  <w:szCs w:val="21"/>
                </w:rPr>
                <w:t>1</w:t>
              </w:r>
              <w:r>
                <w:rPr>
                  <w:rFonts w:hint="eastAsia"/>
                  <w:szCs w:val="21"/>
                </w:rPr>
                <w:t>150</w:t>
              </w:r>
              <w:r>
                <w:rPr>
                  <w:szCs w:val="21"/>
                </w:rPr>
                <w:t>万吨、1</w:t>
              </w:r>
              <w:r>
                <w:rPr>
                  <w:rFonts w:hint="eastAsia"/>
                  <w:szCs w:val="21"/>
                </w:rPr>
                <w:t>230</w:t>
              </w:r>
              <w:r>
                <w:rPr>
                  <w:szCs w:val="21"/>
                </w:rPr>
                <w:t>万吨、</w:t>
              </w:r>
              <w:r>
                <w:rPr>
                  <w:rFonts w:hint="eastAsia"/>
                  <w:szCs w:val="21"/>
                </w:rPr>
                <w:t>722</w:t>
              </w:r>
              <w:r>
                <w:rPr>
                  <w:szCs w:val="21"/>
                </w:rPr>
                <w:t>万吨，分别同比增</w:t>
              </w:r>
              <w:r>
                <w:rPr>
                  <w:color w:val="000000" w:themeColor="text1"/>
                  <w:szCs w:val="21"/>
                </w:rPr>
                <w:t>长</w:t>
              </w:r>
              <w:r>
                <w:rPr>
                  <w:rFonts w:hint="eastAsia"/>
                  <w:color w:val="000000" w:themeColor="text1"/>
                  <w:szCs w:val="21"/>
                </w:rPr>
                <w:t>7.08</w:t>
              </w:r>
              <w:r>
                <w:rPr>
                  <w:color w:val="000000" w:themeColor="text1"/>
                  <w:szCs w:val="21"/>
                </w:rPr>
                <w:t>%、</w:t>
              </w:r>
              <w:r>
                <w:rPr>
                  <w:rFonts w:hint="eastAsia"/>
                  <w:color w:val="000000" w:themeColor="text1"/>
                  <w:szCs w:val="21"/>
                </w:rPr>
                <w:t>11.31</w:t>
              </w:r>
              <w:r>
                <w:rPr>
                  <w:color w:val="000000" w:themeColor="text1"/>
                  <w:szCs w:val="21"/>
                </w:rPr>
                <w:t>%、</w:t>
              </w:r>
              <w:r>
                <w:rPr>
                  <w:rFonts w:hint="eastAsia"/>
                  <w:color w:val="000000" w:themeColor="text1"/>
                  <w:szCs w:val="21"/>
                </w:rPr>
                <w:t>32.48</w:t>
              </w:r>
              <w:r>
                <w:rPr>
                  <w:color w:val="000000" w:themeColor="text1"/>
                  <w:szCs w:val="21"/>
                </w:rPr>
                <w:t>%</w:t>
              </w:r>
              <w:r>
                <w:rPr>
                  <w:rFonts w:hint="eastAsia"/>
                  <w:color w:val="000000" w:themeColor="text1"/>
                  <w:szCs w:val="21"/>
                </w:rPr>
                <w:t>。</w:t>
              </w:r>
            </w:p>
            <w:p>
              <w:pPr>
                <w:snapToGrid w:val="0"/>
                <w:ind w:firstLine="420" w:firstLineChars="200"/>
                <w:rPr>
                  <w:szCs w:val="21"/>
                </w:rPr>
              </w:pPr>
              <w:r>
                <w:rPr>
                  <w:rFonts w:hint="eastAsia"/>
                  <w:szCs w:val="21"/>
                </w:rPr>
                <w:t>报告期内，公司积极加强排产协调，围绕市场变化灵活排产。优化经济责任制，引导各工序协同生产。采购与生产联系更加紧密，原燃料供应稳定。各生产单位的系统协同性进一步增强。同时轧材系统以效益优先为原则组织生产，各轧材单位灵活调节生产节奏。一季度，中板厂实施满负荷生产；3月份起，棒线型材厂持续满负荷生产，全年产量超650万吨，提前45天完成年度生产计划。安全管理工作上，通过将工作做实做细，加大安全考核力度，落实安全责任，取得良好安全绩效。</w:t>
              </w:r>
            </w:p>
            <w:p>
              <w:pPr>
                <w:rPr>
                  <w:b/>
                </w:rPr>
              </w:pPr>
              <w:r>
                <w:rPr>
                  <w:rFonts w:hint="eastAsia"/>
                  <w:b/>
                </w:rPr>
                <w:t>5.质量管理</w:t>
              </w:r>
            </w:p>
            <w:p>
              <w:pPr>
                <w:snapToGrid w:val="0"/>
                <w:ind w:firstLine="420" w:firstLineChars="200"/>
                <w:rPr>
                  <w:szCs w:val="21"/>
                </w:rPr>
              </w:pPr>
              <w:r>
                <w:rPr>
                  <w:rFonts w:hint="eastAsia"/>
                  <w:szCs w:val="21"/>
                </w:rPr>
                <w:t>对内严抓质量管理控制，稳步提升产品质量，夯实品牌基础；对外以满足用户需求为核心，实施重点产品品牌培育计划，积极开展产品行政许可和认证创优活动，按步骤实施重点产品品牌培育计划，扩大品牌影响力，提升品牌效益。</w:t>
              </w:r>
            </w:p>
            <w:p>
              <w:pPr>
                <w:widowControl w:val="0"/>
                <w:jc w:val="both"/>
                <w:rPr>
                  <w:b/>
                  <w:szCs w:val="21"/>
                </w:rPr>
              </w:pPr>
              <w:r>
                <w:rPr>
                  <w:rFonts w:hint="eastAsia"/>
                  <w:b/>
                  <w:szCs w:val="21"/>
                </w:rPr>
                <w:t>6. 技术服务及项目研发</w:t>
              </w:r>
            </w:p>
            <w:p>
              <w:pPr>
                <w:ind w:firstLine="420" w:firstLineChars="200"/>
                <w:rPr>
                  <w:szCs w:val="21"/>
                </w:rPr>
              </w:pPr>
              <w:r>
                <w:rPr>
                  <w:rFonts w:hint="eastAsia" w:cs="仿宋_GB2312"/>
                  <w:szCs w:val="21"/>
                </w:rPr>
                <w:t>公司产品研发及技术服务工作以顾客需求为导向，以满足顾客的QCDDS（QCDDS即：质量（Quality）、成本(Cost)、交付(Delivery)）、研发（Development）、服务（Service）需求为宗旨，努力使柳钢产品做到质量好、价格优、交付早。</w:t>
              </w:r>
            </w:p>
            <w:p>
              <w:pPr>
                <w:rPr>
                  <w:color w:val="FF0000"/>
                  <w:szCs w:val="21"/>
                </w:rPr>
              </w:pPr>
              <w:r>
                <w:rPr>
                  <w:rFonts w:hint="eastAsia" w:cs="仿宋_GB2312"/>
                  <w:szCs w:val="21"/>
                </w:rPr>
                <w:t xml:space="preserve">    （1）加强自主研发创新</w:t>
              </w:r>
            </w:p>
            <w:p>
              <w:pPr>
                <w:ind w:firstLine="420" w:firstLineChars="200"/>
                <w:rPr>
                  <w:szCs w:val="21"/>
                </w:rPr>
              </w:pPr>
              <w:r>
                <w:rPr>
                  <w:rFonts w:hint="eastAsia"/>
                  <w:szCs w:val="21"/>
                </w:rPr>
                <w:t>深化铁烧、转炉、轧钢、设备攻关，新技术、新工艺应用更加广泛，获授权专利37件，其中发明专利15件，实用新型专利22件。开发搪瓷钢、冷镦钢等多个有效益和市场的新品种，获得了重点终端用户认可。全年品种钢产量416万吨，品种钢比例达到57.62%。</w:t>
              </w:r>
            </w:p>
            <w:p>
              <w:pPr>
                <w:rPr>
                  <w:szCs w:val="21"/>
                </w:rPr>
              </w:pPr>
              <w:r>
                <w:rPr>
                  <w:rFonts w:hint="eastAsia"/>
                  <w:szCs w:val="21"/>
                </w:rPr>
                <w:t xml:space="preserve">    （2）加强校企合作</w:t>
              </w:r>
            </w:p>
            <w:p>
              <w:pPr>
                <w:ind w:firstLine="420" w:firstLineChars="200"/>
                <w:rPr>
                  <w:color w:val="000000" w:themeColor="text1"/>
                  <w:szCs w:val="21"/>
                </w:rPr>
              </w:pPr>
              <w:r>
                <w:rPr>
                  <w:rFonts w:hint="eastAsia"/>
                  <w:szCs w:val="21"/>
                </w:rPr>
                <w:t>继续加强与高等院校的沟通交流，请高校专家到公司进行技术指导，先后与北京科技大学和东北大学的专家教授就海洋平台用钢、高强度集装箱板、中板桥梁钢、管线钢等品种生产及开发技术进行深入交流。</w:t>
              </w:r>
            </w:p>
            <w:p>
              <w:pPr>
                <w:rPr>
                  <w:color w:val="000000" w:themeColor="text1"/>
                  <w:szCs w:val="21"/>
                </w:rPr>
              </w:pPr>
              <w:r>
                <w:rPr>
                  <w:rFonts w:hint="eastAsia"/>
                  <w:color w:val="000000" w:themeColor="text1"/>
                  <w:szCs w:val="21"/>
                </w:rPr>
                <w:t xml:space="preserve">    （3）加强立项管理，提高科技服务水平</w:t>
              </w:r>
            </w:p>
            <w:p>
              <w:pPr>
                <w:ind w:firstLine="420" w:firstLineChars="200"/>
                <w:rPr>
                  <w:rFonts w:cs="仿宋_GB2312"/>
                  <w:szCs w:val="21"/>
                </w:rPr>
              </w:pPr>
              <w:r>
                <w:rPr>
                  <w:rFonts w:hint="eastAsia" w:cs="仿宋_GB2312"/>
                  <w:szCs w:val="21"/>
                </w:rPr>
                <w:t>制定出台《柳钢科技奖励管理办法》等管理文件，规范各项科技管理制度。组织2个项目获柳州市2017年第一批立项，获得250万元科技经费。1个项目获得第二批立项，获得1000万资金资助。抓好项目实施管理，办理今年技措开工审批51项。申请专利69件，其中发明专利28件，实用新型41件。获授权专利34件，其中其中发明专利13件，实用新型21件。</w:t>
              </w:r>
            </w:p>
            <w:p>
              <w:pPr>
                <w:widowControl w:val="0"/>
                <w:jc w:val="both"/>
                <w:rPr>
                  <w:b/>
                  <w:szCs w:val="21"/>
                </w:rPr>
              </w:pPr>
              <w:r>
                <w:rPr>
                  <w:rFonts w:hint="eastAsia"/>
                  <w:b/>
                  <w:szCs w:val="21"/>
                </w:rPr>
                <w:t>7.节能减排工作</w:t>
              </w:r>
            </w:p>
            <w:p>
              <w:pPr>
                <w:ind w:firstLine="420" w:firstLineChars="200"/>
                <w:rPr>
                  <w:szCs w:val="21"/>
                </w:rPr>
              </w:pPr>
              <w:r>
                <w:rPr>
                  <w:rFonts w:hint="eastAsia"/>
                  <w:szCs w:val="21"/>
                </w:rPr>
                <w:t>（1）能源</w:t>
              </w:r>
            </w:p>
            <w:p>
              <w:pPr>
                <w:ind w:firstLine="420" w:firstLineChars="200"/>
                <w:rPr>
                  <w:color w:val="000000" w:themeColor="text1"/>
                  <w:szCs w:val="21"/>
                </w:rPr>
              </w:pPr>
              <w:r>
                <w:rPr>
                  <w:rFonts w:hint="eastAsia"/>
                  <w:color w:val="000000" w:themeColor="text1"/>
                  <w:szCs w:val="21"/>
                </w:rPr>
                <w:t>2017年，公司继续加强能源管理、</w:t>
              </w:r>
              <w:r>
                <w:rPr>
                  <w:rFonts w:hint="eastAsia"/>
                  <w:color w:val="000000"/>
                  <w:szCs w:val="21"/>
                </w:rPr>
                <w:t>明确公司碳排放</w:t>
              </w:r>
              <w:r>
                <w:rPr>
                  <w:rFonts w:hint="eastAsia"/>
                  <w:color w:val="000000" w:themeColor="text1"/>
                  <w:szCs w:val="21"/>
                </w:rPr>
                <w:t>及</w:t>
              </w:r>
              <w:r>
                <w:rPr>
                  <w:rFonts w:hint="eastAsia"/>
                  <w:color w:val="000000"/>
                  <w:szCs w:val="21"/>
                </w:rPr>
                <w:t>能源合同标准</w:t>
              </w:r>
              <w:r>
                <w:rPr>
                  <w:rFonts w:hint="eastAsia"/>
                  <w:color w:val="000000" w:themeColor="text1"/>
                  <w:szCs w:val="21"/>
                </w:rPr>
                <w:t>、</w:t>
              </w:r>
              <w:r>
                <w:rPr>
                  <w:rFonts w:hint="eastAsia"/>
                  <w:color w:val="000000"/>
                  <w:szCs w:val="21"/>
                </w:rPr>
                <w:t>进一步规范能源管理</w:t>
              </w:r>
              <w:r>
                <w:rPr>
                  <w:rFonts w:hint="eastAsia"/>
                  <w:color w:val="000000" w:themeColor="text1"/>
                  <w:szCs w:val="21"/>
                </w:rPr>
                <w:t>、</w:t>
              </w:r>
              <w:r>
                <w:rPr>
                  <w:rFonts w:hint="eastAsia"/>
                  <w:color w:val="000000"/>
                  <w:szCs w:val="21"/>
                </w:rPr>
                <w:t>推广使用节能减排和低碳技术</w:t>
              </w:r>
              <w:r>
                <w:rPr>
                  <w:rFonts w:hint="eastAsia"/>
                  <w:color w:val="000000" w:themeColor="text1"/>
                  <w:szCs w:val="21"/>
                </w:rPr>
                <w:t>。同时</w:t>
              </w:r>
              <w:r>
                <w:rPr>
                  <w:rFonts w:hint="eastAsia"/>
                  <w:color w:val="000000"/>
                  <w:szCs w:val="21"/>
                </w:rPr>
                <w:t>继续开展发电、钢坯热送热装攻关，提高余热余能回收利用效率。全年，环境污染事故为零，各工序能耗均符合国家标准。其中，吨钢综合能耗同比下降了29.32公斤标煤；吨钢新水耗及冶炼工序能耗均保持了较好的水平。</w:t>
              </w:r>
            </w:p>
            <w:p>
              <w:pPr>
                <w:ind w:firstLine="420" w:firstLineChars="200"/>
                <w:rPr>
                  <w:szCs w:val="21"/>
                </w:rPr>
              </w:pPr>
              <w:r>
                <w:rPr>
                  <w:rFonts w:hint="eastAsia"/>
                  <w:szCs w:val="21"/>
                </w:rPr>
                <w:t>（2） 环保</w:t>
              </w:r>
            </w:p>
            <w:p>
              <w:pPr>
                <w:ind w:firstLine="420" w:firstLineChars="200"/>
                <w:rPr>
                  <w:color w:val="000000" w:themeColor="text1"/>
                  <w:szCs w:val="21"/>
                </w:rPr>
              </w:pPr>
              <w:r>
                <w:rPr>
                  <w:rFonts w:hint="eastAsia"/>
                  <w:color w:val="000000" w:themeColor="text1"/>
                  <w:szCs w:val="21"/>
                </w:rPr>
                <w:t>2017公司实现重大环境污染事故为零，三废进行有效处理，污染物排放总量比上年同比减少，完成当地政府许可排放量年度考核指标。</w:t>
              </w:r>
            </w:p>
            <w:p>
              <w:pPr>
                <w:ind w:firstLine="420" w:firstLineChars="200"/>
                <w:rPr>
                  <w:color w:val="000000" w:themeColor="text1"/>
                  <w:szCs w:val="21"/>
                </w:rPr>
              </w:pPr>
              <w:r>
                <w:rPr>
                  <w:rFonts w:hint="eastAsia"/>
                  <w:color w:val="000000" w:themeColor="text1"/>
                  <w:szCs w:val="21"/>
                </w:rPr>
                <w:t>2017年在环保工作上公司积极落实新环保法与新排放标准要求，依靠科技进步，提高污染源治理水平，主要完成如下工作：一是积极到国内同类企业学习、考察</w:t>
              </w:r>
              <w:r>
                <w:rPr>
                  <w:rFonts w:hint="eastAsia"/>
                  <w:color w:val="000000"/>
                  <w:szCs w:val="21"/>
                </w:rPr>
                <w:t>烧结烟气和焦炉烟气脱硫脱硝技术、转炉灰压球技术和焦化废水生化</w:t>
              </w:r>
              <w:r>
                <w:rPr>
                  <w:rFonts w:hint="eastAsia"/>
                  <w:color w:val="000000" w:themeColor="text1"/>
                  <w:szCs w:val="21"/>
                </w:rPr>
                <w:t>先进环保技术；二是积极推进焦化废水生化系统升级改造、焦化煤场棚化工程、烧结脱硫烟气深度净化工程等环保工程建设，提升环保装备水平；三是加强环境督查力度，强化不符合项的监督与考核；四是推进危险废物规范化、电子化管理，上线了危险废物网上管理系统。</w:t>
              </w:r>
            </w:p>
            <w:p>
              <w:pPr>
                <w:widowControl w:val="0"/>
                <w:jc w:val="both"/>
                <w:rPr>
                  <w:sz w:val="24"/>
                </w:rPr>
              </w:pPr>
              <w:r>
                <w:rPr>
                  <w:rFonts w:hint="eastAsia"/>
                  <w:b/>
                  <w:szCs w:val="21"/>
                </w:rPr>
                <w:t>8.人力资源管理情况</w:t>
              </w:r>
            </w:p>
            <w:p>
              <w:pPr>
                <w:snapToGrid w:val="0"/>
                <w:ind w:firstLine="411" w:firstLineChars="196"/>
                <w:rPr>
                  <w:rFonts w:asciiTheme="minorEastAsia" w:hAnsiTheme="minorEastAsia" w:eastAsiaTheme="minorEastAsia"/>
                  <w:szCs w:val="21"/>
                </w:rPr>
              </w:pPr>
              <w:r>
                <w:rPr>
                  <w:rFonts w:hint="eastAsia" w:asciiTheme="minorEastAsia" w:hAnsiTheme="minorEastAsia" w:eastAsiaTheme="minorEastAsia"/>
                  <w:color w:val="333333"/>
                  <w:szCs w:val="21"/>
                  <w:shd w:val="clear" w:color="auto" w:fill="FFFFFF"/>
                </w:rPr>
                <w:t>（1）</w:t>
              </w:r>
              <w:r>
                <w:rPr>
                  <w:rFonts w:hint="eastAsia" w:asciiTheme="minorEastAsia" w:hAnsiTheme="minorEastAsia" w:eastAsiaTheme="minorEastAsia"/>
                  <w:szCs w:val="21"/>
                </w:rPr>
                <w:t>创新人力资源管理，深化三项制度改革。</w:t>
              </w:r>
            </w:p>
            <w:p>
              <w:pPr>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一是</w:t>
              </w:r>
              <w:r>
                <w:rPr>
                  <w:rFonts w:hint="eastAsia"/>
                  <w:szCs w:val="21"/>
                </w:rPr>
                <w:t>构建职位管理体系</w:t>
              </w:r>
              <w:r>
                <w:rPr>
                  <w:rFonts w:hint="eastAsia" w:asciiTheme="minorEastAsia" w:hAnsiTheme="minorEastAsia" w:eastAsiaTheme="minorEastAsia"/>
                  <w:szCs w:val="21"/>
                </w:rPr>
                <w:t>，</w:t>
              </w:r>
              <w:r>
                <w:rPr>
                  <w:rFonts w:hint="eastAsia"/>
                  <w:szCs w:val="21"/>
                </w:rPr>
                <w:t>新制订实施《柳钢组织机构及岗位定员管理办法》，建立岗位分类、分层、分级的立体管理模式</w:t>
              </w:r>
              <w:r>
                <w:rPr>
                  <w:rFonts w:hint="eastAsia" w:asciiTheme="minorEastAsia" w:hAnsiTheme="minorEastAsia" w:eastAsiaTheme="minorEastAsia"/>
                  <w:szCs w:val="21"/>
                </w:rPr>
                <w:t>；二是</w:t>
              </w:r>
              <w:r>
                <w:rPr>
                  <w:rFonts w:hint="eastAsia"/>
                  <w:szCs w:val="21"/>
                </w:rPr>
                <w:t>拓展人才引进途径，打破校园招聘单一模式，开展社会招聘、公开招聘、柔性引进等，扩大招聘院校范围</w:t>
              </w:r>
              <w:r>
                <w:rPr>
                  <w:rFonts w:hint="eastAsia" w:asciiTheme="minorEastAsia" w:hAnsiTheme="minorEastAsia" w:eastAsiaTheme="minorEastAsia"/>
                  <w:szCs w:val="21"/>
                </w:rPr>
                <w:t>；三是</w:t>
              </w:r>
              <w:r>
                <w:rPr>
                  <w:rFonts w:hint="eastAsia"/>
                  <w:szCs w:val="21"/>
                </w:rPr>
                <w:t>优化人员结构和配置</w:t>
              </w:r>
              <w:r>
                <w:rPr>
                  <w:rFonts w:hint="eastAsia" w:asciiTheme="minorEastAsia" w:hAnsiTheme="minorEastAsia" w:eastAsiaTheme="minorEastAsia"/>
                  <w:szCs w:val="21"/>
                </w:rPr>
                <w:t>，</w:t>
              </w:r>
              <w:r>
                <w:rPr>
                  <w:rFonts w:hint="eastAsia"/>
                  <w:szCs w:val="21"/>
                </w:rPr>
                <w:t>提高技术人员结构比例</w:t>
              </w:r>
              <w:r>
                <w:rPr>
                  <w:rFonts w:hint="eastAsia" w:asciiTheme="minorEastAsia" w:hAnsiTheme="minorEastAsia" w:eastAsiaTheme="minorEastAsia"/>
                  <w:szCs w:val="21"/>
                </w:rPr>
                <w:t>；四是</w:t>
              </w:r>
              <w:r>
                <w:rPr>
                  <w:rFonts w:hint="eastAsia"/>
                  <w:szCs w:val="21"/>
                </w:rPr>
                <w:t>构建人力资源管理制度体系</w:t>
              </w:r>
              <w:r>
                <w:rPr>
                  <w:rFonts w:hint="eastAsia" w:asciiTheme="minorEastAsia" w:hAnsiTheme="minorEastAsia" w:eastAsiaTheme="minorEastAsia"/>
                  <w:szCs w:val="21"/>
                </w:rPr>
                <w:t>，</w:t>
              </w:r>
              <w:r>
                <w:rPr>
                  <w:rFonts w:hint="eastAsia"/>
                  <w:szCs w:val="21"/>
                </w:rPr>
                <w:t>修订完善</w:t>
              </w:r>
              <w:r>
                <w:rPr>
                  <w:rFonts w:hint="eastAsia" w:asciiTheme="minorEastAsia" w:hAnsiTheme="minorEastAsia" w:eastAsiaTheme="minorEastAsia"/>
                  <w:szCs w:val="21"/>
                </w:rPr>
                <w:t>相关</w:t>
              </w:r>
              <w:r>
                <w:rPr>
                  <w:rFonts w:hint="eastAsia"/>
                  <w:szCs w:val="21"/>
                </w:rPr>
                <w:t>人力资源系列管理制度，构建干部、员工、薪酬、人才与培训、社保等管理体系制度，使人力资源管理更加规范化和制度化</w:t>
              </w:r>
              <w:r>
                <w:rPr>
                  <w:rFonts w:hint="eastAsia" w:asciiTheme="minorEastAsia" w:hAnsiTheme="minorEastAsia" w:eastAsiaTheme="minorEastAsia"/>
                  <w:szCs w:val="21"/>
                </w:rPr>
                <w:t>；五是</w:t>
              </w:r>
              <w:r>
                <w:rPr>
                  <w:rFonts w:hint="eastAsia"/>
                  <w:szCs w:val="21"/>
                </w:rPr>
                <w:t>实施浮动岗薪，以及劳务工增资激励机制，使员工收入与岗位贡献以及公司效益紧密挂钩，激发员工积极性和主动性</w:t>
              </w:r>
              <w:r>
                <w:rPr>
                  <w:rFonts w:hint="eastAsia" w:asciiTheme="minorEastAsia" w:hAnsiTheme="minorEastAsia" w:eastAsiaTheme="minorEastAsia"/>
                  <w:szCs w:val="21"/>
                </w:rPr>
                <w:t>。</w:t>
              </w:r>
            </w:p>
            <w:p>
              <w:pPr>
                <w:snapToGrid w:val="0"/>
                <w:ind w:firstLine="411" w:firstLineChars="196"/>
                <w:rPr>
                  <w:rFonts w:asciiTheme="minorEastAsia" w:hAnsiTheme="minorEastAsia" w:eastAsiaTheme="minorEastAsia"/>
                  <w:szCs w:val="21"/>
                </w:rPr>
              </w:pPr>
              <w:r>
                <w:rPr>
                  <w:rFonts w:hint="eastAsia" w:asciiTheme="minorEastAsia" w:hAnsiTheme="minorEastAsia" w:eastAsiaTheme="minorEastAsia"/>
                  <w:color w:val="333333"/>
                  <w:szCs w:val="21"/>
                  <w:shd w:val="clear" w:color="auto" w:fill="FFFFFF"/>
                </w:rPr>
                <w:t>（2）</w:t>
              </w:r>
              <w:r>
                <w:rPr>
                  <w:rFonts w:hint="eastAsia" w:asciiTheme="minorEastAsia" w:hAnsiTheme="minorEastAsia" w:eastAsiaTheme="minorEastAsia"/>
                  <w:szCs w:val="21"/>
                </w:rPr>
                <w:t>完善人才培养机制，促进人才快速成长。</w:t>
              </w:r>
            </w:p>
            <w:p>
              <w:pPr>
                <w:ind w:firstLine="420" w:firstLineChars="200"/>
                <w:rPr>
                  <w:rFonts w:asciiTheme="minorEastAsia" w:hAnsiTheme="minorEastAsia" w:eastAsiaTheme="minorEastAsia"/>
                </w:rPr>
              </w:pPr>
              <w:r>
                <w:rPr>
                  <w:rFonts w:hint="eastAsia" w:asciiTheme="minorEastAsia" w:hAnsiTheme="minorEastAsia" w:eastAsiaTheme="minorEastAsia"/>
                  <w:szCs w:val="21"/>
                </w:rPr>
                <w:t>一是</w:t>
              </w:r>
              <w:r>
                <w:rPr>
                  <w:rFonts w:hint="eastAsia"/>
                  <w:szCs w:val="21"/>
                </w:rPr>
                <w:t>完善职业晋升资格条件与发展通道，首次开展技术专家和技能专家的履职考评；优化专业技术职称、工人技术等级评审、考核与聘任制度，实施专业技术资格评审改革，放宽职称和技术等级评聘的限制</w:t>
              </w:r>
              <w:r>
                <w:rPr>
                  <w:rFonts w:hint="eastAsia" w:asciiTheme="minorEastAsia" w:hAnsiTheme="minorEastAsia" w:eastAsiaTheme="minorEastAsia"/>
                  <w:szCs w:val="21"/>
                </w:rPr>
                <w:t>；二是</w:t>
              </w:r>
              <w:r>
                <w:rPr>
                  <w:rFonts w:hint="eastAsia"/>
                  <w:szCs w:val="21"/>
                </w:rPr>
                <w:t>修订《培训和资格鉴定管理办法》《专业技术职务和工人技术等级考核聘任管理规定》等，新制定了《柳钢职业资格证书管理办法》等文件，推进人才培养制度体系建设</w:t>
              </w:r>
              <w:r>
                <w:rPr>
                  <w:rFonts w:hint="eastAsia" w:asciiTheme="minorEastAsia" w:hAnsiTheme="minorEastAsia" w:eastAsiaTheme="minorEastAsia"/>
                  <w:szCs w:val="21"/>
                </w:rPr>
                <w:t>；三是</w:t>
              </w:r>
              <w:r>
                <w:rPr>
                  <w:rFonts w:hint="eastAsia"/>
                  <w:szCs w:val="21"/>
                </w:rPr>
                <w:t>拓展培养方式，加大人才培养力度。组织领导干部到</w:t>
              </w:r>
              <w:r>
                <w:rPr>
                  <w:rFonts w:hint="eastAsia" w:asciiTheme="minorEastAsia" w:hAnsiTheme="minorEastAsia" w:eastAsiaTheme="minorEastAsia"/>
                  <w:szCs w:val="21"/>
                </w:rPr>
                <w:t>行业内先进企业进行</w:t>
              </w:r>
              <w:r>
                <w:rPr>
                  <w:rFonts w:hint="eastAsia"/>
                  <w:szCs w:val="21"/>
                </w:rPr>
                <w:t>学习培训，进一步开拓视野，提高综合素质</w:t>
              </w:r>
              <w:r>
                <w:rPr>
                  <w:rFonts w:hint="eastAsia" w:asciiTheme="minorEastAsia" w:hAnsiTheme="minorEastAsia" w:eastAsiaTheme="minorEastAsia"/>
                  <w:szCs w:val="21"/>
                </w:rPr>
                <w:t>。</w:t>
              </w:r>
              <w:r>
                <w:rPr>
                  <w:rFonts w:hint="eastAsia"/>
                  <w:szCs w:val="21"/>
                </w:rPr>
                <w:t>首次创建博士后工作站</w:t>
              </w:r>
              <w:r>
                <w:rPr>
                  <w:rFonts w:hint="eastAsia" w:asciiTheme="minorEastAsia" w:hAnsiTheme="minorEastAsia" w:eastAsiaTheme="minorEastAsia"/>
                  <w:szCs w:val="21"/>
                </w:rPr>
                <w:t>，</w:t>
              </w:r>
              <w:r>
                <w:rPr>
                  <w:rFonts w:hint="eastAsia"/>
                  <w:szCs w:val="21"/>
                </w:rPr>
                <w:t>引入外部师资，开展校企合作，推广网上练兵、微信课堂等形式，促进技术技能人才快速成长成才</w:t>
              </w:r>
              <w:r>
                <w:rPr>
                  <w:rFonts w:hint="eastAsia" w:asciiTheme="minorEastAsia" w:hAnsiTheme="minorEastAsia" w:eastAsiaTheme="minorEastAsia"/>
                  <w:szCs w:val="21"/>
                </w:rPr>
                <w:t>；四是</w:t>
              </w:r>
              <w:r>
                <w:rPr>
                  <w:rFonts w:hint="eastAsia"/>
                  <w:szCs w:val="21"/>
                </w:rPr>
                <w:t>以问题为导向开展技能竞赛。以“优化操作、降低成本、提升指标”为目的，开展创高产、创优质、节能降耗、技术攻关等竞赛活动</w:t>
              </w:r>
              <w:r>
                <w:rPr>
                  <w:rFonts w:hint="eastAsia" w:asciiTheme="minorEastAsia" w:hAnsiTheme="minorEastAsia" w:eastAsiaTheme="minorEastAsia"/>
                  <w:szCs w:val="21"/>
                </w:rPr>
                <w:t>，取得良好效果。</w:t>
              </w:r>
            </w:p>
          </w:sdtContent>
        </w:sdt>
      </w:sdtContent>
    </w:sdt>
    <w:p>
      <w:pPr>
        <w:rPr>
          <w:rFonts w:asciiTheme="minorEastAsia" w:hAnsiTheme="minorEastAsia" w:eastAsiaTheme="minorEastAsia"/>
        </w:rPr>
      </w:pPr>
    </w:p>
    <w:sdt>
      <w:sdtPr>
        <w:rPr>
          <w:rFonts w:hint="eastAsia" w:ascii="宋体" w:hAnsi="宋体" w:cs="宋体"/>
          <w:b w:val="0"/>
          <w:bCs w:val="0"/>
          <w:kern w:val="0"/>
          <w:szCs w:val="24"/>
        </w:rPr>
        <w:alias w:val="模块:报告期内主要经营情况"/>
        <w:tag w:val="_SEC_5be0fbeb3cd14e7ea98377b294efcb92"/>
        <w:id w:val="6772590"/>
        <w:lock w:val="sdtLocked"/>
        <w:placeholder>
          <w:docPart w:val="GBC22222222222222222222222222222"/>
        </w:placeholder>
      </w:sdtPr>
      <w:sdtEndPr>
        <w:rPr>
          <w:rFonts w:hint="eastAsia" w:ascii="宋体" w:hAnsi="宋体" w:cs="宋体"/>
          <w:b w:val="0"/>
          <w:bCs w:val="0"/>
          <w:color w:val="FF0000"/>
          <w:kern w:val="0"/>
          <w:szCs w:val="24"/>
        </w:rPr>
      </w:sdtEndPr>
      <w:sdtContent>
        <w:p>
          <w:pPr>
            <w:pStyle w:val="3"/>
            <w:numPr>
              <w:ilvl w:val="0"/>
              <w:numId w:val="8"/>
            </w:numPr>
            <w:ind w:left="368" w:hanging="367" w:hangingChars="175"/>
          </w:pPr>
          <w:r>
            <w:rPr>
              <w:rFonts w:hint="eastAsia"/>
            </w:rPr>
            <w:t>报告期内主要经营情况</w:t>
          </w:r>
        </w:p>
        <w:sdt>
          <w:sdtPr>
            <w:rPr>
              <w:rFonts w:hint="eastAsia"/>
            </w:rPr>
            <w:alias w:val="报告期内主要经营情况"/>
            <w:tag w:val="_GBC_655a1c6ffd2a454085e53e5538e3b2ef"/>
            <w:id w:val="6772589"/>
            <w:lock w:val="sdtLocked"/>
            <w:placeholder>
              <w:docPart w:val="GBC22222222222222222222222222222"/>
            </w:placeholder>
          </w:sdtPr>
          <w:sdtEndPr>
            <w:rPr>
              <w:rFonts w:hint="eastAsia"/>
              <w:color w:val="FF0000"/>
            </w:rPr>
          </w:sdtEndPr>
          <w:sdtContent>
            <w:p>
              <w:pPr>
                <w:rPr>
                  <w:color w:val="FF0000"/>
                </w:rPr>
              </w:pPr>
              <w:r>
                <w:rPr>
                  <w:color w:val="000000" w:themeColor="text1"/>
                </w:rPr>
                <w:t>201</w:t>
              </w:r>
              <w:r>
                <w:rPr>
                  <w:rFonts w:hint="eastAsia"/>
                  <w:color w:val="000000" w:themeColor="text1"/>
                </w:rPr>
                <w:t>7</w:t>
              </w:r>
              <w:r>
                <w:rPr>
                  <w:color w:val="000000" w:themeColor="text1"/>
                </w:rPr>
                <w:t>年铁、钢、钢材产量分别完成</w:t>
              </w:r>
              <w:r>
                <w:rPr>
                  <w:rFonts w:hint="eastAsia"/>
                  <w:color w:val="000000" w:themeColor="text1"/>
                </w:rPr>
                <w:t>1150</w:t>
              </w:r>
              <w:r>
                <w:rPr>
                  <w:color w:val="000000" w:themeColor="text1"/>
                </w:rPr>
                <w:t>万吨、</w:t>
              </w:r>
              <w:r>
                <w:rPr>
                  <w:rFonts w:hint="eastAsia"/>
                  <w:color w:val="000000" w:themeColor="text1"/>
                </w:rPr>
                <w:t>1230</w:t>
              </w:r>
              <w:r>
                <w:rPr>
                  <w:color w:val="000000" w:themeColor="text1"/>
                </w:rPr>
                <w:t>万吨、</w:t>
              </w:r>
              <w:r>
                <w:rPr>
                  <w:rFonts w:hint="eastAsia"/>
                  <w:color w:val="000000" w:themeColor="text1"/>
                </w:rPr>
                <w:t>722</w:t>
              </w:r>
              <w:r>
                <w:rPr>
                  <w:color w:val="000000" w:themeColor="text1"/>
                </w:rPr>
                <w:t>万吨，同比分别增长</w:t>
              </w:r>
              <w:r>
                <w:rPr>
                  <w:rFonts w:hint="eastAsia"/>
                  <w:color w:val="000000" w:themeColor="text1"/>
                </w:rPr>
                <w:t>7.08</w:t>
              </w:r>
              <w:r>
                <w:rPr>
                  <w:color w:val="000000" w:themeColor="text1"/>
                </w:rPr>
                <w:t>%、</w:t>
              </w:r>
              <w:r>
                <w:rPr>
                  <w:rFonts w:hint="eastAsia"/>
                  <w:color w:val="000000" w:themeColor="text1"/>
                </w:rPr>
                <w:t>11.31</w:t>
              </w:r>
              <w:r>
                <w:rPr>
                  <w:color w:val="000000" w:themeColor="text1"/>
                </w:rPr>
                <w:t>%、</w:t>
              </w:r>
              <w:r>
                <w:rPr>
                  <w:rFonts w:hint="eastAsia"/>
                  <w:color w:val="000000" w:themeColor="text1"/>
                </w:rPr>
                <w:t>32.48</w:t>
              </w:r>
              <w:r>
                <w:rPr>
                  <w:color w:val="000000" w:themeColor="text1"/>
                </w:rPr>
                <w:t>%；营业收入</w:t>
              </w:r>
              <w:r>
                <w:rPr>
                  <w:rFonts w:hint="eastAsia"/>
                  <w:color w:val="000000" w:themeColor="text1"/>
                </w:rPr>
                <w:t>415.57</w:t>
              </w:r>
              <w:r>
                <w:rPr>
                  <w:color w:val="000000" w:themeColor="text1"/>
                </w:rPr>
                <w:t>亿元，</w:t>
              </w:r>
              <w:r>
                <w:rPr>
                  <w:rFonts w:hint="eastAsia"/>
                  <w:color w:val="000000" w:themeColor="text1"/>
                </w:rPr>
                <w:t>利润总额30.36亿元，</w:t>
              </w:r>
              <w:r>
                <w:rPr>
                  <w:color w:val="000000" w:themeColor="text1"/>
                </w:rPr>
                <w:t>上缴税金</w:t>
              </w:r>
              <w:r>
                <w:rPr>
                  <w:rFonts w:hint="eastAsia"/>
                  <w:color w:val="000000" w:themeColor="text1"/>
                </w:rPr>
                <w:t>12.69</w:t>
              </w:r>
              <w:r>
                <w:rPr>
                  <w:color w:val="000000" w:themeColor="text1"/>
                </w:rPr>
                <w:t>亿元；资产总额</w:t>
              </w:r>
              <w:r>
                <w:rPr>
                  <w:rFonts w:hint="eastAsia"/>
                  <w:color w:val="000000" w:themeColor="text1"/>
                </w:rPr>
                <w:t>230.74</w:t>
              </w:r>
              <w:r>
                <w:rPr>
                  <w:color w:val="000000" w:themeColor="text1"/>
                </w:rPr>
                <w:t>亿元，同比</w:t>
              </w:r>
              <w:r>
                <w:rPr>
                  <w:rFonts w:hint="eastAsia"/>
                  <w:color w:val="000000" w:themeColor="text1"/>
                </w:rPr>
                <w:t>增长10.87%</w:t>
              </w:r>
              <w:r>
                <w:rPr>
                  <w:color w:val="000000" w:themeColor="text1"/>
                </w:rPr>
                <w:t>，负债总额</w:t>
              </w:r>
              <w:r>
                <w:rPr>
                  <w:rFonts w:hint="eastAsia"/>
                  <w:color w:val="000000" w:themeColor="text1"/>
                </w:rPr>
                <w:t>158.75</w:t>
              </w:r>
              <w:r>
                <w:rPr>
                  <w:color w:val="000000" w:themeColor="text1"/>
                </w:rPr>
                <w:t>亿元，同比减少</w:t>
              </w:r>
              <w:r>
                <w:rPr>
                  <w:rFonts w:hint="eastAsia"/>
                  <w:color w:val="000000" w:themeColor="text1"/>
                </w:rPr>
                <w:t>1.87%</w:t>
              </w:r>
              <w:r>
                <w:rPr>
                  <w:color w:val="000000" w:themeColor="text1"/>
                </w:rPr>
                <w:t>，股东权益</w:t>
              </w:r>
              <w:r>
                <w:rPr>
                  <w:rFonts w:hint="eastAsia"/>
                  <w:color w:val="000000" w:themeColor="text1"/>
                </w:rPr>
                <w:t>71.99</w:t>
              </w:r>
              <w:r>
                <w:rPr>
                  <w:color w:val="000000" w:themeColor="text1"/>
                </w:rPr>
                <w:t>亿元，同比增加</w:t>
              </w:r>
              <w:r>
                <w:rPr>
                  <w:rFonts w:hint="eastAsia"/>
                  <w:color w:val="000000" w:themeColor="text1"/>
                </w:rPr>
                <w:t>55.33%</w:t>
              </w:r>
              <w:r>
                <w:rPr>
                  <w:color w:val="000000" w:themeColor="text1"/>
                </w:rPr>
                <w:t>；报告期末资产负债率</w:t>
              </w:r>
              <w:r>
                <w:rPr>
                  <w:rFonts w:hint="eastAsia"/>
                  <w:color w:val="000000" w:themeColor="text1"/>
                </w:rPr>
                <w:t>68.8%</w:t>
              </w:r>
              <w:r>
                <w:rPr>
                  <w:color w:val="000000" w:themeColor="text1"/>
                </w:rPr>
                <w:t>，同比下降</w:t>
              </w:r>
              <w:r>
                <w:rPr>
                  <w:rFonts w:hint="eastAsia"/>
                  <w:color w:val="000000" w:themeColor="text1"/>
                </w:rPr>
                <w:t>8.93</w:t>
              </w:r>
              <w:r>
                <w:rPr>
                  <w:color w:val="000000" w:themeColor="text1"/>
                </w:rPr>
                <w:t>个百分点。</w:t>
              </w:r>
            </w:p>
          </w:sdtContent>
        </w:sdt>
      </w:sdtContent>
    </w:sdt>
    <w:p>
      <w:pPr>
        <w:rPr>
          <w:rFonts w:asciiTheme="minorEastAsia" w:hAnsiTheme="minorEastAsia" w:eastAsiaTheme="minorEastAsia"/>
        </w:rPr>
      </w:pPr>
    </w:p>
    <w:p>
      <w:pPr>
        <w:pStyle w:val="4"/>
        <w:numPr>
          <w:ilvl w:val="0"/>
          <w:numId w:val="9"/>
        </w:numPr>
        <w:ind w:left="369" w:hanging="369" w:hangingChars="175"/>
        <w:rPr>
          <w:szCs w:val="21"/>
        </w:rPr>
      </w:pPr>
      <w:bookmarkStart w:id="20" w:name="_Toc342559738"/>
      <w:bookmarkStart w:id="21" w:name="_Toc342565895"/>
      <w:r>
        <w:rPr>
          <w:rFonts w:hint="eastAsia"/>
          <w:szCs w:val="21"/>
        </w:rPr>
        <w:t>主营业务分析</w:t>
      </w:r>
      <w:bookmarkEnd w:id="20"/>
      <w:bookmarkEnd w:id="21"/>
    </w:p>
    <w:p>
      <w:pPr>
        <w:pStyle w:val="5"/>
        <w:ind w:left="369"/>
        <w:jc w:val="center"/>
        <w:rPr>
          <w:szCs w:val="21"/>
        </w:rPr>
      </w:pPr>
      <w:r>
        <w:rPr>
          <w:szCs w:val="21"/>
        </w:rPr>
        <w:t>利润表及现金流量表相关科目变动分析表</w:t>
      </w:r>
    </w:p>
    <w:sdt>
      <w:sdtPr>
        <w:rPr>
          <w:rFonts w:hint="eastAsia" w:ascii="宋体" w:hAnsi="宋体" w:cs="宋体"/>
          <w:kern w:val="0"/>
          <w:szCs w:val="21"/>
        </w:rPr>
        <w:alias w:val="模块:利润表及现金流量表相关科目变动分析表"/>
        <w:tag w:val="_SEC_d3972654380a4e478936e14322d23b17"/>
        <w:id w:val="6772606"/>
        <w:lock w:val="sdtLocked"/>
        <w:placeholder>
          <w:docPart w:val="GBC22222222222222222222222222222"/>
        </w:placeholder>
      </w:sdtPr>
      <w:sdtEndPr>
        <w:rPr>
          <w:rFonts w:hint="default" w:ascii="宋体" w:hAnsi="宋体" w:cs="宋体"/>
          <w:kern w:val="0"/>
          <w:szCs w:val="24"/>
        </w:rPr>
      </w:sdtEndPr>
      <w:sdtContent>
        <w:p>
          <w:pPr>
            <w:pStyle w:val="53"/>
            <w:ind w:left="360" w:firstLine="0" w:firstLineChars="0"/>
            <w:jc w:val="right"/>
            <w:rPr>
              <w:rFonts w:ascii="宋体" w:hAnsi="宋体"/>
              <w:szCs w:val="21"/>
            </w:rPr>
          </w:pPr>
          <w:r>
            <w:rPr>
              <w:rFonts w:hint="eastAsia" w:ascii="宋体" w:hAnsi="宋体"/>
              <w:szCs w:val="21"/>
            </w:rPr>
            <w:t>单位</w:t>
          </w:r>
          <w:r>
            <w:rPr>
              <w:rFonts w:ascii="宋体" w:hAnsi="宋体"/>
              <w:szCs w:val="21"/>
            </w:rPr>
            <w:t>:</w:t>
          </w:r>
          <w:sdt>
            <w:sdtPr>
              <w:rPr>
                <w:rFonts w:ascii="宋体" w:hAnsi="宋体"/>
                <w:szCs w:val="21"/>
              </w:rPr>
              <w:alias w:val="单位：利润表及现金流量表相关科目变动分析表"/>
              <w:tag w:val="_GBC_086f87e778654f2f9cb81ec0b3f80425"/>
              <w:id w:val="677259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ascii="宋体" w:hAnsi="宋体"/>
                <w:szCs w:val="21"/>
              </w:rPr>
            </w:sdtEndPr>
            <w:sdtContent>
              <w:r>
                <w:rPr>
                  <w:rFonts w:hint="eastAsia" w:ascii="宋体" w:hAnsi="宋体"/>
                  <w:szCs w:val="21"/>
                </w:rPr>
                <w:t>元</w:t>
              </w:r>
            </w:sdtContent>
          </w:sdt>
          <w:r>
            <w:rPr>
              <w:rFonts w:hint="eastAsia" w:ascii="宋体" w:hAnsi="宋体"/>
              <w:szCs w:val="21"/>
            </w:rPr>
            <w:t xml:space="preserve">  币种</w:t>
          </w:r>
          <w:r>
            <w:rPr>
              <w:rFonts w:ascii="宋体" w:hAnsi="宋体"/>
              <w:szCs w:val="21"/>
            </w:rPr>
            <w:t>:</w:t>
          </w:r>
          <w:sdt>
            <w:sdtPr>
              <w:rPr>
                <w:rFonts w:ascii="宋体" w:hAnsi="宋体"/>
                <w:szCs w:val="21"/>
              </w:rPr>
              <w:alias w:val="币种：利润表及现金流量表相关科目变动分析表"/>
              <w:tag w:val="_GBC_44bd1e9d13394f528af70af3a6f5fee4"/>
              <w:id w:val="67725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ascii="宋体" w:hAnsi="宋体"/>
                <w:szCs w:val="21"/>
              </w:rPr>
            </w:sdtEndPr>
            <w:sdtContent>
              <w:r>
                <w:rPr>
                  <w:rFonts w:hint="eastAsia" w:ascii="宋体" w:hAnsi="宋体"/>
                  <w:szCs w:val="21"/>
                </w:rPr>
                <w:t>人民币</w:t>
              </w:r>
            </w:sdtContent>
          </w:sdt>
        </w:p>
        <w:tbl>
          <w:tblPr>
            <w:tblStyle w:val="8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2001"/>
            <w:gridCol w:w="200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7c57429574b41a38dfc0d8a1f3284ab"/>
                <w:id w:val="6772593"/>
                <w:lock w:val="sdtLocked"/>
              </w:sdtPr>
              <w:sdtContent>
                <w:tc>
                  <w:tcPr>
                    <w:tcW w:w="3074" w:type="dxa"/>
                  </w:tcPr>
                  <w:p>
                    <w:pPr>
                      <w:pStyle w:val="53"/>
                      <w:ind w:firstLine="0" w:firstLineChars="0"/>
                      <w:jc w:val="center"/>
                      <w:rPr>
                        <w:rFonts w:ascii="宋体" w:hAnsi="宋体"/>
                        <w:szCs w:val="21"/>
                      </w:rPr>
                    </w:pPr>
                    <w:r>
                      <w:rPr>
                        <w:rFonts w:hint="eastAsia" w:ascii="宋体" w:hAnsi="宋体"/>
                        <w:szCs w:val="21"/>
                      </w:rPr>
                      <w:t>科目</w:t>
                    </w:r>
                  </w:p>
                </w:tc>
              </w:sdtContent>
            </w:sdt>
            <w:sdt>
              <w:sdtPr>
                <w:tag w:val="_PLD_1f9e6a631fd24a92af8ee7ff46863683"/>
                <w:id w:val="6772594"/>
                <w:lock w:val="sdtLocked"/>
              </w:sdtPr>
              <w:sdtContent>
                <w:tc>
                  <w:tcPr>
                    <w:tcW w:w="2001" w:type="dxa"/>
                    <w:vAlign w:val="center"/>
                  </w:tcPr>
                  <w:p>
                    <w:pPr>
                      <w:pStyle w:val="53"/>
                      <w:ind w:firstLine="0" w:firstLineChars="0"/>
                      <w:jc w:val="center"/>
                      <w:rPr>
                        <w:rFonts w:ascii="宋体" w:hAnsi="宋体"/>
                        <w:szCs w:val="21"/>
                      </w:rPr>
                    </w:pPr>
                    <w:r>
                      <w:rPr>
                        <w:rFonts w:hint="eastAsia" w:ascii="宋体" w:hAnsi="宋体"/>
                        <w:szCs w:val="21"/>
                      </w:rPr>
                      <w:t>本期数</w:t>
                    </w:r>
                  </w:p>
                </w:tc>
              </w:sdtContent>
            </w:sdt>
            <w:sdt>
              <w:sdtPr>
                <w:tag w:val="_PLD_c054d491ce5246ada8b2794492b87309"/>
                <w:id w:val="6772595"/>
                <w:lock w:val="sdtLocked"/>
              </w:sdtPr>
              <w:sdtContent>
                <w:tc>
                  <w:tcPr>
                    <w:tcW w:w="2001" w:type="dxa"/>
                    <w:vAlign w:val="center"/>
                  </w:tcPr>
                  <w:p>
                    <w:pPr>
                      <w:pStyle w:val="53"/>
                      <w:ind w:firstLine="0" w:firstLineChars="0"/>
                      <w:jc w:val="center"/>
                      <w:rPr>
                        <w:rFonts w:ascii="宋体" w:hAnsi="宋体"/>
                        <w:szCs w:val="21"/>
                      </w:rPr>
                    </w:pPr>
                    <w:r>
                      <w:rPr>
                        <w:rFonts w:hint="eastAsia" w:ascii="宋体" w:hAnsi="宋体"/>
                        <w:szCs w:val="21"/>
                      </w:rPr>
                      <w:t>上年同期数</w:t>
                    </w:r>
                  </w:p>
                </w:tc>
              </w:sdtContent>
            </w:sdt>
            <w:sdt>
              <w:sdtPr>
                <w:tag w:val="_PLD_e8b442294eb04ff3a67a171c32bae176"/>
                <w:id w:val="6772596"/>
                <w:lock w:val="sdtLocked"/>
              </w:sdtPr>
              <w:sdtContent>
                <w:tc>
                  <w:tcPr>
                    <w:tcW w:w="1973" w:type="dxa"/>
                    <w:vAlign w:val="center"/>
                  </w:tcPr>
                  <w:p>
                    <w:pPr>
                      <w:pStyle w:val="53"/>
                      <w:ind w:firstLine="0" w:firstLineChars="0"/>
                      <w:jc w:val="center"/>
                      <w:rPr>
                        <w:rFonts w:ascii="宋体" w:hAnsi="宋体"/>
                        <w:szCs w:val="21"/>
                      </w:rPr>
                    </w:pPr>
                    <w:r>
                      <w:rPr>
                        <w:rFonts w:hint="eastAsia" w:ascii="宋体" w:hAnsi="宋体"/>
                        <w:szCs w:val="21"/>
                      </w:rPr>
                      <w:t>变动比例（%）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f4f90a23cfa4c28a1746df26983afbe"/>
                <w:id w:val="6772597"/>
                <w:lock w:val="sdtLocked"/>
              </w:sdtPr>
              <w:sdtContent>
                <w:tc>
                  <w:tcPr>
                    <w:tcW w:w="3074" w:type="dxa"/>
                  </w:tcPr>
                  <w:p>
                    <w:pPr>
                      <w:pStyle w:val="53"/>
                      <w:ind w:firstLine="0" w:firstLineChars="0"/>
                      <w:rPr>
                        <w:rFonts w:ascii="宋体" w:hAnsi="宋体"/>
                        <w:szCs w:val="21"/>
                      </w:rPr>
                    </w:pPr>
                    <w:r>
                      <w:rPr>
                        <w:rFonts w:hint="eastAsia" w:ascii="宋体" w:hAnsi="宋体"/>
                        <w:szCs w:val="21"/>
                      </w:rPr>
                      <w:t>营业收入</w:t>
                    </w:r>
                  </w:p>
                </w:tc>
              </w:sdtContent>
            </w:sdt>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41,557,169,054.26</w:t>
                </w:r>
              </w:p>
            </w:tc>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26,650,401,296.14</w:t>
                </w:r>
              </w:p>
            </w:tc>
            <w:tc>
              <w:tcPr>
                <w:tcW w:w="1973"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55.93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8dce3a30281422c9243484191f83b90"/>
                <w:id w:val="6772598"/>
                <w:lock w:val="sdtLocked"/>
              </w:sdtPr>
              <w:sdtContent>
                <w:tc>
                  <w:tcPr>
                    <w:tcW w:w="3074" w:type="dxa"/>
                  </w:tcPr>
                  <w:p>
                    <w:pPr>
                      <w:pStyle w:val="53"/>
                      <w:ind w:firstLine="0" w:firstLineChars="0"/>
                      <w:rPr>
                        <w:rFonts w:ascii="宋体" w:hAnsi="宋体"/>
                        <w:szCs w:val="21"/>
                      </w:rPr>
                    </w:pPr>
                    <w:r>
                      <w:rPr>
                        <w:rFonts w:ascii="宋体" w:hAnsi="宋体"/>
                        <w:szCs w:val="21"/>
                      </w:rPr>
                      <w:t>营业成本</w:t>
                    </w:r>
                  </w:p>
                </w:tc>
              </w:sdtContent>
            </w:sdt>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37,830,797,693.94</w:t>
                </w:r>
              </w:p>
            </w:tc>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25,235,699,484.82</w:t>
                </w:r>
              </w:p>
            </w:tc>
            <w:tc>
              <w:tcPr>
                <w:tcW w:w="1973"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49.91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10f962936fd486488f0af24885bd656"/>
                <w:id w:val="6772599"/>
                <w:lock w:val="sdtLocked"/>
              </w:sdtPr>
              <w:sdtContent>
                <w:tc>
                  <w:tcPr>
                    <w:tcW w:w="3074" w:type="dxa"/>
                  </w:tcPr>
                  <w:p>
                    <w:pPr>
                      <w:pStyle w:val="53"/>
                      <w:ind w:firstLine="0" w:firstLineChars="0"/>
                      <w:rPr>
                        <w:rFonts w:ascii="宋体" w:hAnsi="宋体"/>
                        <w:szCs w:val="21"/>
                      </w:rPr>
                    </w:pPr>
                    <w:r>
                      <w:rPr>
                        <w:rFonts w:ascii="宋体" w:hAnsi="宋体"/>
                        <w:szCs w:val="21"/>
                      </w:rPr>
                      <w:t>销售费用</w:t>
                    </w:r>
                  </w:p>
                </w:tc>
              </w:sdtContent>
            </w:sdt>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43,146,653.01</w:t>
                </w:r>
              </w:p>
            </w:tc>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40,995,602.72</w:t>
                </w:r>
              </w:p>
            </w:tc>
            <w:tc>
              <w:tcPr>
                <w:tcW w:w="1973"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b955154acd548d2ab752dcaf5f8529f"/>
                <w:id w:val="6772600"/>
                <w:lock w:val="sdtLocked"/>
              </w:sdtPr>
              <w:sdtContent>
                <w:tc>
                  <w:tcPr>
                    <w:tcW w:w="3074" w:type="dxa"/>
                  </w:tcPr>
                  <w:p>
                    <w:pPr>
                      <w:pStyle w:val="53"/>
                      <w:ind w:firstLine="0" w:firstLineChars="0"/>
                      <w:rPr>
                        <w:rFonts w:ascii="宋体" w:hAnsi="宋体"/>
                        <w:szCs w:val="21"/>
                      </w:rPr>
                    </w:pPr>
                    <w:r>
                      <w:rPr>
                        <w:rFonts w:ascii="宋体" w:hAnsi="宋体"/>
                        <w:szCs w:val="21"/>
                      </w:rPr>
                      <w:t>管理费用</w:t>
                    </w:r>
                  </w:p>
                </w:tc>
              </w:sdtContent>
            </w:sdt>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405,066,845.23</w:t>
                </w:r>
              </w:p>
            </w:tc>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350,388,759.46</w:t>
                </w:r>
              </w:p>
            </w:tc>
            <w:tc>
              <w:tcPr>
                <w:tcW w:w="1973"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db72e631077446d848d8958777e14f2"/>
                <w:id w:val="6772601"/>
                <w:lock w:val="sdtLocked"/>
              </w:sdtPr>
              <w:sdtContent>
                <w:tc>
                  <w:tcPr>
                    <w:tcW w:w="3074" w:type="dxa"/>
                  </w:tcPr>
                  <w:p>
                    <w:pPr>
                      <w:pStyle w:val="53"/>
                      <w:ind w:firstLine="0" w:firstLineChars="0"/>
                      <w:rPr>
                        <w:rFonts w:ascii="宋体" w:hAnsi="宋体"/>
                        <w:szCs w:val="21"/>
                      </w:rPr>
                    </w:pPr>
                    <w:r>
                      <w:rPr>
                        <w:rFonts w:ascii="宋体" w:hAnsi="宋体"/>
                        <w:szCs w:val="21"/>
                      </w:rPr>
                      <w:t>财务费用</w:t>
                    </w:r>
                  </w:p>
                </w:tc>
              </w:sdtContent>
            </w:sdt>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119,797,663.72</w:t>
                </w:r>
              </w:p>
            </w:tc>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642,074,245.15</w:t>
                </w:r>
              </w:p>
            </w:tc>
            <w:tc>
              <w:tcPr>
                <w:tcW w:w="1973"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-81.34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690ea81cd58473bb647a2cec78a6804"/>
                <w:id w:val="6772602"/>
                <w:lock w:val="sdtLocked"/>
              </w:sdtPr>
              <w:sdtContent>
                <w:tc>
                  <w:tcPr>
                    <w:tcW w:w="3074" w:type="dxa"/>
                  </w:tcPr>
                  <w:p>
                    <w:pPr>
                      <w:pStyle w:val="53"/>
                      <w:ind w:firstLine="0" w:firstLineChars="0"/>
                      <w:rPr>
                        <w:rFonts w:ascii="宋体" w:hAnsi="宋体"/>
                        <w:szCs w:val="21"/>
                      </w:rPr>
                    </w:pPr>
                    <w:r>
                      <w:rPr>
                        <w:rFonts w:ascii="宋体" w:hAnsi="宋体"/>
                        <w:szCs w:val="21"/>
                      </w:rPr>
                      <w:t>经营活动产生的现金流量净额</w:t>
                    </w:r>
                  </w:p>
                </w:tc>
              </w:sdtContent>
            </w:sdt>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4,612,592,644.16</w:t>
                </w:r>
              </w:p>
            </w:tc>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1,587,920,801.18</w:t>
                </w:r>
              </w:p>
            </w:tc>
            <w:tc>
              <w:tcPr>
                <w:tcW w:w="1973"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190.48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4b06649f8164e5883e357d27933cfed"/>
                <w:id w:val="6772603"/>
                <w:lock w:val="sdtLocked"/>
              </w:sdtPr>
              <w:sdtContent>
                <w:tc>
                  <w:tcPr>
                    <w:tcW w:w="3074" w:type="dxa"/>
                  </w:tcPr>
                  <w:p>
                    <w:pPr>
                      <w:pStyle w:val="53"/>
                      <w:ind w:firstLine="0" w:firstLineChars="0"/>
                      <w:rPr>
                        <w:rFonts w:ascii="宋体" w:hAnsi="宋体"/>
                        <w:szCs w:val="21"/>
                      </w:rPr>
                    </w:pPr>
                    <w:r>
                      <w:rPr>
                        <w:rFonts w:ascii="宋体" w:hAnsi="宋体"/>
                        <w:szCs w:val="21"/>
                      </w:rPr>
                      <w:t>投资活动产生的现金流量净额</w:t>
                    </w:r>
                  </w:p>
                </w:tc>
              </w:sdtContent>
            </w:sdt>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-181,050,752.63</w:t>
                </w:r>
              </w:p>
            </w:tc>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-7,228,506.73</w:t>
                </w:r>
              </w:p>
            </w:tc>
            <w:tc>
              <w:tcPr>
                <w:tcW w:w="1973" w:type="dxa"/>
              </w:tcPr>
              <w:p>
                <w:pPr>
                  <w:widowControl w:val="0"/>
                  <w:jc w:val="right"/>
                  <w:rPr>
                    <w:rFonts w:asciiTheme="minorEastAsia" w:hAnsiTheme="minorEastAsia" w:eastAsiaTheme="minorEastAsia"/>
                    <w:szCs w:val="21"/>
                  </w:rPr>
                </w:pPr>
                <w:r>
                  <w:rPr>
                    <w:rFonts w:asciiTheme="minorEastAsia" w:hAnsiTheme="minorEastAsia" w:eastAsiaTheme="minorEastAsia"/>
                    <w:szCs w:val="21"/>
                  </w:rPr>
                  <w:t>-2,404.68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392739063f54c17b28c564ccdb245d0"/>
                <w:id w:val="6772604"/>
                <w:lock w:val="sdtLocked"/>
              </w:sdtPr>
              <w:sdtContent>
                <w:tc>
                  <w:tcPr>
                    <w:tcW w:w="3074" w:type="dxa"/>
                  </w:tcPr>
                  <w:p>
                    <w:pPr>
                      <w:pStyle w:val="53"/>
                      <w:ind w:firstLine="0" w:firstLineChars="0"/>
                      <w:rPr>
                        <w:rFonts w:ascii="宋体" w:hAnsi="宋体"/>
                        <w:szCs w:val="21"/>
                      </w:rPr>
                    </w:pPr>
                    <w:r>
                      <w:rPr>
                        <w:rFonts w:ascii="宋体" w:hAnsi="宋体"/>
                        <w:szCs w:val="21"/>
                      </w:rPr>
                      <w:t>筹资活动产生的现金流量净额</w:t>
                    </w:r>
                  </w:p>
                </w:tc>
              </w:sdtContent>
            </w:sdt>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-2,634,248,904.16</w:t>
                </w:r>
              </w:p>
            </w:tc>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-4,286,345,168.54</w:t>
                </w:r>
              </w:p>
            </w:tc>
            <w:tc>
              <w:tcPr>
                <w:tcW w:w="1973" w:type="dxa"/>
              </w:tcPr>
              <w:p>
                <w:pPr>
                  <w:widowControl w:val="0"/>
                  <w:jc w:val="righ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3bf822f1f5149cd8e10f08ddfa4d944"/>
                <w:id w:val="6772605"/>
                <w:lock w:val="sdtLocked"/>
              </w:sdtPr>
              <w:sdtContent>
                <w:tc>
                  <w:tcPr>
                    <w:tcW w:w="3074" w:type="dxa"/>
                  </w:tcPr>
                  <w:p>
                    <w:pPr>
                      <w:pStyle w:val="53"/>
                      <w:ind w:firstLine="0" w:firstLineChars="0"/>
                      <w:rPr>
                        <w:rFonts w:ascii="宋体" w:hAnsi="宋体"/>
                        <w:szCs w:val="21"/>
                      </w:rPr>
                    </w:pPr>
                    <w:r>
                      <w:rPr>
                        <w:rFonts w:hint="eastAsia" w:ascii="宋体" w:hAnsi="宋体"/>
                        <w:szCs w:val="21"/>
                      </w:rPr>
                      <w:t>研发支出</w:t>
                    </w:r>
                  </w:p>
                </w:tc>
              </w:sdtContent>
            </w:sdt>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50,786,695.98</w:t>
                </w:r>
              </w:p>
            </w:tc>
            <w:tc>
              <w:tcPr>
                <w:tcW w:w="2001"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53,456,136.99</w:t>
                </w:r>
              </w:p>
            </w:tc>
            <w:tc>
              <w:tcPr>
                <w:tcW w:w="1973" w:type="dxa"/>
              </w:tcPr>
              <w:p>
                <w:pPr>
                  <w:pStyle w:val="53"/>
                  <w:ind w:firstLine="0" w:firstLineChars="0"/>
                  <w:jc w:val="right"/>
                  <w:rPr>
                    <w:rFonts w:asciiTheme="minorEastAsia" w:hAnsiTheme="minorEastAsia" w:eastAsiaTheme="minorEastAsia"/>
                    <w:szCs w:val="21"/>
                  </w:rPr>
                </w:pPr>
                <w:r>
                  <w:rPr>
                    <w:rFonts w:asciiTheme="minorEastAsia" w:hAnsiTheme="minorEastAsia" w:eastAsiaTheme="minorEastAsia"/>
                    <w:szCs w:val="21"/>
                  </w:rPr>
                  <w:t>-4.99</w:t>
                </w:r>
              </w:p>
            </w:tc>
          </w:tr>
        </w:tbl>
        <w:p/>
      </w:sdtContent>
    </w:sdt>
    <w:p>
      <w:pPr>
        <w:pStyle w:val="53"/>
        <w:ind w:left="360" w:firstLine="0" w:firstLineChars="0"/>
        <w:jc w:val="right"/>
        <w:rPr>
          <w:szCs w:val="21"/>
        </w:rPr>
      </w:pPr>
    </w:p>
    <w:sdt>
      <w:sdtPr>
        <w:rPr>
          <w:rFonts w:hint="eastAsia" w:ascii="宋体" w:hAnsi="宋体" w:cs="宋体"/>
          <w:b w:val="0"/>
          <w:bCs w:val="0"/>
          <w:kern w:val="0"/>
          <w:szCs w:val="21"/>
        </w:rPr>
        <w:alias w:val="模块:收入和成本分析"/>
        <w:tag w:val="_SEC_eabe373ea4a44068936322286f1ec6fe"/>
        <w:id w:val="6772609"/>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10"/>
            </w:numPr>
            <w:tabs>
              <w:tab w:val="left" w:pos="851"/>
            </w:tabs>
            <w:rPr>
              <w:szCs w:val="21"/>
            </w:rPr>
          </w:pPr>
          <w:r>
            <w:rPr>
              <w:rFonts w:hint="eastAsia"/>
              <w:szCs w:val="21"/>
            </w:rPr>
            <w:t>收入和成本分析</w:t>
          </w:r>
        </w:p>
        <w:sdt>
          <w:sdtPr>
            <w:alias w:val="是否适用：收入和成本分析[双击切换]"/>
            <w:tag w:val="_GBC_c1a771ff956341da84dd26322335800f"/>
            <w:id w:val="677260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收入和成本分析情况说明"/>
            <w:tag w:val="_GBC_131edb1aaeab4cb388abf65651cf901e"/>
            <w:id w:val="6772608"/>
            <w:lock w:val="sdtLocked"/>
            <w:placeholder>
              <w:docPart w:val="GBC22222222222222222222222222222"/>
            </w:placeholder>
          </w:sdtPr>
          <w:sdtEndPr>
            <w:rPr>
              <w:rFonts w:hint="eastAsia"/>
            </w:rPr>
          </w:sdtEndPr>
          <w:sdtContent>
            <w:p>
              <w:pPr>
                <w:tabs>
                  <w:tab w:val="left" w:pos="851"/>
                </w:tabs>
              </w:pPr>
              <w:r>
                <w:rPr>
                  <w:rFonts w:hint="eastAsia"/>
                </w:rPr>
                <w:t>本报告期公司营业收入415.57</w:t>
              </w:r>
              <w:r>
                <w:t>亿元，同比增长</w:t>
              </w:r>
              <w:r>
                <w:rPr>
                  <w:rFonts w:hint="eastAsia"/>
                </w:rPr>
                <w:t>55.93</w:t>
              </w:r>
              <w:r>
                <w:t>％，主要是</w:t>
              </w:r>
              <w:r>
                <w:rPr>
                  <w:rFonts w:hint="eastAsia"/>
                </w:rPr>
                <w:t>受国家环保、去产能政策的持续影响，</w:t>
              </w:r>
              <w:r>
                <w:t>2017年钢铁行业供给侧结构性改革的成效开始显现，特别是全面取缔“地条钢”，使市场竞争回归良性，钢材价格呈现持续回升势头；营业成本</w:t>
              </w:r>
              <w:r>
                <w:rPr>
                  <w:rFonts w:hint="eastAsia"/>
                </w:rPr>
                <w:t>378.31</w:t>
              </w:r>
              <w:r>
                <w:t>亿元，同比增长</w:t>
              </w:r>
              <w:r>
                <w:rPr>
                  <w:rFonts w:hint="eastAsia"/>
                </w:rPr>
                <w:t>49.91</w:t>
              </w:r>
              <w:r>
                <w:t>％，主要是公司通过实施低成本战略，加强自主研发创新以及优化内部管理流程等多渠道降本增效取得较好成果。</w:t>
              </w:r>
            </w:p>
          </w:sdtContent>
        </w:sdt>
      </w:sdtContent>
    </w:sdt>
    <w:p>
      <w:pPr>
        <w:tabs>
          <w:tab w:val="left" w:pos="851"/>
        </w:tabs>
      </w:pPr>
      <w:r>
        <w:tab/>
      </w:r>
    </w:p>
    <w:sdt>
      <w:sdtPr>
        <w:rPr>
          <w:rFonts w:hint="eastAsia" w:ascii="宋体" w:hAnsi="宋体" w:cs="宋体"/>
          <w:b w:val="0"/>
          <w:bCs w:val="0"/>
          <w:kern w:val="0"/>
          <w:szCs w:val="24"/>
        </w:rPr>
        <w:alias w:val="模块:主营业务分行业、分产品、分地区情况"/>
        <w:tag w:val="_SEC_aa7718c852e84d458e04e912c587a7da"/>
        <w:id w:val="6772652"/>
        <w:lock w:val="sdtLocked"/>
        <w:placeholder>
          <w:docPart w:val="GBC22222222222222222222222222222"/>
        </w:placeholder>
      </w:sdtPr>
      <w:sdtEndPr>
        <w:rPr>
          <w:rFonts w:hint="eastAsia" w:ascii="宋体" w:hAnsi="宋体" w:cs="宋体"/>
          <w:b w:val="0"/>
          <w:bCs w:val="0"/>
          <w:kern w:val="0"/>
          <w:szCs w:val="24"/>
        </w:rPr>
      </w:sdtEndPr>
      <w:sdtContent>
        <w:p>
          <w:pPr>
            <w:pStyle w:val="6"/>
            <w:numPr>
              <w:ilvl w:val="0"/>
              <w:numId w:val="11"/>
            </w:numPr>
            <w:tabs>
              <w:tab w:val="left" w:pos="567"/>
            </w:tabs>
            <w:ind w:left="0" w:firstLine="0"/>
          </w:pPr>
          <w:bookmarkStart w:id="22" w:name="_Toc342559756"/>
          <w:bookmarkStart w:id="23" w:name="_Toc342565904"/>
          <w:bookmarkStart w:id="24" w:name="_Toc340829716"/>
          <w:r>
            <w:t>主营业务</w:t>
          </w:r>
          <w:r>
            <w:rPr>
              <w:rFonts w:hint="eastAsia"/>
            </w:rPr>
            <w:t>分</w:t>
          </w:r>
          <w:r>
            <w:t>行业</w:t>
          </w:r>
          <w:r>
            <w:rPr>
              <w:rFonts w:hint="eastAsia"/>
            </w:rPr>
            <w:t>、分</w:t>
          </w:r>
          <w:r>
            <w:t>产品</w:t>
          </w:r>
          <w:r>
            <w:rPr>
              <w:rFonts w:hint="eastAsia"/>
            </w:rPr>
            <w:t>、分地区情况</w:t>
          </w:r>
          <w:bookmarkEnd w:id="22"/>
          <w:bookmarkEnd w:id="23"/>
          <w:bookmarkEnd w:id="24"/>
        </w:p>
        <w:p>
          <w:pPr>
            <w:jc w:val="right"/>
            <w:rPr>
              <w:szCs w:val="21"/>
            </w:rPr>
          </w:pPr>
          <w:r>
            <w:rPr>
              <w:rFonts w:hint="eastAsia"/>
              <w:szCs w:val="21"/>
            </w:rPr>
            <w:t>单位</w:t>
          </w:r>
          <w:r>
            <w:rPr>
              <w:szCs w:val="21"/>
            </w:rPr>
            <w:t>:</w:t>
          </w:r>
          <w:sdt>
            <w:sdtPr>
              <w:rPr>
                <w:szCs w:val="21"/>
              </w:rPr>
              <w:alias w:val="单位：主营业务分行业、分产品情况表"/>
              <w:tag w:val="_GBC_f77c8e6b92b44adf9014b95a44af704b"/>
              <w:id w:val="67726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szCs w:val="21"/>
              </w:rPr>
            </w:sdtEndPr>
            <w:sdtContent>
              <w:r>
                <w:rPr>
                  <w:rFonts w:hint="eastAsia"/>
                  <w:szCs w:val="21"/>
                </w:rPr>
                <w:t>元</w:t>
              </w:r>
            </w:sdtContent>
          </w:sdt>
          <w:r>
            <w:rPr>
              <w:rFonts w:hint="eastAsia"/>
              <w:szCs w:val="21"/>
            </w:rPr>
            <w:t xml:space="preserve">  币种</w:t>
          </w:r>
          <w:r>
            <w:rPr>
              <w:szCs w:val="21"/>
            </w:rPr>
            <w:t>:</w:t>
          </w:r>
          <w:sdt>
            <w:sdtPr>
              <w:rPr>
                <w:szCs w:val="21"/>
              </w:rPr>
              <w:alias w:val="币种：主营业务分行业、分产品情况表"/>
              <w:tag w:val="_GBC_3341f58078504155bf0c18cadb3b7f9d"/>
              <w:id w:val="67726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szCs w:val="21"/>
              </w:rPr>
            </w:sdtEndPr>
            <w:sdtContent>
              <w:r>
                <w:rPr>
                  <w:rFonts w:hint="eastAsia"/>
                  <w:szCs w:val="21"/>
                </w:rPr>
                <w:t>人民币</w:t>
              </w:r>
            </w:sdtContent>
          </w:sdt>
        </w:p>
        <w:tbl>
          <w:tblPr>
            <w:tblStyle w:val="8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002"/>
            <w:gridCol w:w="2002"/>
            <w:gridCol w:w="1010"/>
            <w:gridCol w:w="1010"/>
            <w:gridCol w:w="1010"/>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5033a4d190942bd99650d59a8d741f9"/>
                <w:id w:val="6772612"/>
                <w:lock w:val="sdtLocked"/>
              </w:sdtPr>
              <w:sdtContent>
                <w:tc>
                  <w:tcPr>
                    <w:tcW w:w="9049" w:type="dxa"/>
                    <w:gridSpan w:val="7"/>
                    <w:vAlign w:val="center"/>
                  </w:tcPr>
                  <w:p>
                    <w:pPr>
                      <w:widowControl w:val="0"/>
                      <w:jc w:val="center"/>
                      <w:rPr>
                        <w:szCs w:val="21"/>
                      </w:rPr>
                    </w:pPr>
                    <w:r>
                      <w:rPr>
                        <w:rFonts w:hint="eastAsia"/>
                        <w:szCs w:val="21"/>
                      </w:rPr>
                      <w:t>主营业务分行业情况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rPr>
                  <w:rFonts w:ascii="Times New Roman" w:hAnsi="Times New Roman"/>
                  <w:sz w:val="18"/>
                  <w:szCs w:val="18"/>
                </w:rPr>
                <w:tag w:val="_PLD_ab888f46a9d64f09b94dccfab854ad45"/>
                <w:id w:val="6772613"/>
                <w:lock w:val="sdtLocked"/>
              </w:sdtPr>
              <w:sdtEndPr>
                <w:rPr>
                  <w:rFonts w:ascii="Times New Roman" w:hAnsi="Times New Roman"/>
                  <w:sz w:val="18"/>
                  <w:szCs w:val="18"/>
                </w:rPr>
              </w:sdtEndPr>
              <w:sdtContent>
                <w:tc>
                  <w:tcPr>
                    <w:tcW w:w="1011" w:type="dxa"/>
                    <w:vAlign w:val="center"/>
                  </w:tcPr>
                  <w:p>
                    <w:pPr>
                      <w:widowControl w:val="0"/>
                      <w:jc w:val="center"/>
                      <w:rPr>
                        <w:sz w:val="18"/>
                        <w:szCs w:val="18"/>
                      </w:rPr>
                    </w:pPr>
                    <w:r>
                      <w:rPr>
                        <w:sz w:val="18"/>
                        <w:szCs w:val="18"/>
                      </w:rPr>
                      <w:t>分行业</w:t>
                    </w:r>
                  </w:p>
                </w:tc>
              </w:sdtContent>
            </w:sdt>
            <w:sdt>
              <w:sdtPr>
                <w:rPr>
                  <w:rFonts w:ascii="Times New Roman" w:hAnsi="Times New Roman"/>
                  <w:sz w:val="18"/>
                  <w:szCs w:val="18"/>
                </w:rPr>
                <w:tag w:val="_PLD_7fe8bd490c23482eac6c726b40c3125c"/>
                <w:id w:val="6772614"/>
                <w:lock w:val="sdtLocked"/>
              </w:sdtPr>
              <w:sdtEndPr>
                <w:rPr>
                  <w:rFonts w:ascii="Times New Roman" w:hAnsi="Times New Roman"/>
                  <w:sz w:val="18"/>
                  <w:szCs w:val="18"/>
                </w:rPr>
              </w:sdtEndPr>
              <w:sdtContent>
                <w:tc>
                  <w:tcPr>
                    <w:tcW w:w="2002" w:type="dxa"/>
                    <w:vAlign w:val="center"/>
                  </w:tcPr>
                  <w:p>
                    <w:pPr>
                      <w:widowControl w:val="0"/>
                      <w:jc w:val="center"/>
                      <w:rPr>
                        <w:sz w:val="18"/>
                        <w:szCs w:val="18"/>
                      </w:rPr>
                    </w:pPr>
                    <w:r>
                      <w:rPr>
                        <w:sz w:val="18"/>
                        <w:szCs w:val="18"/>
                      </w:rPr>
                      <w:t>营业收入</w:t>
                    </w:r>
                  </w:p>
                </w:tc>
              </w:sdtContent>
            </w:sdt>
            <w:sdt>
              <w:sdtPr>
                <w:rPr>
                  <w:rFonts w:ascii="Times New Roman" w:hAnsi="Times New Roman"/>
                  <w:sz w:val="18"/>
                  <w:szCs w:val="18"/>
                </w:rPr>
                <w:tag w:val="_PLD_43ea5bcd646542838f56af8b6a2863cb"/>
                <w:id w:val="6772615"/>
                <w:lock w:val="sdtLocked"/>
              </w:sdtPr>
              <w:sdtEndPr>
                <w:rPr>
                  <w:rFonts w:ascii="Times New Roman" w:hAnsi="Times New Roman"/>
                  <w:sz w:val="18"/>
                  <w:szCs w:val="18"/>
                </w:rPr>
              </w:sdtEndPr>
              <w:sdtContent>
                <w:tc>
                  <w:tcPr>
                    <w:tcW w:w="2002" w:type="dxa"/>
                    <w:vAlign w:val="center"/>
                  </w:tcPr>
                  <w:p>
                    <w:pPr>
                      <w:widowControl w:val="0"/>
                      <w:jc w:val="center"/>
                      <w:rPr>
                        <w:sz w:val="18"/>
                        <w:szCs w:val="18"/>
                      </w:rPr>
                    </w:pPr>
                    <w:r>
                      <w:rPr>
                        <w:sz w:val="18"/>
                        <w:szCs w:val="18"/>
                      </w:rPr>
                      <w:t>营业成本</w:t>
                    </w:r>
                  </w:p>
                </w:tc>
              </w:sdtContent>
            </w:sdt>
            <w:sdt>
              <w:sdtPr>
                <w:rPr>
                  <w:rFonts w:ascii="Times New Roman" w:hAnsi="Times New Roman"/>
                  <w:sz w:val="18"/>
                  <w:szCs w:val="18"/>
                </w:rPr>
                <w:tag w:val="_PLD_2beea8e29ca14ce68ca930225f6b78ba"/>
                <w:id w:val="6772616"/>
                <w:lock w:val="sdtLocked"/>
              </w:sdtPr>
              <w:sdtEndPr>
                <w:rPr>
                  <w:rFonts w:ascii="Times New Roman" w:hAnsi="Times New Roman"/>
                  <w:sz w:val="18"/>
                  <w:szCs w:val="18"/>
                </w:rPr>
              </w:sdtEndPr>
              <w:sdtContent>
                <w:tc>
                  <w:tcPr>
                    <w:tcW w:w="1010" w:type="dxa"/>
                    <w:vAlign w:val="center"/>
                  </w:tcPr>
                  <w:p>
                    <w:pPr>
                      <w:widowControl w:val="0"/>
                      <w:jc w:val="center"/>
                      <w:rPr>
                        <w:sz w:val="18"/>
                        <w:szCs w:val="18"/>
                      </w:rPr>
                    </w:pPr>
                    <w:r>
                      <w:rPr>
                        <w:rFonts w:hint="eastAsia"/>
                        <w:sz w:val="18"/>
                        <w:szCs w:val="18"/>
                      </w:rPr>
                      <w:t>毛利率</w:t>
                    </w:r>
                    <w:r>
                      <w:rPr>
                        <w:sz w:val="18"/>
                        <w:szCs w:val="18"/>
                      </w:rPr>
                      <w:t>（</w:t>
                    </w:r>
                    <w:r>
                      <w:rPr>
                        <w:rFonts w:hint="eastAsia"/>
                        <w:sz w:val="18"/>
                        <w:szCs w:val="18"/>
                      </w:rPr>
                      <w:t>%</w:t>
                    </w:r>
                    <w:r>
                      <w:rPr>
                        <w:sz w:val="18"/>
                        <w:szCs w:val="18"/>
                      </w:rPr>
                      <w:t>）</w:t>
                    </w:r>
                  </w:p>
                </w:tc>
              </w:sdtContent>
            </w:sdt>
            <w:sdt>
              <w:sdtPr>
                <w:rPr>
                  <w:rFonts w:ascii="Times New Roman" w:hAnsi="Times New Roman"/>
                  <w:sz w:val="18"/>
                  <w:szCs w:val="18"/>
                </w:rPr>
                <w:tag w:val="_PLD_f9dadced328346f0b76bc97b709dc071"/>
                <w:id w:val="6772617"/>
                <w:lock w:val="sdtLocked"/>
              </w:sdtPr>
              <w:sdtEndPr>
                <w:rPr>
                  <w:rFonts w:ascii="Times New Roman" w:hAnsi="Times New Roman"/>
                  <w:sz w:val="18"/>
                  <w:szCs w:val="18"/>
                </w:rPr>
              </w:sdtEndPr>
              <w:sdtContent>
                <w:tc>
                  <w:tcPr>
                    <w:tcW w:w="1010" w:type="dxa"/>
                    <w:vAlign w:val="center"/>
                  </w:tcPr>
                  <w:p>
                    <w:pPr>
                      <w:widowControl w:val="0"/>
                      <w:jc w:val="center"/>
                      <w:rPr>
                        <w:sz w:val="18"/>
                        <w:szCs w:val="18"/>
                      </w:rPr>
                    </w:pPr>
                    <w:r>
                      <w:rPr>
                        <w:sz w:val="18"/>
                        <w:szCs w:val="18"/>
                      </w:rPr>
                      <w:t>营业收入比上年增减（</w:t>
                    </w:r>
                    <w:r>
                      <w:rPr>
                        <w:rFonts w:hint="eastAsia"/>
                        <w:sz w:val="18"/>
                        <w:szCs w:val="18"/>
                      </w:rPr>
                      <w:t>%</w:t>
                    </w:r>
                    <w:r>
                      <w:rPr>
                        <w:sz w:val="18"/>
                        <w:szCs w:val="18"/>
                      </w:rPr>
                      <w:t>）</w:t>
                    </w:r>
                  </w:p>
                </w:tc>
              </w:sdtContent>
            </w:sdt>
            <w:sdt>
              <w:sdtPr>
                <w:rPr>
                  <w:rFonts w:ascii="Times New Roman" w:hAnsi="Times New Roman"/>
                  <w:sz w:val="18"/>
                  <w:szCs w:val="18"/>
                </w:rPr>
                <w:tag w:val="_PLD_c02171812b4a4964854b289e6b6282d1"/>
                <w:id w:val="6772618"/>
                <w:lock w:val="sdtLocked"/>
              </w:sdtPr>
              <w:sdtEndPr>
                <w:rPr>
                  <w:rFonts w:ascii="Times New Roman" w:hAnsi="Times New Roman"/>
                  <w:sz w:val="18"/>
                  <w:szCs w:val="18"/>
                </w:rPr>
              </w:sdtEndPr>
              <w:sdtContent>
                <w:tc>
                  <w:tcPr>
                    <w:tcW w:w="1010" w:type="dxa"/>
                    <w:vAlign w:val="center"/>
                  </w:tcPr>
                  <w:p>
                    <w:pPr>
                      <w:widowControl w:val="0"/>
                      <w:jc w:val="center"/>
                      <w:rPr>
                        <w:sz w:val="18"/>
                        <w:szCs w:val="18"/>
                      </w:rPr>
                    </w:pPr>
                    <w:r>
                      <w:rPr>
                        <w:sz w:val="18"/>
                        <w:szCs w:val="18"/>
                      </w:rPr>
                      <w:t>营业成本比上年增减（</w:t>
                    </w:r>
                    <w:r>
                      <w:rPr>
                        <w:rFonts w:hint="eastAsia"/>
                        <w:sz w:val="18"/>
                        <w:szCs w:val="18"/>
                      </w:rPr>
                      <w:t>%</w:t>
                    </w:r>
                    <w:r>
                      <w:rPr>
                        <w:sz w:val="18"/>
                        <w:szCs w:val="18"/>
                      </w:rPr>
                      <w:t>）</w:t>
                    </w:r>
                  </w:p>
                </w:tc>
              </w:sdtContent>
            </w:sdt>
            <w:sdt>
              <w:sdtPr>
                <w:rPr>
                  <w:rFonts w:ascii="Times New Roman" w:hAnsi="Times New Roman"/>
                  <w:sz w:val="18"/>
                  <w:szCs w:val="18"/>
                </w:rPr>
                <w:tag w:val="_PLD_6ec6853f40254c1e8badc94bd41729ab"/>
                <w:id w:val="6772619"/>
                <w:lock w:val="sdtLocked"/>
              </w:sdtPr>
              <w:sdtEndPr>
                <w:rPr>
                  <w:rFonts w:ascii="Times New Roman" w:hAnsi="Times New Roman"/>
                  <w:sz w:val="18"/>
                  <w:szCs w:val="18"/>
                </w:rPr>
              </w:sdtEndPr>
              <w:sdtContent>
                <w:tc>
                  <w:tcPr>
                    <w:tcW w:w="1004" w:type="dxa"/>
                    <w:vAlign w:val="center"/>
                  </w:tcPr>
                  <w:p>
                    <w:pPr>
                      <w:widowControl w:val="0"/>
                      <w:jc w:val="center"/>
                      <w:rPr>
                        <w:sz w:val="18"/>
                        <w:szCs w:val="18"/>
                      </w:rPr>
                    </w:pPr>
                    <w:r>
                      <w:rPr>
                        <w:rFonts w:hint="eastAsia"/>
                        <w:sz w:val="18"/>
                        <w:szCs w:val="18"/>
                      </w:rPr>
                      <w:t>毛利率</w:t>
                    </w:r>
                    <w:r>
                      <w:rPr>
                        <w:sz w:val="18"/>
                        <w:szCs w:val="18"/>
                      </w:rPr>
                      <w:t>比上年增减（</w:t>
                    </w:r>
                    <w:r>
                      <w:rPr>
                        <w:rFonts w:hint="eastAsia"/>
                        <w:sz w:val="18"/>
                        <w:szCs w:val="18"/>
                      </w:rPr>
                      <w:t>%</w:t>
                    </w:r>
                    <w:r>
                      <w:rPr>
                        <w:sz w:val="18"/>
                        <w:szCs w:val="18"/>
                      </w:rPr>
                      <w:t>）</w:t>
                    </w:r>
                  </w:p>
                </w:tc>
              </w:sdtContent>
            </w:sdt>
          </w:tr>
          <w:sdt>
            <w:sdtPr>
              <w:rPr>
                <w:rFonts w:ascii="宋体" w:hAnsi="宋体" w:cs="宋体" w:eastAsiaTheme="minorEastAsia"/>
                <w:kern w:val="0"/>
                <w:sz w:val="18"/>
                <w:szCs w:val="18"/>
              </w:rPr>
              <w:alias w:val="董事会报告出具的分行业主营业务"/>
              <w:tag w:val="_TUP_fab3da88965048348763b19310ce503d"/>
              <w:id w:val="6772620"/>
              <w:lock w:val="sdtLocked"/>
            </w:sdtPr>
            <w:sdtEndPr>
              <w:rPr>
                <w:rFonts w:ascii="宋体" w:hAnsi="宋体" w:cs="宋体" w:eastAsiaTheme="minorEastAsia"/>
                <w:color w:val="008000"/>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pStyle w:val="53"/>
                      <w:ind w:firstLine="0" w:firstLineChars="0"/>
                      <w:jc w:val="center"/>
                      <w:rPr>
                        <w:rFonts w:ascii="宋体" w:hAnsi="宋体" w:cs="宋体"/>
                        <w:sz w:val="18"/>
                        <w:szCs w:val="18"/>
                      </w:rPr>
                    </w:pPr>
                    <w:r>
                      <w:rPr>
                        <w:sz w:val="18"/>
                        <w:szCs w:val="18"/>
                      </w:rPr>
                      <w:t>冶金行业</w:t>
                    </w:r>
                  </w:p>
                </w:tc>
                <w:tc>
                  <w:tcPr>
                    <w:tcW w:w="2002" w:type="dxa"/>
                    <w:vAlign w:val="center"/>
                  </w:tcPr>
                  <w:p>
                    <w:pPr>
                      <w:widowControl w:val="0"/>
                      <w:jc w:val="right"/>
                      <w:rPr>
                        <w:sz w:val="18"/>
                        <w:szCs w:val="18"/>
                      </w:rPr>
                    </w:pPr>
                    <w:r>
                      <w:rPr>
                        <w:sz w:val="18"/>
                        <w:szCs w:val="18"/>
                      </w:rPr>
                      <w:t>38,870,013,062.78</w:t>
                    </w:r>
                  </w:p>
                </w:tc>
                <w:tc>
                  <w:tcPr>
                    <w:tcW w:w="2002" w:type="dxa"/>
                    <w:vAlign w:val="center"/>
                  </w:tcPr>
                  <w:p>
                    <w:pPr>
                      <w:widowControl w:val="0"/>
                      <w:jc w:val="right"/>
                      <w:rPr>
                        <w:sz w:val="18"/>
                        <w:szCs w:val="18"/>
                      </w:rPr>
                    </w:pPr>
                    <w:r>
                      <w:rPr>
                        <w:sz w:val="18"/>
                        <w:szCs w:val="18"/>
                      </w:rPr>
                      <w:t>35,408,353,889.23</w:t>
                    </w:r>
                  </w:p>
                </w:tc>
                <w:tc>
                  <w:tcPr>
                    <w:tcW w:w="1010" w:type="dxa"/>
                    <w:vAlign w:val="center"/>
                  </w:tcPr>
                  <w:p>
                    <w:pPr>
                      <w:widowControl w:val="0"/>
                      <w:jc w:val="right"/>
                      <w:rPr>
                        <w:sz w:val="18"/>
                        <w:szCs w:val="18"/>
                      </w:rPr>
                    </w:pPr>
                    <w:r>
                      <w:rPr>
                        <w:sz w:val="18"/>
                        <w:szCs w:val="18"/>
                      </w:rPr>
                      <w:t>8.91</w:t>
                    </w:r>
                  </w:p>
                </w:tc>
                <w:tc>
                  <w:tcPr>
                    <w:tcW w:w="1010" w:type="dxa"/>
                    <w:vAlign w:val="center"/>
                  </w:tcPr>
                  <w:p>
                    <w:pPr>
                      <w:widowControl w:val="0"/>
                      <w:jc w:val="right"/>
                      <w:rPr>
                        <w:sz w:val="18"/>
                        <w:szCs w:val="18"/>
                      </w:rPr>
                    </w:pPr>
                    <w:r>
                      <w:rPr>
                        <w:sz w:val="18"/>
                        <w:szCs w:val="18"/>
                      </w:rPr>
                      <w:t>60.56</w:t>
                    </w:r>
                  </w:p>
                </w:tc>
                <w:tc>
                  <w:tcPr>
                    <w:tcW w:w="1010" w:type="dxa"/>
                    <w:vAlign w:val="center"/>
                  </w:tcPr>
                  <w:p>
                    <w:pPr>
                      <w:widowControl w:val="0"/>
                      <w:jc w:val="right"/>
                      <w:rPr>
                        <w:sz w:val="18"/>
                        <w:szCs w:val="18"/>
                      </w:rPr>
                    </w:pPr>
                    <w:r>
                      <w:rPr>
                        <w:sz w:val="18"/>
                        <w:szCs w:val="18"/>
                      </w:rPr>
                      <w:t>53.25</w:t>
                    </w:r>
                  </w:p>
                </w:tc>
                <w:tc>
                  <w:tcPr>
                    <w:tcW w:w="1004" w:type="dxa"/>
                  </w:tcPr>
                  <w:p>
                    <w:pPr>
                      <w:widowControl w:val="0"/>
                      <w:jc w:val="right"/>
                      <w:rPr>
                        <w:sz w:val="18"/>
                        <w:szCs w:val="18"/>
                      </w:rPr>
                    </w:pPr>
                    <w:r>
                      <w:rPr>
                        <w:rFonts w:hint="eastAsia"/>
                        <w:sz w:val="18"/>
                        <w:szCs w:val="18"/>
                      </w:rPr>
                      <w:t>增加</w:t>
                    </w:r>
                    <w:r>
                      <w:rPr>
                        <w:sz w:val="18"/>
                        <w:szCs w:val="18"/>
                      </w:rPr>
                      <w:t>4.35个百分点</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9258193d94b4f5fa47e482cd615784f"/>
                <w:id w:val="6772621"/>
                <w:lock w:val="sdtLocked"/>
              </w:sdtPr>
              <w:sdtContent>
                <w:tc>
                  <w:tcPr>
                    <w:tcW w:w="9049" w:type="dxa"/>
                    <w:gridSpan w:val="7"/>
                    <w:vAlign w:val="center"/>
                  </w:tcPr>
                  <w:p>
                    <w:pPr>
                      <w:widowControl w:val="0"/>
                      <w:jc w:val="center"/>
                      <w:rPr>
                        <w:szCs w:val="21"/>
                      </w:rPr>
                    </w:pPr>
                    <w:r>
                      <w:rPr>
                        <w:rFonts w:hint="eastAsia"/>
                        <w:szCs w:val="21"/>
                      </w:rPr>
                      <w:t>主营业务分产品情况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1d72749a5d4248359cb1b92e381ef722"/>
                <w:id w:val="6772622"/>
                <w:lock w:val="sdtLocked"/>
              </w:sdtPr>
              <w:sdtEndPr>
                <w:rPr>
                  <w:rFonts w:ascii="Times New Roman" w:hAnsi="Times New Roman"/>
                  <w:sz w:val="18"/>
                  <w:szCs w:val="18"/>
                </w:rPr>
              </w:sdtEndPr>
              <w:sdtContent>
                <w:tc>
                  <w:tcPr>
                    <w:tcW w:w="1011" w:type="dxa"/>
                    <w:vAlign w:val="center"/>
                  </w:tcPr>
                  <w:p>
                    <w:pPr>
                      <w:pStyle w:val="53"/>
                      <w:ind w:firstLine="0" w:firstLineChars="0"/>
                      <w:jc w:val="center"/>
                      <w:rPr>
                        <w:sz w:val="18"/>
                        <w:szCs w:val="18"/>
                      </w:rPr>
                    </w:pPr>
                    <w:r>
                      <w:rPr>
                        <w:rFonts w:hint="eastAsia"/>
                        <w:sz w:val="18"/>
                        <w:szCs w:val="18"/>
                      </w:rPr>
                      <w:t>分产品</w:t>
                    </w:r>
                  </w:p>
                </w:tc>
              </w:sdtContent>
            </w:sdt>
            <w:sdt>
              <w:sdtPr>
                <w:rPr>
                  <w:rFonts w:ascii="Times New Roman" w:hAnsi="Times New Roman"/>
                  <w:sz w:val="18"/>
                  <w:szCs w:val="18"/>
                </w:rPr>
                <w:tag w:val="_PLD_5e318ae25ee540258ffd6821c201e0af"/>
                <w:id w:val="6772623"/>
                <w:lock w:val="sdtLocked"/>
              </w:sdtPr>
              <w:sdtEndPr>
                <w:rPr>
                  <w:rFonts w:ascii="Times New Roman" w:hAnsi="Times New Roman"/>
                  <w:sz w:val="18"/>
                  <w:szCs w:val="18"/>
                </w:rPr>
              </w:sdtEndPr>
              <w:sdtContent>
                <w:tc>
                  <w:tcPr>
                    <w:tcW w:w="2002" w:type="dxa"/>
                    <w:vAlign w:val="center"/>
                  </w:tcPr>
                  <w:p>
                    <w:pPr>
                      <w:widowControl w:val="0"/>
                      <w:jc w:val="center"/>
                      <w:rPr>
                        <w:sz w:val="18"/>
                        <w:szCs w:val="18"/>
                      </w:rPr>
                    </w:pPr>
                    <w:r>
                      <w:rPr>
                        <w:rFonts w:hint="eastAsia"/>
                        <w:sz w:val="18"/>
                        <w:szCs w:val="18"/>
                      </w:rPr>
                      <w:t>营业收入</w:t>
                    </w:r>
                  </w:p>
                </w:tc>
              </w:sdtContent>
            </w:sdt>
            <w:sdt>
              <w:sdtPr>
                <w:rPr>
                  <w:rFonts w:ascii="Times New Roman" w:hAnsi="Times New Roman"/>
                  <w:sz w:val="18"/>
                  <w:szCs w:val="18"/>
                </w:rPr>
                <w:tag w:val="_PLD_d7023b8e0b18494eaae569b7bcd4781f"/>
                <w:id w:val="6772624"/>
                <w:lock w:val="sdtLocked"/>
              </w:sdtPr>
              <w:sdtEndPr>
                <w:rPr>
                  <w:rFonts w:ascii="Times New Roman" w:hAnsi="Times New Roman"/>
                  <w:sz w:val="18"/>
                  <w:szCs w:val="18"/>
                </w:rPr>
              </w:sdtEndPr>
              <w:sdtContent>
                <w:tc>
                  <w:tcPr>
                    <w:tcW w:w="2002" w:type="dxa"/>
                    <w:vAlign w:val="center"/>
                  </w:tcPr>
                  <w:p>
                    <w:pPr>
                      <w:widowControl w:val="0"/>
                      <w:jc w:val="center"/>
                      <w:rPr>
                        <w:sz w:val="18"/>
                        <w:szCs w:val="18"/>
                      </w:rPr>
                    </w:pPr>
                    <w:r>
                      <w:rPr>
                        <w:rFonts w:hint="eastAsia"/>
                        <w:sz w:val="18"/>
                        <w:szCs w:val="18"/>
                      </w:rPr>
                      <w:t>营业成本</w:t>
                    </w:r>
                  </w:p>
                </w:tc>
              </w:sdtContent>
            </w:sdt>
            <w:sdt>
              <w:sdtPr>
                <w:rPr>
                  <w:rFonts w:ascii="Times New Roman" w:hAnsi="Times New Roman"/>
                  <w:sz w:val="18"/>
                  <w:szCs w:val="18"/>
                </w:rPr>
                <w:tag w:val="_PLD_c7e7c31f672744488b53ec34a4e0abde"/>
                <w:id w:val="6772625"/>
                <w:lock w:val="sdtLocked"/>
              </w:sdtPr>
              <w:sdtEndPr>
                <w:rPr>
                  <w:rFonts w:ascii="Times New Roman" w:hAnsi="Times New Roman"/>
                  <w:sz w:val="18"/>
                  <w:szCs w:val="18"/>
                </w:rPr>
              </w:sdtEndPr>
              <w:sdtContent>
                <w:tc>
                  <w:tcPr>
                    <w:tcW w:w="1010" w:type="dxa"/>
                    <w:vAlign w:val="center"/>
                  </w:tcPr>
                  <w:p>
                    <w:pPr>
                      <w:widowControl w:val="0"/>
                      <w:jc w:val="center"/>
                      <w:rPr>
                        <w:sz w:val="18"/>
                        <w:szCs w:val="18"/>
                      </w:rPr>
                    </w:pPr>
                    <w:r>
                      <w:rPr>
                        <w:rFonts w:hint="eastAsia"/>
                        <w:sz w:val="18"/>
                        <w:szCs w:val="18"/>
                      </w:rPr>
                      <w:t>毛利率（%）</w:t>
                    </w:r>
                  </w:p>
                </w:tc>
              </w:sdtContent>
            </w:sdt>
            <w:sdt>
              <w:sdtPr>
                <w:rPr>
                  <w:rFonts w:ascii="Times New Roman" w:hAnsi="Times New Roman"/>
                  <w:sz w:val="18"/>
                  <w:szCs w:val="18"/>
                </w:rPr>
                <w:tag w:val="_PLD_0ca65e94b76d4933977b3fe13864caf2"/>
                <w:id w:val="6772626"/>
                <w:lock w:val="sdtLocked"/>
              </w:sdtPr>
              <w:sdtEndPr>
                <w:rPr>
                  <w:rFonts w:ascii="Times New Roman" w:hAnsi="Times New Roman"/>
                  <w:sz w:val="18"/>
                  <w:szCs w:val="18"/>
                </w:rPr>
              </w:sdtEndPr>
              <w:sdtContent>
                <w:tc>
                  <w:tcPr>
                    <w:tcW w:w="1010" w:type="dxa"/>
                    <w:vAlign w:val="center"/>
                  </w:tcPr>
                  <w:p>
                    <w:pPr>
                      <w:widowControl w:val="0"/>
                      <w:jc w:val="center"/>
                      <w:rPr>
                        <w:sz w:val="18"/>
                        <w:szCs w:val="18"/>
                      </w:rPr>
                    </w:pPr>
                    <w:r>
                      <w:rPr>
                        <w:rFonts w:hint="eastAsia"/>
                        <w:sz w:val="18"/>
                        <w:szCs w:val="18"/>
                      </w:rPr>
                      <w:t>营业收入比上年增减（%）</w:t>
                    </w:r>
                  </w:p>
                </w:tc>
              </w:sdtContent>
            </w:sdt>
            <w:sdt>
              <w:sdtPr>
                <w:rPr>
                  <w:rFonts w:ascii="Times New Roman" w:hAnsi="Times New Roman"/>
                  <w:sz w:val="18"/>
                  <w:szCs w:val="18"/>
                </w:rPr>
                <w:tag w:val="_PLD_0fcddf8af1ce40e3bbe0b8e78c8c2496"/>
                <w:id w:val="6772627"/>
                <w:lock w:val="sdtLocked"/>
              </w:sdtPr>
              <w:sdtEndPr>
                <w:rPr>
                  <w:rFonts w:ascii="Times New Roman" w:hAnsi="Times New Roman"/>
                  <w:sz w:val="18"/>
                  <w:szCs w:val="18"/>
                </w:rPr>
              </w:sdtEndPr>
              <w:sdtContent>
                <w:tc>
                  <w:tcPr>
                    <w:tcW w:w="1010" w:type="dxa"/>
                    <w:vAlign w:val="center"/>
                  </w:tcPr>
                  <w:p>
                    <w:pPr>
                      <w:widowControl w:val="0"/>
                      <w:jc w:val="center"/>
                      <w:rPr>
                        <w:sz w:val="18"/>
                        <w:szCs w:val="18"/>
                      </w:rPr>
                    </w:pPr>
                    <w:r>
                      <w:rPr>
                        <w:rFonts w:hint="eastAsia"/>
                        <w:sz w:val="18"/>
                        <w:szCs w:val="18"/>
                      </w:rPr>
                      <w:t>营业成本比上年增减（%）</w:t>
                    </w:r>
                  </w:p>
                </w:tc>
              </w:sdtContent>
            </w:sdt>
            <w:sdt>
              <w:sdtPr>
                <w:rPr>
                  <w:rFonts w:ascii="Times New Roman" w:hAnsi="Times New Roman"/>
                  <w:sz w:val="18"/>
                  <w:szCs w:val="18"/>
                </w:rPr>
                <w:tag w:val="_PLD_fd695ef26ff948df8cd16c66ef5ffea9"/>
                <w:id w:val="6772628"/>
                <w:lock w:val="sdtLocked"/>
              </w:sdtPr>
              <w:sdtEndPr>
                <w:rPr>
                  <w:rFonts w:ascii="Times New Roman" w:hAnsi="Times New Roman"/>
                  <w:sz w:val="18"/>
                  <w:szCs w:val="18"/>
                </w:rPr>
              </w:sdtEndPr>
              <w:sdtContent>
                <w:tc>
                  <w:tcPr>
                    <w:tcW w:w="1004" w:type="dxa"/>
                    <w:vAlign w:val="center"/>
                  </w:tcPr>
                  <w:p>
                    <w:pPr>
                      <w:widowControl w:val="0"/>
                      <w:jc w:val="center"/>
                      <w:rPr>
                        <w:sz w:val="18"/>
                        <w:szCs w:val="18"/>
                      </w:rPr>
                    </w:pPr>
                    <w:r>
                      <w:rPr>
                        <w:rFonts w:hint="eastAsia"/>
                        <w:sz w:val="18"/>
                        <w:szCs w:val="18"/>
                      </w:rPr>
                      <w:t>毛利率</w:t>
                    </w:r>
                    <w:r>
                      <w:rPr>
                        <w:sz w:val="18"/>
                        <w:szCs w:val="18"/>
                      </w:rPr>
                      <w:t>比上年增减（</w:t>
                    </w:r>
                    <w:r>
                      <w:rPr>
                        <w:rFonts w:hint="eastAsia"/>
                        <w:sz w:val="18"/>
                        <w:szCs w:val="18"/>
                      </w:rPr>
                      <w:t>%</w:t>
                    </w:r>
                    <w:r>
                      <w:rPr>
                        <w:sz w:val="18"/>
                        <w:szCs w:val="18"/>
                      </w:rPr>
                      <w:t>）</w:t>
                    </w:r>
                  </w:p>
                </w:tc>
              </w:sdtContent>
            </w:sdt>
          </w:tr>
          <w:sdt>
            <w:sdtPr>
              <w:rPr>
                <w:rFonts w:ascii="宋体" w:hAnsi="宋体" w:cs="宋体" w:eastAsiaTheme="minorEastAsia"/>
                <w:kern w:val="0"/>
                <w:sz w:val="18"/>
                <w:szCs w:val="18"/>
              </w:rPr>
              <w:alias w:val="董事会报告出具的分产品主营业务"/>
              <w:tag w:val="_TUP_f3827583cc4c4df6a57620f0c5061461"/>
              <w:id w:val="6772629"/>
              <w:lock w:val="sdtLocked"/>
            </w:sdtPr>
            <w:sdtEndPr>
              <w:rPr>
                <w:rFonts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pStyle w:val="53"/>
                      <w:ind w:firstLine="0" w:firstLineChars="0"/>
                      <w:jc w:val="center"/>
                      <w:rPr>
                        <w:rFonts w:ascii="宋体" w:hAnsi="宋体" w:cs="宋体"/>
                        <w:sz w:val="18"/>
                        <w:szCs w:val="18"/>
                      </w:rPr>
                    </w:pPr>
                    <w:r>
                      <w:rPr>
                        <w:sz w:val="18"/>
                        <w:szCs w:val="18"/>
                      </w:rPr>
                      <w:t>中型材</w:t>
                    </w:r>
                  </w:p>
                </w:tc>
                <w:tc>
                  <w:tcPr>
                    <w:tcW w:w="2002" w:type="dxa"/>
                    <w:vAlign w:val="center"/>
                  </w:tcPr>
                  <w:p>
                    <w:pPr>
                      <w:widowControl w:val="0"/>
                      <w:jc w:val="right"/>
                      <w:rPr>
                        <w:sz w:val="18"/>
                        <w:szCs w:val="18"/>
                      </w:rPr>
                    </w:pPr>
                    <w:r>
                      <w:rPr>
                        <w:sz w:val="18"/>
                        <w:szCs w:val="18"/>
                      </w:rPr>
                      <w:t>268,833,384.22</w:t>
                    </w:r>
                  </w:p>
                </w:tc>
                <w:tc>
                  <w:tcPr>
                    <w:tcW w:w="2002" w:type="dxa"/>
                    <w:vAlign w:val="center"/>
                  </w:tcPr>
                  <w:p>
                    <w:pPr>
                      <w:widowControl w:val="0"/>
                      <w:jc w:val="right"/>
                      <w:rPr>
                        <w:sz w:val="18"/>
                        <w:szCs w:val="18"/>
                      </w:rPr>
                    </w:pPr>
                    <w:r>
                      <w:rPr>
                        <w:sz w:val="18"/>
                        <w:szCs w:val="18"/>
                      </w:rPr>
                      <w:t>265,755,361.54</w:t>
                    </w:r>
                  </w:p>
                </w:tc>
                <w:tc>
                  <w:tcPr>
                    <w:tcW w:w="1010" w:type="dxa"/>
                    <w:vAlign w:val="center"/>
                  </w:tcPr>
                  <w:p>
                    <w:pPr>
                      <w:widowControl w:val="0"/>
                      <w:jc w:val="right"/>
                      <w:rPr>
                        <w:sz w:val="18"/>
                        <w:szCs w:val="18"/>
                      </w:rPr>
                    </w:pPr>
                    <w:r>
                      <w:rPr>
                        <w:sz w:val="18"/>
                        <w:szCs w:val="18"/>
                      </w:rPr>
                      <w:t>1.14</w:t>
                    </w:r>
                  </w:p>
                </w:tc>
                <w:tc>
                  <w:tcPr>
                    <w:tcW w:w="1010" w:type="dxa"/>
                    <w:vAlign w:val="center"/>
                  </w:tcPr>
                  <w:p>
                    <w:pPr>
                      <w:widowControl w:val="0"/>
                      <w:jc w:val="right"/>
                      <w:rPr>
                        <w:sz w:val="18"/>
                        <w:szCs w:val="18"/>
                      </w:rPr>
                    </w:pPr>
                    <w:r>
                      <w:rPr>
                        <w:sz w:val="18"/>
                        <w:szCs w:val="18"/>
                      </w:rPr>
                      <w:t>61.36</w:t>
                    </w:r>
                  </w:p>
                </w:tc>
                <w:tc>
                  <w:tcPr>
                    <w:tcW w:w="1010" w:type="dxa"/>
                    <w:vAlign w:val="center"/>
                  </w:tcPr>
                  <w:p>
                    <w:pPr>
                      <w:widowControl w:val="0"/>
                      <w:jc w:val="right"/>
                      <w:rPr>
                        <w:sz w:val="18"/>
                        <w:szCs w:val="18"/>
                      </w:rPr>
                    </w:pPr>
                    <w:r>
                      <w:rPr>
                        <w:sz w:val="18"/>
                        <w:szCs w:val="18"/>
                      </w:rPr>
                      <w:t>32.57</w:t>
                    </w:r>
                  </w:p>
                </w:tc>
                <w:tc>
                  <w:tcPr>
                    <w:tcW w:w="1004" w:type="dxa"/>
                  </w:tcPr>
                  <w:p>
                    <w:pPr>
                      <w:widowControl w:val="0"/>
                      <w:jc w:val="both"/>
                      <w:rPr>
                        <w:sz w:val="18"/>
                        <w:szCs w:val="18"/>
                      </w:rPr>
                    </w:pPr>
                    <w:r>
                      <w:rPr>
                        <w:rFonts w:hint="eastAsia"/>
                        <w:sz w:val="18"/>
                        <w:szCs w:val="18"/>
                      </w:rPr>
                      <w:t>增加</w:t>
                    </w:r>
                    <w:r>
                      <w:rPr>
                        <w:sz w:val="18"/>
                        <w:szCs w:val="18"/>
                      </w:rPr>
                      <w:t>21.46个百分点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6772630"/>
              <w:lock w:val="sdtLocked"/>
            </w:sdtPr>
            <w:sdtEndPr>
              <w:rPr>
                <w:rFonts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pStyle w:val="53"/>
                      <w:ind w:firstLine="0" w:firstLineChars="0"/>
                      <w:jc w:val="center"/>
                      <w:rPr>
                        <w:rFonts w:ascii="宋体" w:hAnsi="宋体" w:cs="宋体"/>
                        <w:sz w:val="18"/>
                        <w:szCs w:val="18"/>
                      </w:rPr>
                    </w:pPr>
                    <w:r>
                      <w:rPr>
                        <w:sz w:val="18"/>
                        <w:szCs w:val="18"/>
                      </w:rPr>
                      <w:t>中板材</w:t>
                    </w:r>
                  </w:p>
                </w:tc>
                <w:tc>
                  <w:tcPr>
                    <w:tcW w:w="2002" w:type="dxa"/>
                    <w:vAlign w:val="center"/>
                  </w:tcPr>
                  <w:p>
                    <w:pPr>
                      <w:widowControl w:val="0"/>
                      <w:jc w:val="right"/>
                      <w:rPr>
                        <w:sz w:val="18"/>
                        <w:szCs w:val="18"/>
                      </w:rPr>
                    </w:pPr>
                    <w:r>
                      <w:rPr>
                        <w:sz w:val="18"/>
                        <w:szCs w:val="18"/>
                      </w:rPr>
                      <w:t>2,082,509,951.01</w:t>
                    </w:r>
                  </w:p>
                </w:tc>
                <w:tc>
                  <w:tcPr>
                    <w:tcW w:w="2002" w:type="dxa"/>
                    <w:vAlign w:val="center"/>
                  </w:tcPr>
                  <w:p>
                    <w:pPr>
                      <w:widowControl w:val="0"/>
                      <w:jc w:val="right"/>
                      <w:rPr>
                        <w:sz w:val="18"/>
                        <w:szCs w:val="18"/>
                      </w:rPr>
                    </w:pPr>
                    <w:r>
                      <w:rPr>
                        <w:sz w:val="18"/>
                        <w:szCs w:val="18"/>
                      </w:rPr>
                      <w:t>1,946,556,131.28</w:t>
                    </w:r>
                  </w:p>
                </w:tc>
                <w:tc>
                  <w:tcPr>
                    <w:tcW w:w="1010" w:type="dxa"/>
                    <w:vAlign w:val="center"/>
                  </w:tcPr>
                  <w:p>
                    <w:pPr>
                      <w:widowControl w:val="0"/>
                      <w:jc w:val="right"/>
                      <w:rPr>
                        <w:sz w:val="18"/>
                        <w:szCs w:val="18"/>
                      </w:rPr>
                    </w:pPr>
                    <w:r>
                      <w:rPr>
                        <w:sz w:val="18"/>
                        <w:szCs w:val="18"/>
                      </w:rPr>
                      <w:t>6.53</w:t>
                    </w:r>
                  </w:p>
                </w:tc>
                <w:tc>
                  <w:tcPr>
                    <w:tcW w:w="1010" w:type="dxa"/>
                    <w:vAlign w:val="center"/>
                  </w:tcPr>
                  <w:p>
                    <w:pPr>
                      <w:widowControl w:val="0"/>
                      <w:jc w:val="right"/>
                      <w:rPr>
                        <w:sz w:val="18"/>
                        <w:szCs w:val="18"/>
                      </w:rPr>
                    </w:pPr>
                    <w:r>
                      <w:rPr>
                        <w:sz w:val="18"/>
                        <w:szCs w:val="18"/>
                      </w:rPr>
                      <w:t>19.95</w:t>
                    </w:r>
                  </w:p>
                </w:tc>
                <w:tc>
                  <w:tcPr>
                    <w:tcW w:w="1010" w:type="dxa"/>
                    <w:vAlign w:val="center"/>
                  </w:tcPr>
                  <w:p>
                    <w:pPr>
                      <w:widowControl w:val="0"/>
                      <w:jc w:val="right"/>
                      <w:rPr>
                        <w:sz w:val="18"/>
                        <w:szCs w:val="18"/>
                      </w:rPr>
                    </w:pPr>
                    <w:r>
                      <w:rPr>
                        <w:sz w:val="18"/>
                        <w:szCs w:val="18"/>
                      </w:rPr>
                      <w:t>11.46</w:t>
                    </w:r>
                  </w:p>
                </w:tc>
                <w:tc>
                  <w:tcPr>
                    <w:tcW w:w="1004" w:type="dxa"/>
                  </w:tcPr>
                  <w:p>
                    <w:pPr>
                      <w:widowControl w:val="0"/>
                      <w:jc w:val="both"/>
                      <w:rPr>
                        <w:sz w:val="18"/>
                        <w:szCs w:val="18"/>
                      </w:rPr>
                    </w:pPr>
                    <w:r>
                      <w:rPr>
                        <w:rFonts w:hint="eastAsia"/>
                        <w:sz w:val="18"/>
                        <w:szCs w:val="18"/>
                      </w:rPr>
                      <w:t>增加</w:t>
                    </w:r>
                    <w:r>
                      <w:rPr>
                        <w:sz w:val="18"/>
                        <w:szCs w:val="18"/>
                      </w:rPr>
                      <w:t>7.13个百分点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6772631"/>
              <w:lock w:val="sdtLocked"/>
            </w:sdtPr>
            <w:sdtEndPr>
              <w:rPr>
                <w:rFonts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pStyle w:val="53"/>
                      <w:ind w:firstLine="0" w:firstLineChars="0"/>
                      <w:jc w:val="center"/>
                      <w:rPr>
                        <w:rFonts w:ascii="宋体" w:hAnsi="宋体" w:cs="宋体"/>
                        <w:sz w:val="18"/>
                        <w:szCs w:val="18"/>
                      </w:rPr>
                    </w:pPr>
                    <w:r>
                      <w:rPr>
                        <w:sz w:val="18"/>
                        <w:szCs w:val="18"/>
                      </w:rPr>
                      <w:t>小型材</w:t>
                    </w:r>
                  </w:p>
                </w:tc>
                <w:tc>
                  <w:tcPr>
                    <w:tcW w:w="2002" w:type="dxa"/>
                    <w:vAlign w:val="center"/>
                  </w:tcPr>
                  <w:p>
                    <w:pPr>
                      <w:widowControl w:val="0"/>
                      <w:jc w:val="right"/>
                      <w:rPr>
                        <w:sz w:val="18"/>
                        <w:szCs w:val="18"/>
                      </w:rPr>
                    </w:pPr>
                    <w:r>
                      <w:rPr>
                        <w:sz w:val="18"/>
                        <w:szCs w:val="18"/>
                      </w:rPr>
                      <w:t>21,166,042,459.15</w:t>
                    </w:r>
                  </w:p>
                </w:tc>
                <w:tc>
                  <w:tcPr>
                    <w:tcW w:w="2002" w:type="dxa"/>
                    <w:vAlign w:val="center"/>
                  </w:tcPr>
                  <w:p>
                    <w:pPr>
                      <w:widowControl w:val="0"/>
                      <w:jc w:val="right"/>
                      <w:rPr>
                        <w:sz w:val="18"/>
                        <w:szCs w:val="18"/>
                      </w:rPr>
                    </w:pPr>
                    <w:r>
                      <w:rPr>
                        <w:sz w:val="18"/>
                        <w:szCs w:val="18"/>
                      </w:rPr>
                      <w:t>16,939,874,004.25</w:t>
                    </w:r>
                  </w:p>
                </w:tc>
                <w:tc>
                  <w:tcPr>
                    <w:tcW w:w="1010" w:type="dxa"/>
                    <w:vAlign w:val="center"/>
                  </w:tcPr>
                  <w:p>
                    <w:pPr>
                      <w:widowControl w:val="0"/>
                      <w:jc w:val="right"/>
                      <w:rPr>
                        <w:sz w:val="18"/>
                        <w:szCs w:val="18"/>
                      </w:rPr>
                    </w:pPr>
                    <w:r>
                      <w:rPr>
                        <w:sz w:val="18"/>
                        <w:szCs w:val="18"/>
                      </w:rPr>
                      <w:t>19.97</w:t>
                    </w:r>
                  </w:p>
                </w:tc>
                <w:tc>
                  <w:tcPr>
                    <w:tcW w:w="1010" w:type="dxa"/>
                    <w:vAlign w:val="center"/>
                  </w:tcPr>
                  <w:p>
                    <w:pPr>
                      <w:widowControl w:val="0"/>
                      <w:jc w:val="right"/>
                      <w:rPr>
                        <w:sz w:val="18"/>
                        <w:szCs w:val="18"/>
                      </w:rPr>
                    </w:pPr>
                    <w:r>
                      <w:rPr>
                        <w:sz w:val="18"/>
                        <w:szCs w:val="18"/>
                      </w:rPr>
                      <w:t>114.39</w:t>
                    </w:r>
                  </w:p>
                </w:tc>
                <w:tc>
                  <w:tcPr>
                    <w:tcW w:w="1010" w:type="dxa"/>
                    <w:vAlign w:val="center"/>
                  </w:tcPr>
                  <w:p>
                    <w:pPr>
                      <w:widowControl w:val="0"/>
                      <w:jc w:val="right"/>
                      <w:rPr>
                        <w:sz w:val="18"/>
                        <w:szCs w:val="18"/>
                      </w:rPr>
                    </w:pPr>
                    <w:r>
                      <w:rPr>
                        <w:sz w:val="18"/>
                        <w:szCs w:val="18"/>
                      </w:rPr>
                      <w:t>86.51</w:t>
                    </w:r>
                  </w:p>
                </w:tc>
                <w:tc>
                  <w:tcPr>
                    <w:tcW w:w="1004" w:type="dxa"/>
                  </w:tcPr>
                  <w:p>
                    <w:pPr>
                      <w:widowControl w:val="0"/>
                      <w:jc w:val="both"/>
                      <w:rPr>
                        <w:sz w:val="18"/>
                        <w:szCs w:val="18"/>
                      </w:rPr>
                    </w:pPr>
                    <w:r>
                      <w:rPr>
                        <w:sz w:val="18"/>
                        <w:szCs w:val="18"/>
                      </w:rPr>
                      <w:t>增加11.97个百分点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6772632"/>
              <w:lock w:val="sdtLocked"/>
            </w:sdtPr>
            <w:sdtEndPr>
              <w:rPr>
                <w:rFonts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pStyle w:val="53"/>
                      <w:ind w:firstLine="0" w:firstLineChars="0"/>
                      <w:jc w:val="center"/>
                      <w:rPr>
                        <w:rFonts w:ascii="宋体" w:hAnsi="宋体" w:cs="宋体"/>
                        <w:sz w:val="18"/>
                        <w:szCs w:val="18"/>
                      </w:rPr>
                    </w:pPr>
                    <w:r>
                      <w:rPr>
                        <w:sz w:val="18"/>
                        <w:szCs w:val="18"/>
                      </w:rPr>
                      <w:t>钢坯</w:t>
                    </w:r>
                  </w:p>
                </w:tc>
                <w:tc>
                  <w:tcPr>
                    <w:tcW w:w="2002" w:type="dxa"/>
                    <w:vAlign w:val="center"/>
                  </w:tcPr>
                  <w:p>
                    <w:pPr>
                      <w:widowControl w:val="0"/>
                      <w:jc w:val="right"/>
                      <w:rPr>
                        <w:sz w:val="18"/>
                        <w:szCs w:val="18"/>
                      </w:rPr>
                    </w:pPr>
                    <w:r>
                      <w:rPr>
                        <w:sz w:val="18"/>
                        <w:szCs w:val="18"/>
                      </w:rPr>
                      <w:t>13,724,790,521.76</w:t>
                    </w:r>
                  </w:p>
                </w:tc>
                <w:tc>
                  <w:tcPr>
                    <w:tcW w:w="2002" w:type="dxa"/>
                    <w:vAlign w:val="center"/>
                  </w:tcPr>
                  <w:p>
                    <w:pPr>
                      <w:widowControl w:val="0"/>
                      <w:jc w:val="right"/>
                      <w:rPr>
                        <w:sz w:val="18"/>
                        <w:szCs w:val="18"/>
                      </w:rPr>
                    </w:pPr>
                    <w:r>
                      <w:rPr>
                        <w:sz w:val="18"/>
                        <w:szCs w:val="18"/>
                      </w:rPr>
                      <w:t>13,331,544,772.48</w:t>
                    </w:r>
                  </w:p>
                </w:tc>
                <w:tc>
                  <w:tcPr>
                    <w:tcW w:w="1010" w:type="dxa"/>
                    <w:vAlign w:val="center"/>
                  </w:tcPr>
                  <w:p>
                    <w:pPr>
                      <w:widowControl w:val="0"/>
                      <w:jc w:val="right"/>
                      <w:rPr>
                        <w:sz w:val="18"/>
                        <w:szCs w:val="18"/>
                      </w:rPr>
                    </w:pPr>
                    <w:r>
                      <w:rPr>
                        <w:sz w:val="18"/>
                        <w:szCs w:val="18"/>
                      </w:rPr>
                      <w:t>2.87</w:t>
                    </w:r>
                  </w:p>
                </w:tc>
                <w:tc>
                  <w:tcPr>
                    <w:tcW w:w="1010" w:type="dxa"/>
                    <w:vAlign w:val="center"/>
                  </w:tcPr>
                  <w:p>
                    <w:pPr>
                      <w:widowControl w:val="0"/>
                      <w:jc w:val="right"/>
                      <w:rPr>
                        <w:sz w:val="18"/>
                        <w:szCs w:val="18"/>
                      </w:rPr>
                    </w:pPr>
                    <w:r>
                      <w:rPr>
                        <w:sz w:val="18"/>
                        <w:szCs w:val="18"/>
                      </w:rPr>
                      <w:t>23.61</w:t>
                    </w:r>
                  </w:p>
                </w:tc>
                <w:tc>
                  <w:tcPr>
                    <w:tcW w:w="1010" w:type="dxa"/>
                    <w:vAlign w:val="center"/>
                  </w:tcPr>
                  <w:p>
                    <w:pPr>
                      <w:widowControl w:val="0"/>
                      <w:jc w:val="right"/>
                      <w:rPr>
                        <w:sz w:val="18"/>
                        <w:szCs w:val="18"/>
                      </w:rPr>
                    </w:pPr>
                    <w:r>
                      <w:rPr>
                        <w:sz w:val="18"/>
                        <w:szCs w:val="18"/>
                      </w:rPr>
                      <w:t>27.49</w:t>
                    </w:r>
                  </w:p>
                </w:tc>
                <w:tc>
                  <w:tcPr>
                    <w:tcW w:w="1004" w:type="dxa"/>
                  </w:tcPr>
                  <w:p>
                    <w:pPr>
                      <w:widowControl w:val="0"/>
                      <w:jc w:val="both"/>
                      <w:rPr>
                        <w:sz w:val="18"/>
                        <w:szCs w:val="18"/>
                      </w:rPr>
                    </w:pPr>
                    <w:r>
                      <w:rPr>
                        <w:sz w:val="18"/>
                        <w:szCs w:val="18"/>
                      </w:rPr>
                      <w:t>减少2.95个百分点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6772633"/>
              <w:lock w:val="sdtLocked"/>
            </w:sdtPr>
            <w:sdtEndPr>
              <w:rPr>
                <w:rFonts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1" w:type="dxa"/>
                    <w:vAlign w:val="center"/>
                  </w:tcPr>
                  <w:p>
                    <w:pPr>
                      <w:pStyle w:val="53"/>
                      <w:ind w:firstLine="0" w:firstLineChars="0"/>
                      <w:jc w:val="center"/>
                      <w:rPr>
                        <w:rFonts w:ascii="宋体" w:hAnsi="宋体" w:cs="宋体"/>
                        <w:sz w:val="18"/>
                        <w:szCs w:val="18"/>
                      </w:rPr>
                    </w:pPr>
                    <w:r>
                      <w:rPr>
                        <w:sz w:val="18"/>
                        <w:szCs w:val="18"/>
                      </w:rPr>
                      <w:t>化产品</w:t>
                    </w:r>
                  </w:p>
                </w:tc>
                <w:tc>
                  <w:tcPr>
                    <w:tcW w:w="2002" w:type="dxa"/>
                    <w:vAlign w:val="center"/>
                  </w:tcPr>
                  <w:p>
                    <w:pPr>
                      <w:widowControl w:val="0"/>
                      <w:jc w:val="right"/>
                      <w:rPr>
                        <w:sz w:val="18"/>
                        <w:szCs w:val="18"/>
                      </w:rPr>
                    </w:pPr>
                    <w:r>
                      <w:rPr>
                        <w:sz w:val="18"/>
                        <w:szCs w:val="18"/>
                      </w:rPr>
                      <w:t>634,401,087.76</w:t>
                    </w:r>
                  </w:p>
                </w:tc>
                <w:tc>
                  <w:tcPr>
                    <w:tcW w:w="2002" w:type="dxa"/>
                    <w:vAlign w:val="center"/>
                  </w:tcPr>
                  <w:p>
                    <w:pPr>
                      <w:widowControl w:val="0"/>
                      <w:jc w:val="right"/>
                      <w:rPr>
                        <w:sz w:val="18"/>
                        <w:szCs w:val="18"/>
                      </w:rPr>
                    </w:pPr>
                    <w:r>
                      <w:rPr>
                        <w:sz w:val="18"/>
                        <w:szCs w:val="18"/>
                      </w:rPr>
                      <w:t>844,556,991.48</w:t>
                    </w:r>
                  </w:p>
                </w:tc>
                <w:tc>
                  <w:tcPr>
                    <w:tcW w:w="1010" w:type="dxa"/>
                    <w:vAlign w:val="center"/>
                  </w:tcPr>
                  <w:p>
                    <w:pPr>
                      <w:widowControl w:val="0"/>
                      <w:jc w:val="right"/>
                      <w:rPr>
                        <w:sz w:val="18"/>
                        <w:szCs w:val="18"/>
                      </w:rPr>
                    </w:pPr>
                    <w:r>
                      <w:rPr>
                        <w:sz w:val="18"/>
                        <w:szCs w:val="18"/>
                      </w:rPr>
                      <w:t>-33.13</w:t>
                    </w:r>
                  </w:p>
                </w:tc>
                <w:tc>
                  <w:tcPr>
                    <w:tcW w:w="1010" w:type="dxa"/>
                    <w:vAlign w:val="center"/>
                  </w:tcPr>
                  <w:p>
                    <w:pPr>
                      <w:widowControl w:val="0"/>
                      <w:jc w:val="right"/>
                      <w:rPr>
                        <w:sz w:val="18"/>
                        <w:szCs w:val="18"/>
                      </w:rPr>
                    </w:pPr>
                    <w:r>
                      <w:rPr>
                        <w:sz w:val="18"/>
                        <w:szCs w:val="18"/>
                      </w:rPr>
                      <w:t>59.75</w:t>
                    </w:r>
                  </w:p>
                </w:tc>
                <w:tc>
                  <w:tcPr>
                    <w:tcW w:w="1010" w:type="dxa"/>
                    <w:vAlign w:val="center"/>
                  </w:tcPr>
                  <w:p>
                    <w:pPr>
                      <w:widowControl w:val="0"/>
                      <w:jc w:val="right"/>
                      <w:rPr>
                        <w:sz w:val="18"/>
                        <w:szCs w:val="18"/>
                      </w:rPr>
                    </w:pPr>
                    <w:r>
                      <w:rPr>
                        <w:sz w:val="18"/>
                        <w:szCs w:val="18"/>
                      </w:rPr>
                      <w:t>61.52</w:t>
                    </w:r>
                  </w:p>
                </w:tc>
                <w:tc>
                  <w:tcPr>
                    <w:tcW w:w="1004" w:type="dxa"/>
                  </w:tcPr>
                  <w:p>
                    <w:pPr>
                      <w:widowControl w:val="0"/>
                      <w:jc w:val="both"/>
                      <w:rPr>
                        <w:sz w:val="18"/>
                        <w:szCs w:val="18"/>
                      </w:rPr>
                    </w:pPr>
                    <w:r>
                      <w:rPr>
                        <w:sz w:val="18"/>
                        <w:szCs w:val="18"/>
                      </w:rPr>
                      <w:t>减少1.46个百分点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6772634"/>
              <w:lock w:val="sdtLocked"/>
            </w:sdtPr>
            <w:sdtEndPr>
              <w:rPr>
                <w:rFonts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pStyle w:val="53"/>
                      <w:ind w:firstLine="0" w:firstLineChars="0"/>
                      <w:jc w:val="center"/>
                      <w:rPr>
                        <w:rFonts w:ascii="宋体" w:hAnsi="宋体" w:cs="宋体"/>
                        <w:sz w:val="18"/>
                        <w:szCs w:val="18"/>
                      </w:rPr>
                    </w:pPr>
                    <w:r>
                      <w:rPr>
                        <w:sz w:val="18"/>
                        <w:szCs w:val="18"/>
                      </w:rPr>
                      <w:t>焦炉煤气</w:t>
                    </w:r>
                  </w:p>
                </w:tc>
                <w:tc>
                  <w:tcPr>
                    <w:tcW w:w="2002" w:type="dxa"/>
                    <w:vAlign w:val="center"/>
                  </w:tcPr>
                  <w:p>
                    <w:pPr>
                      <w:widowControl w:val="0"/>
                      <w:jc w:val="right"/>
                      <w:rPr>
                        <w:sz w:val="18"/>
                        <w:szCs w:val="18"/>
                      </w:rPr>
                    </w:pPr>
                    <w:r>
                      <w:rPr>
                        <w:sz w:val="18"/>
                        <w:szCs w:val="18"/>
                      </w:rPr>
                      <w:t>993,435,658.88</w:t>
                    </w:r>
                  </w:p>
                </w:tc>
                <w:tc>
                  <w:tcPr>
                    <w:tcW w:w="2002" w:type="dxa"/>
                    <w:vAlign w:val="center"/>
                  </w:tcPr>
                  <w:p>
                    <w:pPr>
                      <w:widowControl w:val="0"/>
                      <w:jc w:val="right"/>
                      <w:rPr>
                        <w:sz w:val="18"/>
                        <w:szCs w:val="18"/>
                      </w:rPr>
                    </w:pPr>
                    <w:r>
                      <w:rPr>
                        <w:sz w:val="18"/>
                        <w:szCs w:val="18"/>
                      </w:rPr>
                      <w:t>2,080,066,628.20</w:t>
                    </w:r>
                  </w:p>
                </w:tc>
                <w:tc>
                  <w:tcPr>
                    <w:tcW w:w="1010" w:type="dxa"/>
                    <w:vAlign w:val="center"/>
                  </w:tcPr>
                  <w:p>
                    <w:pPr>
                      <w:widowControl w:val="0"/>
                      <w:jc w:val="right"/>
                      <w:rPr>
                        <w:sz w:val="18"/>
                        <w:szCs w:val="18"/>
                      </w:rPr>
                    </w:pPr>
                    <w:r>
                      <w:rPr>
                        <w:sz w:val="18"/>
                        <w:szCs w:val="18"/>
                      </w:rPr>
                      <w:t>-109.38</w:t>
                    </w:r>
                  </w:p>
                </w:tc>
                <w:tc>
                  <w:tcPr>
                    <w:tcW w:w="1010" w:type="dxa"/>
                    <w:vAlign w:val="center"/>
                  </w:tcPr>
                  <w:p>
                    <w:pPr>
                      <w:widowControl w:val="0"/>
                      <w:jc w:val="right"/>
                      <w:rPr>
                        <w:sz w:val="18"/>
                        <w:szCs w:val="18"/>
                      </w:rPr>
                    </w:pPr>
                    <w:r>
                      <w:rPr>
                        <w:sz w:val="18"/>
                        <w:szCs w:val="18"/>
                      </w:rPr>
                      <w:t>6.44</w:t>
                    </w:r>
                  </w:p>
                </w:tc>
                <w:tc>
                  <w:tcPr>
                    <w:tcW w:w="1010" w:type="dxa"/>
                    <w:vAlign w:val="center"/>
                  </w:tcPr>
                  <w:p>
                    <w:pPr>
                      <w:widowControl w:val="0"/>
                      <w:jc w:val="right"/>
                      <w:rPr>
                        <w:sz w:val="18"/>
                        <w:szCs w:val="18"/>
                      </w:rPr>
                    </w:pPr>
                    <w:r>
                      <w:rPr>
                        <w:sz w:val="18"/>
                        <w:szCs w:val="18"/>
                      </w:rPr>
                      <w:t>89.85</w:t>
                    </w:r>
                  </w:p>
                </w:tc>
                <w:tc>
                  <w:tcPr>
                    <w:tcW w:w="1004" w:type="dxa"/>
                  </w:tcPr>
                  <w:p>
                    <w:pPr>
                      <w:widowControl w:val="0"/>
                      <w:jc w:val="both"/>
                      <w:rPr>
                        <w:sz w:val="18"/>
                        <w:szCs w:val="18"/>
                      </w:rPr>
                    </w:pPr>
                    <w:r>
                      <w:rPr>
                        <w:sz w:val="18"/>
                        <w:szCs w:val="18"/>
                      </w:rPr>
                      <w:t>减少91.99个百分点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6772635"/>
              <w:lock w:val="sdtLocked"/>
            </w:sdtPr>
            <w:sdtEndPr>
              <w:rPr>
                <w:rFonts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1" w:type="dxa"/>
                    <w:vAlign w:val="center"/>
                  </w:tcPr>
                  <w:p>
                    <w:pPr>
                      <w:pStyle w:val="53"/>
                      <w:ind w:firstLine="0" w:firstLineChars="0"/>
                      <w:jc w:val="center"/>
                      <w:rPr>
                        <w:rFonts w:ascii="宋体" w:hAnsi="宋体" w:cs="宋体"/>
                        <w:sz w:val="18"/>
                        <w:szCs w:val="18"/>
                      </w:rPr>
                    </w:pPr>
                    <w:r>
                      <w:rPr>
                        <w:sz w:val="18"/>
                        <w:szCs w:val="18"/>
                      </w:rPr>
                      <w:t>合计</w:t>
                    </w:r>
                  </w:p>
                </w:tc>
                <w:tc>
                  <w:tcPr>
                    <w:tcW w:w="2002" w:type="dxa"/>
                    <w:vAlign w:val="center"/>
                  </w:tcPr>
                  <w:p>
                    <w:pPr>
                      <w:widowControl w:val="0"/>
                      <w:jc w:val="right"/>
                      <w:rPr>
                        <w:sz w:val="18"/>
                        <w:szCs w:val="18"/>
                      </w:rPr>
                    </w:pPr>
                    <w:r>
                      <w:rPr>
                        <w:sz w:val="18"/>
                        <w:szCs w:val="18"/>
                      </w:rPr>
                      <w:t>38,870,013,062.78</w:t>
                    </w:r>
                  </w:p>
                </w:tc>
                <w:tc>
                  <w:tcPr>
                    <w:tcW w:w="2002" w:type="dxa"/>
                    <w:vAlign w:val="center"/>
                  </w:tcPr>
                  <w:p>
                    <w:pPr>
                      <w:widowControl w:val="0"/>
                      <w:jc w:val="right"/>
                      <w:rPr>
                        <w:sz w:val="18"/>
                        <w:szCs w:val="18"/>
                      </w:rPr>
                    </w:pPr>
                    <w:r>
                      <w:rPr>
                        <w:sz w:val="18"/>
                        <w:szCs w:val="18"/>
                      </w:rPr>
                      <w:t>35,408,353,889.23</w:t>
                    </w:r>
                  </w:p>
                </w:tc>
                <w:tc>
                  <w:tcPr>
                    <w:tcW w:w="1010" w:type="dxa"/>
                    <w:vAlign w:val="center"/>
                  </w:tcPr>
                  <w:p>
                    <w:pPr>
                      <w:widowControl w:val="0"/>
                      <w:jc w:val="right"/>
                      <w:rPr>
                        <w:sz w:val="18"/>
                        <w:szCs w:val="18"/>
                      </w:rPr>
                    </w:pPr>
                    <w:r>
                      <w:rPr>
                        <w:sz w:val="18"/>
                        <w:szCs w:val="18"/>
                      </w:rPr>
                      <w:t>8.91</w:t>
                    </w:r>
                  </w:p>
                </w:tc>
                <w:tc>
                  <w:tcPr>
                    <w:tcW w:w="1010" w:type="dxa"/>
                    <w:vAlign w:val="center"/>
                  </w:tcPr>
                  <w:p>
                    <w:pPr>
                      <w:widowControl w:val="0"/>
                      <w:jc w:val="right"/>
                      <w:rPr>
                        <w:sz w:val="18"/>
                        <w:szCs w:val="18"/>
                      </w:rPr>
                    </w:pPr>
                    <w:r>
                      <w:rPr>
                        <w:sz w:val="18"/>
                        <w:szCs w:val="18"/>
                      </w:rPr>
                      <w:t>60.56</w:t>
                    </w:r>
                  </w:p>
                </w:tc>
                <w:tc>
                  <w:tcPr>
                    <w:tcW w:w="1010" w:type="dxa"/>
                    <w:vAlign w:val="center"/>
                  </w:tcPr>
                  <w:p>
                    <w:pPr>
                      <w:widowControl w:val="0"/>
                      <w:jc w:val="right"/>
                      <w:rPr>
                        <w:sz w:val="18"/>
                        <w:szCs w:val="18"/>
                      </w:rPr>
                    </w:pPr>
                    <w:r>
                      <w:rPr>
                        <w:sz w:val="18"/>
                        <w:szCs w:val="18"/>
                      </w:rPr>
                      <w:t>53.25</w:t>
                    </w:r>
                  </w:p>
                </w:tc>
                <w:tc>
                  <w:tcPr>
                    <w:tcW w:w="1004" w:type="dxa"/>
                  </w:tcPr>
                  <w:p>
                    <w:pPr>
                      <w:widowControl w:val="0"/>
                      <w:jc w:val="both"/>
                      <w:rPr>
                        <w:sz w:val="18"/>
                        <w:szCs w:val="18"/>
                      </w:rPr>
                    </w:pPr>
                    <w:r>
                      <w:rPr>
                        <w:sz w:val="18"/>
                        <w:szCs w:val="18"/>
                      </w:rPr>
                      <w:t>增加4.35个百分点</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fe4b98c3f70c495d9eb9797ce0f7b5f6"/>
                <w:id w:val="6772636"/>
                <w:lock w:val="sdtLocked"/>
              </w:sdtPr>
              <w:sdtEndPr>
                <w:rPr>
                  <w:rFonts w:ascii="Times New Roman" w:hAnsi="Times New Roman"/>
                  <w:sz w:val="20"/>
                  <w:szCs w:val="21"/>
                </w:rPr>
              </w:sdtEndPr>
              <w:sdtContent>
                <w:tc>
                  <w:tcPr>
                    <w:tcW w:w="9049" w:type="dxa"/>
                    <w:gridSpan w:val="7"/>
                    <w:vAlign w:val="center"/>
                  </w:tcPr>
                  <w:p>
                    <w:pPr>
                      <w:widowControl w:val="0"/>
                      <w:jc w:val="both"/>
                      <w:rPr>
                        <w:sz w:val="18"/>
                        <w:szCs w:val="18"/>
                      </w:rPr>
                    </w:pPr>
                    <w:r>
                      <w:rPr>
                        <w:rFonts w:hint="eastAsia"/>
                        <w:szCs w:val="21"/>
                      </w:rPr>
                      <w:t>主营业务分地区情况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rPr>
                  <w:rFonts w:ascii="Times New Roman" w:hAnsi="Times New Roman"/>
                  <w:sz w:val="18"/>
                  <w:szCs w:val="18"/>
                </w:rPr>
                <w:tag w:val="_PLD_88d8ea3d867f4a97a5a66d059c2a507e"/>
                <w:id w:val="6772637"/>
                <w:lock w:val="sdtLocked"/>
              </w:sdtPr>
              <w:sdtEndPr>
                <w:rPr>
                  <w:rFonts w:ascii="Times New Roman" w:hAnsi="Times New Roman"/>
                  <w:sz w:val="18"/>
                  <w:szCs w:val="18"/>
                </w:rPr>
              </w:sdtEndPr>
              <w:sdtContent>
                <w:tc>
                  <w:tcPr>
                    <w:tcW w:w="1011" w:type="dxa"/>
                    <w:vAlign w:val="center"/>
                  </w:tcPr>
                  <w:p>
                    <w:pPr>
                      <w:widowControl w:val="0"/>
                      <w:jc w:val="center"/>
                      <w:rPr>
                        <w:sz w:val="18"/>
                        <w:szCs w:val="18"/>
                      </w:rPr>
                    </w:pPr>
                    <w:r>
                      <w:rPr>
                        <w:rFonts w:hint="eastAsia"/>
                        <w:sz w:val="18"/>
                        <w:szCs w:val="18"/>
                      </w:rPr>
                      <w:t>分地区</w:t>
                    </w:r>
                  </w:p>
                </w:tc>
              </w:sdtContent>
            </w:sdt>
            <w:sdt>
              <w:sdtPr>
                <w:rPr>
                  <w:rFonts w:ascii="Times New Roman" w:hAnsi="Times New Roman"/>
                  <w:sz w:val="18"/>
                  <w:szCs w:val="18"/>
                </w:rPr>
                <w:tag w:val="_PLD_d960c947c6424e2a87acbd6f4d534b0a"/>
                <w:id w:val="6772638"/>
                <w:lock w:val="sdtLocked"/>
              </w:sdtPr>
              <w:sdtEndPr>
                <w:rPr>
                  <w:rFonts w:ascii="Times New Roman" w:hAnsi="Times New Roman"/>
                  <w:sz w:val="18"/>
                  <w:szCs w:val="18"/>
                </w:rPr>
              </w:sdtEndPr>
              <w:sdtContent>
                <w:tc>
                  <w:tcPr>
                    <w:tcW w:w="2002" w:type="dxa"/>
                    <w:vAlign w:val="center"/>
                  </w:tcPr>
                  <w:p>
                    <w:pPr>
                      <w:widowControl w:val="0"/>
                      <w:jc w:val="center"/>
                      <w:rPr>
                        <w:sz w:val="18"/>
                        <w:szCs w:val="18"/>
                      </w:rPr>
                    </w:pPr>
                    <w:r>
                      <w:rPr>
                        <w:rFonts w:hint="eastAsia"/>
                        <w:sz w:val="18"/>
                        <w:szCs w:val="18"/>
                      </w:rPr>
                      <w:t>营业收入</w:t>
                    </w:r>
                  </w:p>
                </w:tc>
              </w:sdtContent>
            </w:sdt>
            <w:sdt>
              <w:sdtPr>
                <w:rPr>
                  <w:rFonts w:ascii="Times New Roman" w:hAnsi="Times New Roman"/>
                  <w:sz w:val="18"/>
                  <w:szCs w:val="18"/>
                </w:rPr>
                <w:tag w:val="_PLD_0cab657ed1664cda8d161069df0d4ffe"/>
                <w:id w:val="6772639"/>
                <w:lock w:val="sdtLocked"/>
              </w:sdtPr>
              <w:sdtEndPr>
                <w:rPr>
                  <w:rFonts w:ascii="Times New Roman" w:hAnsi="Times New Roman"/>
                  <w:sz w:val="18"/>
                  <w:szCs w:val="18"/>
                </w:rPr>
              </w:sdtEndPr>
              <w:sdtContent>
                <w:tc>
                  <w:tcPr>
                    <w:tcW w:w="2002" w:type="dxa"/>
                    <w:vAlign w:val="center"/>
                  </w:tcPr>
                  <w:p>
                    <w:pPr>
                      <w:widowControl w:val="0"/>
                      <w:jc w:val="center"/>
                      <w:rPr>
                        <w:sz w:val="18"/>
                        <w:szCs w:val="18"/>
                      </w:rPr>
                    </w:pPr>
                    <w:r>
                      <w:rPr>
                        <w:rFonts w:hint="eastAsia"/>
                        <w:sz w:val="18"/>
                        <w:szCs w:val="18"/>
                      </w:rPr>
                      <w:t>营业成本</w:t>
                    </w:r>
                  </w:p>
                </w:tc>
              </w:sdtContent>
            </w:sdt>
            <w:sdt>
              <w:sdtPr>
                <w:rPr>
                  <w:rFonts w:ascii="Times New Roman" w:hAnsi="Times New Roman"/>
                  <w:sz w:val="18"/>
                  <w:szCs w:val="18"/>
                </w:rPr>
                <w:tag w:val="_PLD_de52f565c0c94f5f8930a8d275890566"/>
                <w:id w:val="6772640"/>
                <w:lock w:val="sdtLocked"/>
              </w:sdtPr>
              <w:sdtEndPr>
                <w:rPr>
                  <w:rFonts w:ascii="Times New Roman" w:hAnsi="Times New Roman"/>
                  <w:sz w:val="18"/>
                  <w:szCs w:val="18"/>
                </w:rPr>
              </w:sdtEndPr>
              <w:sdtContent>
                <w:tc>
                  <w:tcPr>
                    <w:tcW w:w="1010" w:type="dxa"/>
                    <w:vAlign w:val="center"/>
                  </w:tcPr>
                  <w:p>
                    <w:pPr>
                      <w:widowControl w:val="0"/>
                      <w:jc w:val="center"/>
                      <w:rPr>
                        <w:sz w:val="18"/>
                        <w:szCs w:val="18"/>
                      </w:rPr>
                    </w:pPr>
                    <w:r>
                      <w:rPr>
                        <w:rFonts w:hint="eastAsia"/>
                        <w:sz w:val="18"/>
                        <w:szCs w:val="18"/>
                      </w:rPr>
                      <w:t>毛利率（%）</w:t>
                    </w:r>
                  </w:p>
                </w:tc>
              </w:sdtContent>
            </w:sdt>
            <w:sdt>
              <w:sdtPr>
                <w:rPr>
                  <w:rFonts w:ascii="Times New Roman" w:hAnsi="Times New Roman"/>
                  <w:sz w:val="18"/>
                  <w:szCs w:val="18"/>
                </w:rPr>
                <w:tag w:val="_PLD_66acbff90fbb46ac8fc6c5840a2a1352"/>
                <w:id w:val="6772641"/>
                <w:lock w:val="sdtLocked"/>
              </w:sdtPr>
              <w:sdtEndPr>
                <w:rPr>
                  <w:rFonts w:ascii="Times New Roman" w:hAnsi="Times New Roman"/>
                  <w:sz w:val="18"/>
                  <w:szCs w:val="18"/>
                </w:rPr>
              </w:sdtEndPr>
              <w:sdtContent>
                <w:tc>
                  <w:tcPr>
                    <w:tcW w:w="1010" w:type="dxa"/>
                    <w:vAlign w:val="center"/>
                  </w:tcPr>
                  <w:p>
                    <w:pPr>
                      <w:widowControl w:val="0"/>
                      <w:jc w:val="center"/>
                      <w:rPr>
                        <w:sz w:val="18"/>
                        <w:szCs w:val="18"/>
                      </w:rPr>
                    </w:pPr>
                    <w:r>
                      <w:rPr>
                        <w:rFonts w:hint="eastAsia"/>
                        <w:sz w:val="18"/>
                        <w:szCs w:val="18"/>
                      </w:rPr>
                      <w:t>营业收入比上年增减（%）</w:t>
                    </w:r>
                  </w:p>
                </w:tc>
              </w:sdtContent>
            </w:sdt>
            <w:sdt>
              <w:sdtPr>
                <w:rPr>
                  <w:rFonts w:ascii="Times New Roman" w:hAnsi="Times New Roman"/>
                  <w:sz w:val="18"/>
                  <w:szCs w:val="18"/>
                </w:rPr>
                <w:tag w:val="_PLD_24222e0fb06f4b87bb8e6a25bfc923a9"/>
                <w:id w:val="6772642"/>
                <w:lock w:val="sdtLocked"/>
              </w:sdtPr>
              <w:sdtEndPr>
                <w:rPr>
                  <w:rFonts w:ascii="Times New Roman" w:hAnsi="Times New Roman"/>
                  <w:sz w:val="18"/>
                  <w:szCs w:val="18"/>
                </w:rPr>
              </w:sdtEndPr>
              <w:sdtContent>
                <w:tc>
                  <w:tcPr>
                    <w:tcW w:w="1010" w:type="dxa"/>
                    <w:vAlign w:val="center"/>
                  </w:tcPr>
                  <w:p>
                    <w:pPr>
                      <w:widowControl w:val="0"/>
                      <w:jc w:val="center"/>
                      <w:rPr>
                        <w:sz w:val="18"/>
                        <w:szCs w:val="18"/>
                      </w:rPr>
                    </w:pPr>
                    <w:r>
                      <w:rPr>
                        <w:rFonts w:hint="eastAsia"/>
                        <w:sz w:val="18"/>
                        <w:szCs w:val="18"/>
                      </w:rPr>
                      <w:t>营业成本比上年增减（%）</w:t>
                    </w:r>
                  </w:p>
                </w:tc>
              </w:sdtContent>
            </w:sdt>
            <w:sdt>
              <w:sdtPr>
                <w:rPr>
                  <w:rFonts w:ascii="Times New Roman" w:hAnsi="Times New Roman"/>
                  <w:sz w:val="18"/>
                  <w:szCs w:val="18"/>
                </w:rPr>
                <w:tag w:val="_PLD_055160da443c4e4a8c520dbbde5baec3"/>
                <w:id w:val="6772643"/>
                <w:lock w:val="sdtLocked"/>
              </w:sdtPr>
              <w:sdtEndPr>
                <w:rPr>
                  <w:rFonts w:ascii="Times New Roman" w:hAnsi="Times New Roman"/>
                  <w:sz w:val="18"/>
                  <w:szCs w:val="18"/>
                </w:rPr>
              </w:sdtEndPr>
              <w:sdtContent>
                <w:tc>
                  <w:tcPr>
                    <w:tcW w:w="1004" w:type="dxa"/>
                    <w:vAlign w:val="center"/>
                  </w:tcPr>
                  <w:p>
                    <w:pPr>
                      <w:widowControl w:val="0"/>
                      <w:jc w:val="both"/>
                      <w:rPr>
                        <w:sz w:val="18"/>
                        <w:szCs w:val="18"/>
                      </w:rPr>
                    </w:pPr>
                    <w:r>
                      <w:rPr>
                        <w:rFonts w:hint="eastAsia"/>
                        <w:sz w:val="18"/>
                        <w:szCs w:val="18"/>
                      </w:rPr>
                      <w:t>毛利率</w:t>
                    </w:r>
                    <w:r>
                      <w:rPr>
                        <w:sz w:val="18"/>
                        <w:szCs w:val="18"/>
                      </w:rPr>
                      <w:t>比上年增减（</w:t>
                    </w:r>
                    <w:r>
                      <w:rPr>
                        <w:rFonts w:hint="eastAsia"/>
                        <w:sz w:val="18"/>
                        <w:szCs w:val="18"/>
                      </w:rPr>
                      <w:t>%</w:t>
                    </w:r>
                    <w:r>
                      <w:rPr>
                        <w:sz w:val="18"/>
                        <w:szCs w:val="18"/>
                      </w:rPr>
                      <w:t>）</w:t>
                    </w:r>
                  </w:p>
                </w:tc>
              </w:sdtContent>
            </w:sdt>
          </w:tr>
          <w:sdt>
            <w:sdtPr>
              <w:rPr>
                <w:rFonts w:hint="eastAsia" w:ascii="宋体" w:hAnsi="宋体" w:cs="宋体" w:eastAsiaTheme="minorEastAsia"/>
                <w:kern w:val="0"/>
                <w:sz w:val="18"/>
                <w:szCs w:val="18"/>
              </w:rPr>
              <w:alias w:val="董事会报告出具的分地区主营业务"/>
              <w:tag w:val="_TUP_0f1c163f212246d99030500182c6a741"/>
              <w:id w:val="6772644"/>
              <w:lock w:val="sdtLocked"/>
            </w:sdtPr>
            <w:sdtEndPr>
              <w:rPr>
                <w:rFonts w:hint="eastAsia"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pStyle w:val="53"/>
                      <w:ind w:firstLine="0" w:firstLineChars="0"/>
                      <w:jc w:val="center"/>
                      <w:rPr>
                        <w:rFonts w:ascii="宋体" w:hAnsi="宋体" w:cs="宋体"/>
                        <w:sz w:val="18"/>
                        <w:szCs w:val="18"/>
                      </w:rPr>
                    </w:pPr>
                    <w:r>
                      <w:rPr>
                        <w:sz w:val="18"/>
                        <w:szCs w:val="18"/>
                      </w:rPr>
                      <w:t>广西地区</w:t>
                    </w:r>
                  </w:p>
                </w:tc>
                <w:tc>
                  <w:tcPr>
                    <w:tcW w:w="2002" w:type="dxa"/>
                    <w:vAlign w:val="center"/>
                  </w:tcPr>
                  <w:p>
                    <w:pPr>
                      <w:widowControl w:val="0"/>
                      <w:jc w:val="right"/>
                      <w:rPr>
                        <w:sz w:val="18"/>
                        <w:szCs w:val="18"/>
                      </w:rPr>
                    </w:pPr>
                    <w:r>
                      <w:rPr>
                        <w:sz w:val="18"/>
                        <w:szCs w:val="18"/>
                      </w:rPr>
                      <w:t>30,047,869,059.60</w:t>
                    </w:r>
                  </w:p>
                </w:tc>
                <w:tc>
                  <w:tcPr>
                    <w:tcW w:w="2002" w:type="dxa"/>
                    <w:vAlign w:val="center"/>
                  </w:tcPr>
                  <w:p>
                    <w:pPr>
                      <w:widowControl w:val="0"/>
                      <w:jc w:val="right"/>
                      <w:rPr>
                        <w:sz w:val="18"/>
                        <w:szCs w:val="18"/>
                      </w:rPr>
                    </w:pPr>
                    <w:r>
                      <w:rPr>
                        <w:sz w:val="18"/>
                        <w:szCs w:val="18"/>
                      </w:rPr>
                      <w:t>28,023,236,867.22</w:t>
                    </w:r>
                  </w:p>
                </w:tc>
                <w:tc>
                  <w:tcPr>
                    <w:tcW w:w="1010" w:type="dxa"/>
                    <w:vAlign w:val="center"/>
                  </w:tcPr>
                  <w:p>
                    <w:pPr>
                      <w:widowControl w:val="0"/>
                      <w:jc w:val="right"/>
                      <w:rPr>
                        <w:sz w:val="18"/>
                        <w:szCs w:val="18"/>
                      </w:rPr>
                    </w:pPr>
                    <w:r>
                      <w:rPr>
                        <w:sz w:val="18"/>
                        <w:szCs w:val="18"/>
                      </w:rPr>
                      <w:t>6.74%</w:t>
                    </w:r>
                  </w:p>
                </w:tc>
                <w:tc>
                  <w:tcPr>
                    <w:tcW w:w="1010" w:type="dxa"/>
                    <w:vAlign w:val="center"/>
                  </w:tcPr>
                  <w:p>
                    <w:pPr>
                      <w:widowControl w:val="0"/>
                      <w:jc w:val="right"/>
                      <w:rPr>
                        <w:sz w:val="18"/>
                        <w:szCs w:val="18"/>
                      </w:rPr>
                    </w:pPr>
                    <w:r>
                      <w:rPr>
                        <w:sz w:val="18"/>
                        <w:szCs w:val="18"/>
                      </w:rPr>
                      <w:t>47.80%</w:t>
                    </w:r>
                  </w:p>
                </w:tc>
                <w:tc>
                  <w:tcPr>
                    <w:tcW w:w="1010" w:type="dxa"/>
                    <w:vAlign w:val="center"/>
                  </w:tcPr>
                  <w:p>
                    <w:pPr>
                      <w:widowControl w:val="0"/>
                      <w:jc w:val="right"/>
                      <w:rPr>
                        <w:sz w:val="18"/>
                        <w:szCs w:val="18"/>
                      </w:rPr>
                    </w:pPr>
                    <w:r>
                      <w:rPr>
                        <w:sz w:val="18"/>
                        <w:szCs w:val="18"/>
                      </w:rPr>
                      <w:t>45.65%</w:t>
                    </w:r>
                  </w:p>
                </w:tc>
                <w:tc>
                  <w:tcPr>
                    <w:tcW w:w="1004" w:type="dxa"/>
                  </w:tcPr>
                  <w:p>
                    <w:pPr>
                      <w:widowControl w:val="0"/>
                      <w:jc w:val="both"/>
                      <w:rPr>
                        <w:sz w:val="18"/>
                        <w:szCs w:val="18"/>
                      </w:rPr>
                    </w:pPr>
                    <w:r>
                      <w:rPr>
                        <w:sz w:val="18"/>
                        <w:szCs w:val="18"/>
                      </w:rPr>
                      <w:t>增加1.38个百分点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6772645"/>
              <w:lock w:val="sdtLocked"/>
            </w:sdtPr>
            <w:sdtEndPr>
              <w:rPr>
                <w:rFonts w:hint="eastAsia"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1" w:type="dxa"/>
                    <w:vAlign w:val="center"/>
                  </w:tcPr>
                  <w:p>
                    <w:pPr>
                      <w:pStyle w:val="53"/>
                      <w:ind w:firstLine="0" w:firstLineChars="0"/>
                      <w:jc w:val="center"/>
                      <w:rPr>
                        <w:rFonts w:ascii="宋体" w:hAnsi="宋体" w:cs="宋体"/>
                        <w:sz w:val="18"/>
                        <w:szCs w:val="18"/>
                      </w:rPr>
                    </w:pPr>
                    <w:r>
                      <w:rPr>
                        <w:sz w:val="18"/>
                        <w:szCs w:val="18"/>
                      </w:rPr>
                      <w:t>广东地区</w:t>
                    </w:r>
                  </w:p>
                </w:tc>
                <w:tc>
                  <w:tcPr>
                    <w:tcW w:w="2002" w:type="dxa"/>
                    <w:vAlign w:val="center"/>
                  </w:tcPr>
                  <w:p>
                    <w:pPr>
                      <w:widowControl w:val="0"/>
                      <w:jc w:val="right"/>
                      <w:rPr>
                        <w:sz w:val="18"/>
                        <w:szCs w:val="18"/>
                      </w:rPr>
                    </w:pPr>
                    <w:r>
                      <w:rPr>
                        <w:sz w:val="18"/>
                        <w:szCs w:val="18"/>
                      </w:rPr>
                      <w:t>6,111,066,663.71</w:t>
                    </w:r>
                  </w:p>
                </w:tc>
                <w:tc>
                  <w:tcPr>
                    <w:tcW w:w="2002" w:type="dxa"/>
                    <w:vAlign w:val="center"/>
                  </w:tcPr>
                  <w:p>
                    <w:pPr>
                      <w:widowControl w:val="0"/>
                      <w:jc w:val="right"/>
                      <w:rPr>
                        <w:sz w:val="18"/>
                        <w:szCs w:val="18"/>
                      </w:rPr>
                    </w:pPr>
                    <w:r>
                      <w:rPr>
                        <w:sz w:val="18"/>
                        <w:szCs w:val="18"/>
                      </w:rPr>
                      <w:t>5,143,353,377.28</w:t>
                    </w:r>
                  </w:p>
                </w:tc>
                <w:tc>
                  <w:tcPr>
                    <w:tcW w:w="1010" w:type="dxa"/>
                    <w:vAlign w:val="center"/>
                  </w:tcPr>
                  <w:p>
                    <w:pPr>
                      <w:widowControl w:val="0"/>
                      <w:jc w:val="right"/>
                      <w:rPr>
                        <w:sz w:val="18"/>
                        <w:szCs w:val="18"/>
                      </w:rPr>
                    </w:pPr>
                    <w:r>
                      <w:rPr>
                        <w:sz w:val="18"/>
                        <w:szCs w:val="18"/>
                      </w:rPr>
                      <w:t>15.84%</w:t>
                    </w:r>
                  </w:p>
                </w:tc>
                <w:tc>
                  <w:tcPr>
                    <w:tcW w:w="1010" w:type="dxa"/>
                    <w:vAlign w:val="center"/>
                  </w:tcPr>
                  <w:p>
                    <w:pPr>
                      <w:widowControl w:val="0"/>
                      <w:jc w:val="right"/>
                      <w:rPr>
                        <w:sz w:val="18"/>
                        <w:szCs w:val="18"/>
                      </w:rPr>
                    </w:pPr>
                    <w:r>
                      <w:rPr>
                        <w:sz w:val="18"/>
                        <w:szCs w:val="18"/>
                      </w:rPr>
                      <w:t>169.37%</w:t>
                    </w:r>
                  </w:p>
                </w:tc>
                <w:tc>
                  <w:tcPr>
                    <w:tcW w:w="1010" w:type="dxa"/>
                    <w:vAlign w:val="center"/>
                  </w:tcPr>
                  <w:p>
                    <w:pPr>
                      <w:widowControl w:val="0"/>
                      <w:jc w:val="right"/>
                      <w:rPr>
                        <w:sz w:val="18"/>
                        <w:szCs w:val="18"/>
                      </w:rPr>
                    </w:pPr>
                    <w:r>
                      <w:rPr>
                        <w:sz w:val="18"/>
                        <w:szCs w:val="18"/>
                      </w:rPr>
                      <w:t>128.77%</w:t>
                    </w:r>
                  </w:p>
                </w:tc>
                <w:tc>
                  <w:tcPr>
                    <w:tcW w:w="1004" w:type="dxa"/>
                  </w:tcPr>
                  <w:p>
                    <w:pPr>
                      <w:widowControl w:val="0"/>
                      <w:jc w:val="both"/>
                      <w:rPr>
                        <w:sz w:val="18"/>
                        <w:szCs w:val="18"/>
                      </w:rPr>
                    </w:pPr>
                    <w:r>
                      <w:rPr>
                        <w:sz w:val="18"/>
                        <w:szCs w:val="18"/>
                      </w:rPr>
                      <w:t>增加14.94个百分点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6772646"/>
              <w:lock w:val="sdtLocked"/>
            </w:sdtPr>
            <w:sdtEndPr>
              <w:rPr>
                <w:rFonts w:hint="eastAsia"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pStyle w:val="53"/>
                      <w:ind w:firstLine="0" w:firstLineChars="0"/>
                      <w:jc w:val="center"/>
                      <w:rPr>
                        <w:rFonts w:ascii="宋体" w:hAnsi="宋体" w:cs="宋体"/>
                        <w:sz w:val="18"/>
                        <w:szCs w:val="18"/>
                      </w:rPr>
                    </w:pPr>
                    <w:r>
                      <w:rPr>
                        <w:sz w:val="18"/>
                        <w:szCs w:val="18"/>
                      </w:rPr>
                      <w:t>湖南、湖北地区</w:t>
                    </w:r>
                  </w:p>
                </w:tc>
                <w:tc>
                  <w:tcPr>
                    <w:tcW w:w="2002" w:type="dxa"/>
                    <w:vAlign w:val="center"/>
                  </w:tcPr>
                  <w:p>
                    <w:pPr>
                      <w:widowControl w:val="0"/>
                      <w:jc w:val="right"/>
                      <w:rPr>
                        <w:sz w:val="18"/>
                        <w:szCs w:val="18"/>
                      </w:rPr>
                    </w:pPr>
                    <w:r>
                      <w:rPr>
                        <w:sz w:val="18"/>
                        <w:szCs w:val="18"/>
                      </w:rPr>
                      <w:t>560,658,766.24</w:t>
                    </w:r>
                  </w:p>
                </w:tc>
                <w:tc>
                  <w:tcPr>
                    <w:tcW w:w="2002" w:type="dxa"/>
                    <w:vAlign w:val="center"/>
                  </w:tcPr>
                  <w:p>
                    <w:pPr>
                      <w:widowControl w:val="0"/>
                      <w:jc w:val="right"/>
                      <w:rPr>
                        <w:sz w:val="18"/>
                        <w:szCs w:val="18"/>
                      </w:rPr>
                    </w:pPr>
                    <w:r>
                      <w:rPr>
                        <w:sz w:val="18"/>
                        <w:szCs w:val="18"/>
                      </w:rPr>
                      <w:t>476,596,451.91</w:t>
                    </w:r>
                  </w:p>
                </w:tc>
                <w:tc>
                  <w:tcPr>
                    <w:tcW w:w="1010" w:type="dxa"/>
                    <w:vAlign w:val="center"/>
                  </w:tcPr>
                  <w:p>
                    <w:pPr>
                      <w:widowControl w:val="0"/>
                      <w:jc w:val="right"/>
                      <w:rPr>
                        <w:sz w:val="18"/>
                        <w:szCs w:val="18"/>
                      </w:rPr>
                    </w:pPr>
                    <w:r>
                      <w:rPr>
                        <w:sz w:val="18"/>
                        <w:szCs w:val="18"/>
                      </w:rPr>
                      <w:t>14.99%</w:t>
                    </w:r>
                  </w:p>
                </w:tc>
                <w:tc>
                  <w:tcPr>
                    <w:tcW w:w="1010" w:type="dxa"/>
                    <w:vAlign w:val="center"/>
                  </w:tcPr>
                  <w:p>
                    <w:pPr>
                      <w:widowControl w:val="0"/>
                      <w:jc w:val="right"/>
                      <w:rPr>
                        <w:sz w:val="18"/>
                        <w:szCs w:val="18"/>
                      </w:rPr>
                    </w:pPr>
                    <w:r>
                      <w:rPr>
                        <w:sz w:val="18"/>
                        <w:szCs w:val="18"/>
                      </w:rPr>
                      <w:t>52.50%</w:t>
                    </w:r>
                  </w:p>
                </w:tc>
                <w:tc>
                  <w:tcPr>
                    <w:tcW w:w="1010" w:type="dxa"/>
                    <w:vAlign w:val="center"/>
                  </w:tcPr>
                  <w:p>
                    <w:pPr>
                      <w:widowControl w:val="0"/>
                      <w:jc w:val="right"/>
                      <w:rPr>
                        <w:sz w:val="18"/>
                        <w:szCs w:val="18"/>
                      </w:rPr>
                    </w:pPr>
                    <w:r>
                      <w:rPr>
                        <w:sz w:val="18"/>
                        <w:szCs w:val="18"/>
                      </w:rPr>
                      <w:t>26.29%</w:t>
                    </w:r>
                  </w:p>
                </w:tc>
                <w:tc>
                  <w:tcPr>
                    <w:tcW w:w="1004" w:type="dxa"/>
                  </w:tcPr>
                  <w:p>
                    <w:pPr>
                      <w:widowControl w:val="0"/>
                      <w:jc w:val="both"/>
                      <w:rPr>
                        <w:sz w:val="18"/>
                        <w:szCs w:val="18"/>
                      </w:rPr>
                    </w:pPr>
                    <w:r>
                      <w:rPr>
                        <w:sz w:val="18"/>
                        <w:szCs w:val="18"/>
                      </w:rPr>
                      <w:t>增加17.64个百分点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6772647"/>
              <w:lock w:val="sdtLocked"/>
            </w:sdtPr>
            <w:sdtEndPr>
              <w:rPr>
                <w:rFonts w:hint="eastAsia"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1" w:type="dxa"/>
                    <w:vAlign w:val="center"/>
                  </w:tcPr>
                  <w:p>
                    <w:pPr>
                      <w:pStyle w:val="53"/>
                      <w:ind w:firstLine="0" w:firstLineChars="0"/>
                      <w:jc w:val="center"/>
                      <w:rPr>
                        <w:rFonts w:ascii="宋体" w:hAnsi="宋体" w:cs="宋体"/>
                        <w:sz w:val="18"/>
                        <w:szCs w:val="18"/>
                      </w:rPr>
                    </w:pPr>
                    <w:r>
                      <w:rPr>
                        <w:sz w:val="18"/>
                        <w:szCs w:val="18"/>
                      </w:rPr>
                      <w:t>云南、贵州、四川地区</w:t>
                    </w:r>
                  </w:p>
                </w:tc>
                <w:tc>
                  <w:tcPr>
                    <w:tcW w:w="2002" w:type="dxa"/>
                    <w:vAlign w:val="center"/>
                  </w:tcPr>
                  <w:p>
                    <w:pPr>
                      <w:widowControl w:val="0"/>
                      <w:jc w:val="right"/>
                      <w:rPr>
                        <w:sz w:val="18"/>
                        <w:szCs w:val="18"/>
                      </w:rPr>
                    </w:pPr>
                    <w:r>
                      <w:rPr>
                        <w:sz w:val="18"/>
                        <w:szCs w:val="18"/>
                      </w:rPr>
                      <w:t>961,722,616.15</w:t>
                    </w:r>
                  </w:p>
                </w:tc>
                <w:tc>
                  <w:tcPr>
                    <w:tcW w:w="2002" w:type="dxa"/>
                    <w:vAlign w:val="center"/>
                  </w:tcPr>
                  <w:p>
                    <w:pPr>
                      <w:widowControl w:val="0"/>
                      <w:jc w:val="right"/>
                      <w:rPr>
                        <w:sz w:val="18"/>
                        <w:szCs w:val="18"/>
                      </w:rPr>
                    </w:pPr>
                    <w:r>
                      <w:rPr>
                        <w:sz w:val="18"/>
                        <w:szCs w:val="18"/>
                      </w:rPr>
                      <w:t>789,737,752.77</w:t>
                    </w:r>
                  </w:p>
                </w:tc>
                <w:tc>
                  <w:tcPr>
                    <w:tcW w:w="1010" w:type="dxa"/>
                    <w:vAlign w:val="center"/>
                  </w:tcPr>
                  <w:p>
                    <w:pPr>
                      <w:widowControl w:val="0"/>
                      <w:jc w:val="right"/>
                      <w:rPr>
                        <w:sz w:val="18"/>
                        <w:szCs w:val="18"/>
                      </w:rPr>
                    </w:pPr>
                    <w:r>
                      <w:rPr>
                        <w:sz w:val="18"/>
                        <w:szCs w:val="18"/>
                      </w:rPr>
                      <w:t>17.88%</w:t>
                    </w:r>
                  </w:p>
                </w:tc>
                <w:tc>
                  <w:tcPr>
                    <w:tcW w:w="1010" w:type="dxa"/>
                    <w:vAlign w:val="center"/>
                  </w:tcPr>
                  <w:p>
                    <w:pPr>
                      <w:widowControl w:val="0"/>
                      <w:jc w:val="right"/>
                      <w:rPr>
                        <w:sz w:val="18"/>
                        <w:szCs w:val="18"/>
                      </w:rPr>
                    </w:pPr>
                    <w:r>
                      <w:rPr>
                        <w:sz w:val="18"/>
                        <w:szCs w:val="18"/>
                      </w:rPr>
                      <w:t>273.63%</w:t>
                    </w:r>
                  </w:p>
                </w:tc>
                <w:tc>
                  <w:tcPr>
                    <w:tcW w:w="1010" w:type="dxa"/>
                    <w:vAlign w:val="center"/>
                  </w:tcPr>
                  <w:p>
                    <w:pPr>
                      <w:widowControl w:val="0"/>
                      <w:jc w:val="right"/>
                      <w:rPr>
                        <w:sz w:val="18"/>
                        <w:szCs w:val="18"/>
                      </w:rPr>
                    </w:pPr>
                    <w:r>
                      <w:rPr>
                        <w:sz w:val="18"/>
                        <w:szCs w:val="18"/>
                      </w:rPr>
                      <w:t>182.90%</w:t>
                    </w:r>
                  </w:p>
                </w:tc>
                <w:tc>
                  <w:tcPr>
                    <w:tcW w:w="1004" w:type="dxa"/>
                  </w:tcPr>
                  <w:p>
                    <w:pPr>
                      <w:widowControl w:val="0"/>
                      <w:jc w:val="both"/>
                      <w:rPr>
                        <w:sz w:val="18"/>
                        <w:szCs w:val="18"/>
                      </w:rPr>
                    </w:pPr>
                    <w:r>
                      <w:rPr>
                        <w:sz w:val="18"/>
                        <w:szCs w:val="18"/>
                      </w:rPr>
                      <w:t>增加26.33个百分点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6772648"/>
              <w:lock w:val="sdtLocked"/>
            </w:sdtPr>
            <w:sdtEndPr>
              <w:rPr>
                <w:rFonts w:hint="eastAsia"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pStyle w:val="53"/>
                      <w:ind w:firstLine="0" w:firstLineChars="0"/>
                      <w:jc w:val="center"/>
                      <w:rPr>
                        <w:rFonts w:ascii="宋体" w:hAnsi="宋体" w:cs="宋体"/>
                        <w:sz w:val="18"/>
                        <w:szCs w:val="18"/>
                      </w:rPr>
                    </w:pPr>
                    <w:r>
                      <w:rPr>
                        <w:sz w:val="18"/>
                        <w:szCs w:val="18"/>
                      </w:rPr>
                      <w:t>华东及其他地区</w:t>
                    </w:r>
                  </w:p>
                </w:tc>
                <w:tc>
                  <w:tcPr>
                    <w:tcW w:w="2002" w:type="dxa"/>
                    <w:vAlign w:val="center"/>
                  </w:tcPr>
                  <w:p>
                    <w:pPr>
                      <w:widowControl w:val="0"/>
                      <w:jc w:val="right"/>
                      <w:rPr>
                        <w:sz w:val="18"/>
                        <w:szCs w:val="18"/>
                      </w:rPr>
                    </w:pPr>
                    <w:r>
                      <w:rPr>
                        <w:sz w:val="18"/>
                        <w:szCs w:val="18"/>
                      </w:rPr>
                      <w:t>1,120,481,017.65</w:t>
                    </w:r>
                  </w:p>
                </w:tc>
                <w:tc>
                  <w:tcPr>
                    <w:tcW w:w="2002" w:type="dxa"/>
                    <w:vAlign w:val="center"/>
                  </w:tcPr>
                  <w:p>
                    <w:pPr>
                      <w:widowControl w:val="0"/>
                      <w:jc w:val="right"/>
                      <w:rPr>
                        <w:sz w:val="18"/>
                        <w:szCs w:val="18"/>
                      </w:rPr>
                    </w:pPr>
                    <w:r>
                      <w:rPr>
                        <w:sz w:val="18"/>
                        <w:szCs w:val="18"/>
                      </w:rPr>
                      <w:t>922,449,019.05</w:t>
                    </w:r>
                  </w:p>
                </w:tc>
                <w:tc>
                  <w:tcPr>
                    <w:tcW w:w="1010" w:type="dxa"/>
                    <w:vAlign w:val="center"/>
                  </w:tcPr>
                  <w:p>
                    <w:pPr>
                      <w:widowControl w:val="0"/>
                      <w:jc w:val="right"/>
                      <w:rPr>
                        <w:sz w:val="18"/>
                        <w:szCs w:val="18"/>
                      </w:rPr>
                    </w:pPr>
                    <w:r>
                      <w:rPr>
                        <w:sz w:val="18"/>
                        <w:szCs w:val="18"/>
                      </w:rPr>
                      <w:t>17.67%</w:t>
                    </w:r>
                  </w:p>
                </w:tc>
                <w:tc>
                  <w:tcPr>
                    <w:tcW w:w="1010" w:type="dxa"/>
                    <w:vAlign w:val="center"/>
                  </w:tcPr>
                  <w:p>
                    <w:pPr>
                      <w:widowControl w:val="0"/>
                      <w:jc w:val="right"/>
                      <w:rPr>
                        <w:sz w:val="18"/>
                        <w:szCs w:val="18"/>
                      </w:rPr>
                    </w:pPr>
                    <w:r>
                      <w:rPr>
                        <w:sz w:val="18"/>
                        <w:szCs w:val="18"/>
                      </w:rPr>
                      <w:t>36.73%</w:t>
                    </w:r>
                  </w:p>
                </w:tc>
                <w:tc>
                  <w:tcPr>
                    <w:tcW w:w="1010" w:type="dxa"/>
                    <w:vAlign w:val="center"/>
                  </w:tcPr>
                  <w:p>
                    <w:pPr>
                      <w:widowControl w:val="0"/>
                      <w:jc w:val="right"/>
                      <w:rPr>
                        <w:sz w:val="18"/>
                        <w:szCs w:val="18"/>
                      </w:rPr>
                    </w:pPr>
                    <w:r>
                      <w:rPr>
                        <w:sz w:val="18"/>
                        <w:szCs w:val="18"/>
                      </w:rPr>
                      <w:t>17.09%</w:t>
                    </w:r>
                  </w:p>
                </w:tc>
                <w:tc>
                  <w:tcPr>
                    <w:tcW w:w="1004" w:type="dxa"/>
                  </w:tcPr>
                  <w:p>
                    <w:pPr>
                      <w:widowControl w:val="0"/>
                      <w:jc w:val="both"/>
                      <w:rPr>
                        <w:sz w:val="18"/>
                        <w:szCs w:val="18"/>
                      </w:rPr>
                    </w:pPr>
                    <w:r>
                      <w:rPr>
                        <w:sz w:val="18"/>
                        <w:szCs w:val="18"/>
                      </w:rPr>
                      <w:t>增加13.81个百分点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6772649"/>
              <w:lock w:val="sdtLocked"/>
            </w:sdtPr>
            <w:sdtEndPr>
              <w:rPr>
                <w:rFonts w:hint="eastAsia"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1" w:type="dxa"/>
                    <w:vAlign w:val="center"/>
                  </w:tcPr>
                  <w:p>
                    <w:pPr>
                      <w:pStyle w:val="53"/>
                      <w:ind w:firstLine="0" w:firstLineChars="0"/>
                      <w:jc w:val="center"/>
                      <w:rPr>
                        <w:rFonts w:ascii="宋体" w:hAnsi="宋体" w:cs="宋体"/>
                        <w:sz w:val="18"/>
                        <w:szCs w:val="18"/>
                      </w:rPr>
                    </w:pPr>
                    <w:r>
                      <w:rPr>
                        <w:sz w:val="18"/>
                        <w:szCs w:val="18"/>
                      </w:rPr>
                      <w:t>出口国外</w:t>
                    </w:r>
                  </w:p>
                </w:tc>
                <w:tc>
                  <w:tcPr>
                    <w:tcW w:w="2002" w:type="dxa"/>
                    <w:vAlign w:val="center"/>
                  </w:tcPr>
                  <w:p>
                    <w:pPr>
                      <w:widowControl w:val="0"/>
                      <w:jc w:val="right"/>
                      <w:rPr>
                        <w:sz w:val="18"/>
                        <w:szCs w:val="18"/>
                      </w:rPr>
                    </w:pPr>
                    <w:r>
                      <w:rPr>
                        <w:sz w:val="18"/>
                        <w:szCs w:val="18"/>
                      </w:rPr>
                      <w:t>68,214,939.43</w:t>
                    </w:r>
                  </w:p>
                </w:tc>
                <w:tc>
                  <w:tcPr>
                    <w:tcW w:w="2002" w:type="dxa"/>
                    <w:vAlign w:val="center"/>
                  </w:tcPr>
                  <w:p>
                    <w:pPr>
                      <w:widowControl w:val="0"/>
                      <w:jc w:val="right"/>
                      <w:rPr>
                        <w:sz w:val="18"/>
                        <w:szCs w:val="18"/>
                      </w:rPr>
                    </w:pPr>
                    <w:r>
                      <w:rPr>
                        <w:sz w:val="18"/>
                        <w:szCs w:val="18"/>
                      </w:rPr>
                      <w:t>52,980,421.00</w:t>
                    </w:r>
                  </w:p>
                </w:tc>
                <w:tc>
                  <w:tcPr>
                    <w:tcW w:w="1010" w:type="dxa"/>
                    <w:vAlign w:val="center"/>
                  </w:tcPr>
                  <w:p>
                    <w:pPr>
                      <w:widowControl w:val="0"/>
                      <w:jc w:val="right"/>
                      <w:rPr>
                        <w:sz w:val="18"/>
                        <w:szCs w:val="18"/>
                      </w:rPr>
                    </w:pPr>
                    <w:r>
                      <w:rPr>
                        <w:sz w:val="18"/>
                        <w:szCs w:val="18"/>
                      </w:rPr>
                      <w:t>22.33%</w:t>
                    </w:r>
                  </w:p>
                </w:tc>
                <w:tc>
                  <w:tcPr>
                    <w:tcW w:w="1010" w:type="dxa"/>
                    <w:vAlign w:val="center"/>
                  </w:tcPr>
                  <w:p>
                    <w:pPr>
                      <w:widowControl w:val="0"/>
                      <w:jc w:val="right"/>
                      <w:rPr>
                        <w:sz w:val="18"/>
                        <w:szCs w:val="18"/>
                      </w:rPr>
                    </w:pPr>
                    <w:r>
                      <w:rPr>
                        <w:sz w:val="18"/>
                        <w:szCs w:val="18"/>
                      </w:rPr>
                      <w:t>-58.82%</w:t>
                    </w:r>
                  </w:p>
                </w:tc>
                <w:tc>
                  <w:tcPr>
                    <w:tcW w:w="1010" w:type="dxa"/>
                    <w:vAlign w:val="center"/>
                  </w:tcPr>
                  <w:p>
                    <w:pPr>
                      <w:widowControl w:val="0"/>
                      <w:jc w:val="right"/>
                      <w:rPr>
                        <w:sz w:val="18"/>
                        <w:szCs w:val="18"/>
                      </w:rPr>
                    </w:pPr>
                    <w:r>
                      <w:rPr>
                        <w:sz w:val="18"/>
                        <w:szCs w:val="18"/>
                      </w:rPr>
                      <w:t>-69.12%</w:t>
                    </w:r>
                  </w:p>
                </w:tc>
                <w:tc>
                  <w:tcPr>
                    <w:tcW w:w="1004" w:type="dxa"/>
                  </w:tcPr>
                  <w:p>
                    <w:pPr>
                      <w:widowControl w:val="0"/>
                      <w:jc w:val="both"/>
                      <w:rPr>
                        <w:sz w:val="18"/>
                        <w:szCs w:val="18"/>
                      </w:rPr>
                    </w:pPr>
                    <w:r>
                      <w:rPr>
                        <w:sz w:val="18"/>
                        <w:szCs w:val="18"/>
                      </w:rPr>
                      <w:t>增加25.89个百分点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6772650"/>
              <w:lock w:val="sdtLocked"/>
            </w:sdtPr>
            <w:sdtEndPr>
              <w:rPr>
                <w:rFonts w:hint="eastAsia" w:ascii="宋体" w:hAnsi="宋体" w:cs="宋体" w:eastAsiaTheme="minorEastAsia"/>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pStyle w:val="53"/>
                      <w:ind w:firstLine="0" w:firstLineChars="0"/>
                      <w:jc w:val="center"/>
                      <w:rPr>
                        <w:rFonts w:ascii="宋体" w:hAnsi="宋体" w:cs="宋体"/>
                        <w:sz w:val="18"/>
                        <w:szCs w:val="18"/>
                      </w:rPr>
                    </w:pPr>
                    <w:r>
                      <w:rPr>
                        <w:sz w:val="18"/>
                        <w:szCs w:val="18"/>
                      </w:rPr>
                      <w:t>合计</w:t>
                    </w:r>
                  </w:p>
                </w:tc>
                <w:tc>
                  <w:tcPr>
                    <w:tcW w:w="2002" w:type="dxa"/>
                    <w:vAlign w:val="center"/>
                  </w:tcPr>
                  <w:p>
                    <w:pPr>
                      <w:widowControl w:val="0"/>
                      <w:jc w:val="right"/>
                      <w:rPr>
                        <w:sz w:val="18"/>
                        <w:szCs w:val="18"/>
                      </w:rPr>
                    </w:pPr>
                    <w:r>
                      <w:rPr>
                        <w:sz w:val="18"/>
                        <w:szCs w:val="18"/>
                      </w:rPr>
                      <w:t>38,870,013,062.78</w:t>
                    </w:r>
                  </w:p>
                </w:tc>
                <w:tc>
                  <w:tcPr>
                    <w:tcW w:w="2002" w:type="dxa"/>
                    <w:vAlign w:val="center"/>
                  </w:tcPr>
                  <w:p>
                    <w:pPr>
                      <w:widowControl w:val="0"/>
                      <w:jc w:val="right"/>
                      <w:rPr>
                        <w:sz w:val="18"/>
                        <w:szCs w:val="18"/>
                      </w:rPr>
                    </w:pPr>
                    <w:r>
                      <w:rPr>
                        <w:sz w:val="18"/>
                        <w:szCs w:val="18"/>
                      </w:rPr>
                      <w:t>35,408,353,889.23</w:t>
                    </w:r>
                  </w:p>
                </w:tc>
                <w:tc>
                  <w:tcPr>
                    <w:tcW w:w="1010" w:type="dxa"/>
                    <w:vAlign w:val="center"/>
                  </w:tcPr>
                  <w:p>
                    <w:pPr>
                      <w:widowControl w:val="0"/>
                      <w:jc w:val="right"/>
                      <w:rPr>
                        <w:sz w:val="18"/>
                        <w:szCs w:val="18"/>
                      </w:rPr>
                    </w:pPr>
                    <w:r>
                      <w:rPr>
                        <w:sz w:val="18"/>
                        <w:szCs w:val="18"/>
                      </w:rPr>
                      <w:t>8.91%</w:t>
                    </w:r>
                  </w:p>
                </w:tc>
                <w:tc>
                  <w:tcPr>
                    <w:tcW w:w="1010" w:type="dxa"/>
                    <w:vAlign w:val="center"/>
                  </w:tcPr>
                  <w:p>
                    <w:pPr>
                      <w:widowControl w:val="0"/>
                      <w:jc w:val="right"/>
                      <w:rPr>
                        <w:sz w:val="18"/>
                        <w:szCs w:val="18"/>
                      </w:rPr>
                    </w:pPr>
                    <w:r>
                      <w:rPr>
                        <w:sz w:val="18"/>
                        <w:szCs w:val="18"/>
                      </w:rPr>
                      <w:t>60.56%</w:t>
                    </w:r>
                  </w:p>
                </w:tc>
                <w:tc>
                  <w:tcPr>
                    <w:tcW w:w="1010" w:type="dxa"/>
                    <w:vAlign w:val="center"/>
                  </w:tcPr>
                  <w:p>
                    <w:pPr>
                      <w:widowControl w:val="0"/>
                      <w:jc w:val="right"/>
                      <w:rPr>
                        <w:sz w:val="18"/>
                        <w:szCs w:val="18"/>
                      </w:rPr>
                    </w:pPr>
                    <w:r>
                      <w:rPr>
                        <w:sz w:val="18"/>
                        <w:szCs w:val="18"/>
                      </w:rPr>
                      <w:t>53.25%</w:t>
                    </w:r>
                  </w:p>
                </w:tc>
                <w:tc>
                  <w:tcPr>
                    <w:tcW w:w="1004" w:type="dxa"/>
                  </w:tcPr>
                  <w:p>
                    <w:pPr>
                      <w:widowControl w:val="0"/>
                      <w:jc w:val="both"/>
                      <w:rPr>
                        <w:sz w:val="18"/>
                        <w:szCs w:val="18"/>
                      </w:rPr>
                    </w:pPr>
                    <w:r>
                      <w:rPr>
                        <w:sz w:val="18"/>
                        <w:szCs w:val="18"/>
                      </w:rPr>
                      <w:t>增加4.35个百分点</w:t>
                    </w:r>
                  </w:p>
                </w:tc>
              </w:tr>
            </w:sdtContent>
          </w:sdt>
        </w:tbl>
        <w:p/>
        <w:p>
          <w:pPr>
            <w:rPr>
              <w:szCs w:val="21"/>
            </w:rPr>
          </w:pPr>
          <w:r>
            <w:rPr>
              <w:szCs w:val="21"/>
            </w:rPr>
            <w:t>主营业务分行业</w:t>
          </w:r>
          <w:r>
            <w:rPr>
              <w:rFonts w:hint="eastAsia"/>
              <w:szCs w:val="21"/>
            </w:rPr>
            <w:t>、</w:t>
          </w:r>
          <w:r>
            <w:rPr>
              <w:szCs w:val="21"/>
            </w:rPr>
            <w:t>分产品、分地区情况的说明</w:t>
          </w:r>
        </w:p>
        <w:sdt>
          <w:sdtPr>
            <w:rPr>
              <w:szCs w:val="21"/>
            </w:rPr>
            <w:alias w:val="是否适用：主营业务分行业、分产品、分地区情况的说明[双击切换]"/>
            <w:tag w:val="_GBC_98a16d0f07ae4e32888ac9d1ac030e13"/>
            <w:id w:val="6772651"/>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sdt>
      <w:sdtPr>
        <w:rPr>
          <w:rFonts w:hint="eastAsia" w:ascii="宋体" w:hAnsi="宋体" w:cs="宋体"/>
          <w:b w:val="0"/>
          <w:bCs w:val="0"/>
          <w:kern w:val="0"/>
          <w:szCs w:val="24"/>
        </w:rPr>
        <w:alias w:val="模块:产销量情况分析表"/>
        <w:tag w:val="_SEC_b85e1cad33344c94a1ecc713f9b7acbc"/>
        <w:id w:val="6772665"/>
        <w:lock w:val="sdtLocked"/>
        <w:placeholder>
          <w:docPart w:val="GBC22222222222222222222222222222"/>
        </w:placeholder>
      </w:sdtPr>
      <w:sdtEndPr>
        <w:rPr>
          <w:rFonts w:hint="eastAsia" w:ascii="宋体" w:hAnsi="宋体" w:cs="宋体"/>
          <w:b w:val="0"/>
          <w:bCs w:val="0"/>
          <w:kern w:val="0"/>
          <w:szCs w:val="24"/>
        </w:rPr>
      </w:sdtEndPr>
      <w:sdtContent>
        <w:p>
          <w:pPr>
            <w:pStyle w:val="6"/>
            <w:numPr>
              <w:ilvl w:val="0"/>
              <w:numId w:val="11"/>
            </w:numPr>
            <w:tabs>
              <w:tab w:val="left" w:pos="567"/>
            </w:tabs>
            <w:ind w:left="0" w:firstLine="0"/>
            <w:rPr>
              <w:szCs w:val="21"/>
            </w:rPr>
          </w:pPr>
          <w:r>
            <w:rPr>
              <w:rFonts w:hint="eastAsia"/>
            </w:rPr>
            <w:t>产销量情况</w:t>
          </w:r>
          <w:r>
            <w:rPr>
              <w:szCs w:val="21"/>
            </w:rPr>
            <w:t>分析表</w:t>
          </w:r>
        </w:p>
        <w:sdt>
          <w:sdtPr>
            <w:alias w:val="是否适用：产销量情况分析表[双击切换]"/>
            <w:tag w:val="_GBC_6ff51c492b3040799712ea51f78bdcc0"/>
            <w:id w:val="677265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8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76"/>
            <w:gridCol w:w="1476"/>
            <w:gridCol w:w="1287"/>
            <w:gridCol w:w="1220"/>
            <w:gridCol w:w="122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59e79e9293847dfb1bd7816b6ad48e6"/>
                <w:id w:val="6772654"/>
                <w:lock w:val="sdtLocked"/>
              </w:sdtPr>
              <w:sdtContent>
                <w:tc>
                  <w:tcPr>
                    <w:tcW w:w="1105" w:type="dxa"/>
                    <w:vAlign w:val="center"/>
                  </w:tcPr>
                  <w:p>
                    <w:pPr>
                      <w:widowControl w:val="0"/>
                      <w:jc w:val="center"/>
                      <w:rPr>
                        <w:szCs w:val="21"/>
                      </w:rPr>
                    </w:pPr>
                    <w:r>
                      <w:rPr>
                        <w:rFonts w:hint="eastAsia"/>
                        <w:szCs w:val="21"/>
                      </w:rPr>
                      <w:t>主要产品</w:t>
                    </w:r>
                  </w:p>
                </w:tc>
              </w:sdtContent>
            </w:sdt>
            <w:sdt>
              <w:sdtPr>
                <w:tag w:val="_PLD_3645c9ae184248f6bd2dda9de0540406"/>
                <w:id w:val="6772655"/>
                <w:lock w:val="sdtLocked"/>
              </w:sdtPr>
              <w:sdtContent>
                <w:tc>
                  <w:tcPr>
                    <w:tcW w:w="1476" w:type="dxa"/>
                    <w:vAlign w:val="center"/>
                  </w:tcPr>
                  <w:p>
                    <w:pPr>
                      <w:widowControl w:val="0"/>
                      <w:jc w:val="center"/>
                      <w:rPr>
                        <w:szCs w:val="21"/>
                      </w:rPr>
                    </w:pPr>
                    <w:r>
                      <w:rPr>
                        <w:rFonts w:hint="eastAsia"/>
                        <w:szCs w:val="21"/>
                      </w:rPr>
                      <w:t>生产量（吨）</w:t>
                    </w:r>
                  </w:p>
                </w:tc>
              </w:sdtContent>
            </w:sdt>
            <w:sdt>
              <w:sdtPr>
                <w:tag w:val="_PLD_b4bd7da564c3452cb40ff15542829b7a"/>
                <w:id w:val="6772656"/>
                <w:lock w:val="sdtLocked"/>
              </w:sdtPr>
              <w:sdtContent>
                <w:tc>
                  <w:tcPr>
                    <w:tcW w:w="1476" w:type="dxa"/>
                    <w:vAlign w:val="center"/>
                  </w:tcPr>
                  <w:p>
                    <w:pPr>
                      <w:widowControl w:val="0"/>
                      <w:jc w:val="center"/>
                      <w:rPr>
                        <w:szCs w:val="21"/>
                      </w:rPr>
                    </w:pPr>
                    <w:r>
                      <w:rPr>
                        <w:rFonts w:hint="eastAsia"/>
                        <w:szCs w:val="21"/>
                      </w:rPr>
                      <w:t>销售量（吨）</w:t>
                    </w:r>
                  </w:p>
                </w:tc>
              </w:sdtContent>
            </w:sdt>
            <w:sdt>
              <w:sdtPr>
                <w:tag w:val="_PLD_4f74a09ae16245a3a6e2c536c1266361"/>
                <w:id w:val="6772657"/>
                <w:lock w:val="sdtLocked"/>
              </w:sdtPr>
              <w:sdtContent>
                <w:tc>
                  <w:tcPr>
                    <w:tcW w:w="1287" w:type="dxa"/>
                    <w:vAlign w:val="center"/>
                  </w:tcPr>
                  <w:p>
                    <w:pPr>
                      <w:widowControl w:val="0"/>
                      <w:jc w:val="center"/>
                      <w:rPr>
                        <w:szCs w:val="21"/>
                      </w:rPr>
                    </w:pPr>
                    <w:r>
                      <w:rPr>
                        <w:rFonts w:hint="eastAsia"/>
                        <w:szCs w:val="21"/>
                      </w:rPr>
                      <w:t>库存量（吨）</w:t>
                    </w:r>
                  </w:p>
                </w:tc>
              </w:sdtContent>
            </w:sdt>
            <w:sdt>
              <w:sdtPr>
                <w:tag w:val="_PLD_21bd7a4d992742feb4b83db592f976fd"/>
                <w:id w:val="6772658"/>
                <w:lock w:val="sdtLocked"/>
              </w:sdtPr>
              <w:sdtContent>
                <w:tc>
                  <w:tcPr>
                    <w:tcW w:w="1220" w:type="dxa"/>
                    <w:vAlign w:val="center"/>
                  </w:tcPr>
                  <w:p>
                    <w:pPr>
                      <w:widowControl w:val="0"/>
                      <w:jc w:val="center"/>
                      <w:rPr>
                        <w:szCs w:val="21"/>
                      </w:rPr>
                    </w:pPr>
                    <w:r>
                      <w:rPr>
                        <w:rFonts w:hint="eastAsia"/>
                        <w:szCs w:val="21"/>
                      </w:rPr>
                      <w:t>生产量比上年增减（%）</w:t>
                    </w:r>
                  </w:p>
                </w:tc>
              </w:sdtContent>
            </w:sdt>
            <w:sdt>
              <w:sdtPr>
                <w:tag w:val="_PLD_37e055a5474a4aac989b4e3a88756935"/>
                <w:id w:val="6772659"/>
                <w:lock w:val="sdtLocked"/>
              </w:sdtPr>
              <w:sdtContent>
                <w:tc>
                  <w:tcPr>
                    <w:tcW w:w="1220" w:type="dxa"/>
                    <w:vAlign w:val="center"/>
                  </w:tcPr>
                  <w:p>
                    <w:pPr>
                      <w:widowControl w:val="0"/>
                      <w:jc w:val="center"/>
                      <w:rPr>
                        <w:szCs w:val="21"/>
                      </w:rPr>
                    </w:pPr>
                    <w:r>
                      <w:rPr>
                        <w:rFonts w:hint="eastAsia"/>
                        <w:szCs w:val="21"/>
                      </w:rPr>
                      <w:t>销售量比上年增减（%）</w:t>
                    </w:r>
                  </w:p>
                </w:tc>
              </w:sdtContent>
            </w:sdt>
            <w:sdt>
              <w:sdtPr>
                <w:tag w:val="_PLD_d03cdf85475e4722ae39e10ea525eee5"/>
                <w:id w:val="6772660"/>
                <w:lock w:val="sdtLocked"/>
              </w:sdtPr>
              <w:sdtContent>
                <w:tc>
                  <w:tcPr>
                    <w:tcW w:w="1265" w:type="dxa"/>
                    <w:vAlign w:val="center"/>
                  </w:tcPr>
                  <w:p>
                    <w:pPr>
                      <w:widowControl w:val="0"/>
                      <w:jc w:val="center"/>
                      <w:rPr>
                        <w:szCs w:val="21"/>
                      </w:rPr>
                    </w:pPr>
                    <w:r>
                      <w:rPr>
                        <w:rFonts w:hint="eastAsia"/>
                        <w:szCs w:val="21"/>
                      </w:rPr>
                      <w:t>库存量比上年增减（%）</w:t>
                    </w:r>
                  </w:p>
                </w:tc>
              </w:sdtContent>
            </w:sdt>
          </w:tr>
          <w:sdt>
            <w:sdtPr>
              <w:rPr>
                <w:rFonts w:hint="eastAsia" w:asciiTheme="minorHAnsi" w:hAnsiTheme="minorHAnsi" w:eastAsiaTheme="minorEastAsia" w:cstheme="minorBidi"/>
                <w:kern w:val="2"/>
                <w:szCs w:val="21"/>
              </w:rPr>
              <w:alias w:val="产销量情况分析表明细"/>
              <w:tag w:val="_TUP_33c1439070494dd3b672cd58c90e07fd"/>
              <w:id w:val="6772661"/>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05" w:type="dxa"/>
                  </w:tcPr>
                  <w:p>
                    <w:pPr>
                      <w:widowControl w:val="0"/>
                      <w:jc w:val="both"/>
                      <w:rPr>
                        <w:szCs w:val="21"/>
                      </w:rPr>
                    </w:pPr>
                    <w:r>
                      <w:t>中型材</w:t>
                    </w:r>
                  </w:p>
                </w:tc>
                <w:tc>
                  <w:tcPr>
                    <w:tcW w:w="1476" w:type="dxa"/>
                  </w:tcPr>
                  <w:p>
                    <w:pPr>
                      <w:widowControl w:val="0"/>
                      <w:jc w:val="right"/>
                      <w:rPr>
                        <w:szCs w:val="21"/>
                      </w:rPr>
                    </w:pPr>
                    <w:r>
                      <w:t>100,889.58</w:t>
                    </w:r>
                  </w:p>
                </w:tc>
                <w:tc>
                  <w:tcPr>
                    <w:tcW w:w="1476" w:type="dxa"/>
                  </w:tcPr>
                  <w:p>
                    <w:pPr>
                      <w:widowControl w:val="0"/>
                      <w:jc w:val="right"/>
                      <w:rPr>
                        <w:szCs w:val="21"/>
                      </w:rPr>
                    </w:pPr>
                    <w:r>
                      <w:t>84,018.99</w:t>
                    </w:r>
                  </w:p>
                </w:tc>
                <w:tc>
                  <w:tcPr>
                    <w:tcW w:w="1287" w:type="dxa"/>
                  </w:tcPr>
                  <w:p>
                    <w:pPr>
                      <w:widowControl w:val="0"/>
                      <w:jc w:val="right"/>
                      <w:rPr>
                        <w:szCs w:val="21"/>
                      </w:rPr>
                    </w:pPr>
                    <w:r>
                      <w:t>17,701.74</w:t>
                    </w:r>
                  </w:p>
                </w:tc>
                <w:tc>
                  <w:tcPr>
                    <w:tcW w:w="1220" w:type="dxa"/>
                  </w:tcPr>
                  <w:p>
                    <w:pPr>
                      <w:widowControl w:val="0"/>
                      <w:jc w:val="right"/>
                      <w:rPr>
                        <w:szCs w:val="21"/>
                      </w:rPr>
                    </w:pPr>
                    <w:r>
                      <w:t>32.94%</w:t>
                    </w:r>
                  </w:p>
                </w:tc>
                <w:tc>
                  <w:tcPr>
                    <w:tcW w:w="1220" w:type="dxa"/>
                  </w:tcPr>
                  <w:p>
                    <w:pPr>
                      <w:widowControl w:val="0"/>
                      <w:jc w:val="right"/>
                      <w:rPr>
                        <w:szCs w:val="21"/>
                      </w:rPr>
                    </w:pPr>
                    <w:r>
                      <w:t>1.27%</w:t>
                    </w:r>
                  </w:p>
                </w:tc>
                <w:tc>
                  <w:tcPr>
                    <w:tcW w:w="1265" w:type="dxa"/>
                  </w:tcPr>
                  <w:p>
                    <w:pPr>
                      <w:widowControl w:val="0"/>
                      <w:jc w:val="right"/>
                      <w:rPr>
                        <w:szCs w:val="21"/>
                      </w:rPr>
                    </w:pPr>
                    <w:r>
                      <w:t>2,029.66%</w:t>
                    </w:r>
                  </w:p>
                </w:tc>
              </w:tr>
            </w:sdtContent>
          </w:sdt>
          <w:sdt>
            <w:sdtPr>
              <w:rPr>
                <w:rFonts w:hint="eastAsia" w:asciiTheme="minorHAnsi" w:hAnsiTheme="minorHAnsi" w:eastAsiaTheme="minorEastAsia" w:cstheme="minorBidi"/>
                <w:kern w:val="2"/>
                <w:szCs w:val="21"/>
              </w:rPr>
              <w:alias w:val="产销量情况分析表明细"/>
              <w:tag w:val="_TUP_33c1439070494dd3b672cd58c90e07fd"/>
              <w:id w:val="6772662"/>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05" w:type="dxa"/>
                  </w:tcPr>
                  <w:p>
                    <w:pPr>
                      <w:widowControl w:val="0"/>
                      <w:jc w:val="both"/>
                      <w:rPr>
                        <w:szCs w:val="21"/>
                      </w:rPr>
                    </w:pPr>
                    <w:r>
                      <w:t>中板材</w:t>
                    </w:r>
                  </w:p>
                </w:tc>
                <w:tc>
                  <w:tcPr>
                    <w:tcW w:w="1476" w:type="dxa"/>
                  </w:tcPr>
                  <w:p>
                    <w:pPr>
                      <w:widowControl w:val="0"/>
                      <w:jc w:val="right"/>
                      <w:rPr>
                        <w:szCs w:val="21"/>
                      </w:rPr>
                    </w:pPr>
                    <w:r>
                      <w:t>648,074.68</w:t>
                    </w:r>
                  </w:p>
                </w:tc>
                <w:tc>
                  <w:tcPr>
                    <w:tcW w:w="1476" w:type="dxa"/>
                  </w:tcPr>
                  <w:p>
                    <w:pPr>
                      <w:widowControl w:val="0"/>
                      <w:jc w:val="right"/>
                      <w:rPr>
                        <w:szCs w:val="21"/>
                      </w:rPr>
                    </w:pPr>
                    <w:r>
                      <w:t>646,616.10</w:t>
                    </w:r>
                  </w:p>
                </w:tc>
                <w:tc>
                  <w:tcPr>
                    <w:tcW w:w="1287" w:type="dxa"/>
                  </w:tcPr>
                  <w:p>
                    <w:pPr>
                      <w:widowControl w:val="0"/>
                      <w:jc w:val="right"/>
                      <w:rPr>
                        <w:szCs w:val="21"/>
                      </w:rPr>
                    </w:pPr>
                    <w:r>
                      <w:t>18,256.46</w:t>
                    </w:r>
                  </w:p>
                </w:tc>
                <w:tc>
                  <w:tcPr>
                    <w:tcW w:w="1220" w:type="dxa"/>
                  </w:tcPr>
                  <w:p>
                    <w:pPr>
                      <w:widowControl w:val="0"/>
                      <w:jc w:val="right"/>
                      <w:rPr>
                        <w:szCs w:val="21"/>
                      </w:rPr>
                    </w:pPr>
                    <w:r>
                      <w:t>-18.02%</w:t>
                    </w:r>
                  </w:p>
                </w:tc>
                <w:tc>
                  <w:tcPr>
                    <w:tcW w:w="1220" w:type="dxa"/>
                  </w:tcPr>
                  <w:p>
                    <w:pPr>
                      <w:widowControl w:val="0"/>
                      <w:jc w:val="right"/>
                      <w:rPr>
                        <w:szCs w:val="21"/>
                      </w:rPr>
                    </w:pPr>
                    <w:r>
                      <w:t>-17.55%</w:t>
                    </w:r>
                  </w:p>
                </w:tc>
                <w:tc>
                  <w:tcPr>
                    <w:tcW w:w="1265" w:type="dxa"/>
                  </w:tcPr>
                  <w:p>
                    <w:pPr>
                      <w:widowControl w:val="0"/>
                      <w:jc w:val="right"/>
                      <w:rPr>
                        <w:szCs w:val="21"/>
                      </w:rPr>
                    </w:pPr>
                    <w:r>
                      <w:t>8.68%</w:t>
                    </w:r>
                  </w:p>
                </w:tc>
              </w:tr>
            </w:sdtContent>
          </w:sdt>
          <w:sdt>
            <w:sdtPr>
              <w:rPr>
                <w:rFonts w:hint="eastAsia" w:asciiTheme="minorHAnsi" w:hAnsiTheme="minorHAnsi" w:eastAsiaTheme="minorEastAsia" w:cstheme="minorBidi"/>
                <w:kern w:val="2"/>
                <w:szCs w:val="21"/>
              </w:rPr>
              <w:alias w:val="产销量情况分析表明细"/>
              <w:tag w:val="_TUP_33c1439070494dd3b672cd58c90e07fd"/>
              <w:id w:val="6772663"/>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05" w:type="dxa"/>
                  </w:tcPr>
                  <w:p>
                    <w:pPr>
                      <w:widowControl w:val="0"/>
                      <w:jc w:val="both"/>
                      <w:rPr>
                        <w:szCs w:val="21"/>
                      </w:rPr>
                    </w:pPr>
                    <w:r>
                      <w:t>小型材</w:t>
                    </w:r>
                  </w:p>
                </w:tc>
                <w:tc>
                  <w:tcPr>
                    <w:tcW w:w="1476" w:type="dxa"/>
                  </w:tcPr>
                  <w:p>
                    <w:pPr>
                      <w:widowControl w:val="0"/>
                      <w:jc w:val="right"/>
                      <w:rPr>
                        <w:szCs w:val="21"/>
                      </w:rPr>
                    </w:pPr>
                    <w:r>
                      <w:t>6,475,016.26</w:t>
                    </w:r>
                  </w:p>
                </w:tc>
                <w:tc>
                  <w:tcPr>
                    <w:tcW w:w="1476" w:type="dxa"/>
                  </w:tcPr>
                  <w:p>
                    <w:pPr>
                      <w:widowControl w:val="0"/>
                      <w:jc w:val="right"/>
                      <w:rPr>
                        <w:szCs w:val="21"/>
                      </w:rPr>
                    </w:pPr>
                    <w:r>
                      <w:t>6,421,576.79</w:t>
                    </w:r>
                  </w:p>
                </w:tc>
                <w:tc>
                  <w:tcPr>
                    <w:tcW w:w="1287" w:type="dxa"/>
                  </w:tcPr>
                  <w:p>
                    <w:pPr>
                      <w:widowControl w:val="0"/>
                      <w:jc w:val="right"/>
                      <w:rPr>
                        <w:szCs w:val="21"/>
                      </w:rPr>
                    </w:pPr>
                    <w:r>
                      <w:t>106,840.06</w:t>
                    </w:r>
                  </w:p>
                </w:tc>
                <w:tc>
                  <w:tcPr>
                    <w:tcW w:w="1220" w:type="dxa"/>
                  </w:tcPr>
                  <w:p>
                    <w:pPr>
                      <w:widowControl w:val="0"/>
                      <w:jc w:val="right"/>
                      <w:rPr>
                        <w:szCs w:val="21"/>
                      </w:rPr>
                    </w:pPr>
                    <w:r>
                      <w:t>41.29%</w:t>
                    </w:r>
                  </w:p>
                </w:tc>
                <w:tc>
                  <w:tcPr>
                    <w:tcW w:w="1220" w:type="dxa"/>
                  </w:tcPr>
                  <w:p>
                    <w:pPr>
                      <w:widowControl w:val="0"/>
                      <w:jc w:val="right"/>
                      <w:rPr>
                        <w:szCs w:val="21"/>
                      </w:rPr>
                    </w:pPr>
                    <w:r>
                      <w:t>38.89%</w:t>
                    </w:r>
                  </w:p>
                </w:tc>
                <w:tc>
                  <w:tcPr>
                    <w:tcW w:w="1265" w:type="dxa"/>
                  </w:tcPr>
                  <w:p>
                    <w:pPr>
                      <w:widowControl w:val="0"/>
                      <w:jc w:val="right"/>
                      <w:rPr>
                        <w:szCs w:val="21"/>
                      </w:rPr>
                    </w:pPr>
                    <w:r>
                      <w:t>51.66%</w:t>
                    </w:r>
                  </w:p>
                </w:tc>
              </w:tr>
            </w:sdtContent>
          </w:sdt>
          <w:sdt>
            <w:sdtPr>
              <w:rPr>
                <w:rFonts w:hint="eastAsia" w:asciiTheme="minorHAnsi" w:hAnsiTheme="minorHAnsi" w:eastAsiaTheme="minorEastAsia" w:cstheme="minorBidi"/>
                <w:kern w:val="2"/>
                <w:szCs w:val="21"/>
              </w:rPr>
              <w:alias w:val="产销量情况分析表明细"/>
              <w:tag w:val="_TUP_33c1439070494dd3b672cd58c90e07fd"/>
              <w:id w:val="6772664"/>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105" w:type="dxa"/>
                  </w:tcPr>
                  <w:p>
                    <w:pPr>
                      <w:widowControl w:val="0"/>
                      <w:jc w:val="both"/>
                      <w:rPr>
                        <w:szCs w:val="21"/>
                      </w:rPr>
                    </w:pPr>
                    <w:r>
                      <w:t>钢坯</w:t>
                    </w:r>
                  </w:p>
                </w:tc>
                <w:tc>
                  <w:tcPr>
                    <w:tcW w:w="1476" w:type="dxa"/>
                  </w:tcPr>
                  <w:p>
                    <w:pPr>
                      <w:widowControl w:val="0"/>
                      <w:jc w:val="right"/>
                      <w:rPr>
                        <w:szCs w:val="21"/>
                      </w:rPr>
                    </w:pPr>
                    <w:r>
                      <w:t>5,136,948.70</w:t>
                    </w:r>
                  </w:p>
                </w:tc>
                <w:tc>
                  <w:tcPr>
                    <w:tcW w:w="1476" w:type="dxa"/>
                  </w:tcPr>
                  <w:p>
                    <w:pPr>
                      <w:widowControl w:val="0"/>
                      <w:jc w:val="right"/>
                      <w:rPr>
                        <w:szCs w:val="21"/>
                      </w:rPr>
                    </w:pPr>
                    <w:r>
                      <w:t>5,172,068.70</w:t>
                    </w:r>
                  </w:p>
                </w:tc>
                <w:tc>
                  <w:tcPr>
                    <w:tcW w:w="1287" w:type="dxa"/>
                  </w:tcPr>
                  <w:p>
                    <w:pPr>
                      <w:widowControl w:val="0"/>
                      <w:jc w:val="right"/>
                      <w:rPr>
                        <w:szCs w:val="21"/>
                      </w:rPr>
                    </w:pPr>
                    <w:r>
                      <w:t>24,343.10</w:t>
                    </w:r>
                  </w:p>
                </w:tc>
                <w:tc>
                  <w:tcPr>
                    <w:tcW w:w="1220" w:type="dxa"/>
                  </w:tcPr>
                  <w:p>
                    <w:pPr>
                      <w:widowControl w:val="0"/>
                      <w:jc w:val="right"/>
                      <w:rPr>
                        <w:szCs w:val="21"/>
                      </w:rPr>
                    </w:pPr>
                    <w:r>
                      <w:t>-8.57</w:t>
                    </w:r>
                  </w:p>
                </w:tc>
                <w:tc>
                  <w:tcPr>
                    <w:tcW w:w="1220" w:type="dxa"/>
                  </w:tcPr>
                  <w:p>
                    <w:pPr>
                      <w:widowControl w:val="0"/>
                      <w:jc w:val="right"/>
                      <w:rPr>
                        <w:szCs w:val="21"/>
                      </w:rPr>
                    </w:pPr>
                    <w:r>
                      <w:t>-7.61</w:t>
                    </w:r>
                  </w:p>
                </w:tc>
                <w:tc>
                  <w:tcPr>
                    <w:tcW w:w="1265" w:type="dxa"/>
                  </w:tcPr>
                  <w:p>
                    <w:pPr>
                      <w:widowControl w:val="0"/>
                      <w:jc w:val="right"/>
                      <w:rPr>
                        <w:szCs w:val="21"/>
                      </w:rPr>
                    </w:pPr>
                    <w:r>
                      <w:t>-59.06</w:t>
                    </w:r>
                  </w:p>
                </w:tc>
              </w:tr>
            </w:sdtContent>
          </w:sdt>
        </w:tbl>
        <w:p/>
      </w:sdtContent>
    </w:sdt>
    <w:p/>
    <w:sdt>
      <w:sdtPr>
        <w:rPr>
          <w:rFonts w:ascii="宋体" w:hAnsi="宋体" w:cs="宋体"/>
          <w:b w:val="0"/>
          <w:bCs w:val="0"/>
          <w:kern w:val="0"/>
          <w:szCs w:val="21"/>
        </w:rPr>
        <w:alias w:val="模块:成本分析表"/>
        <w:tag w:val="_SEC_de51976cba8242c1b32c1f5dc956546c"/>
        <w:id w:val="6772728"/>
        <w:lock w:val="sdtLocked"/>
        <w:placeholder>
          <w:docPart w:val="GBC22222222222222222222222222222"/>
        </w:placeholder>
      </w:sdtPr>
      <w:sdtEndPr>
        <w:rPr>
          <w:rFonts w:ascii="宋体" w:hAnsi="宋体" w:cs="宋体"/>
          <w:b w:val="0"/>
          <w:bCs w:val="0"/>
          <w:kern w:val="0"/>
          <w:szCs w:val="21"/>
        </w:rPr>
      </w:sdtEndPr>
      <w:sdtContent>
        <w:p>
          <w:pPr>
            <w:pStyle w:val="6"/>
            <w:numPr>
              <w:ilvl w:val="0"/>
              <w:numId w:val="11"/>
            </w:numPr>
            <w:tabs>
              <w:tab w:val="left" w:pos="567"/>
            </w:tabs>
            <w:ind w:left="0" w:firstLine="0"/>
            <w:rPr>
              <w:szCs w:val="21"/>
            </w:rPr>
          </w:pPr>
          <w:r>
            <w:rPr>
              <w:szCs w:val="21"/>
            </w:rPr>
            <w:t>成本分析表</w:t>
          </w:r>
        </w:p>
        <w:p>
          <w:pPr>
            <w:pStyle w:val="53"/>
            <w:ind w:firstLine="0" w:firstLineChars="0"/>
            <w:jc w:val="right"/>
            <w:rPr>
              <w:szCs w:val="21"/>
            </w:rPr>
          </w:pPr>
          <w:r>
            <w:rPr>
              <w:rFonts w:hint="eastAsia"/>
              <w:szCs w:val="21"/>
            </w:rPr>
            <w:t>单位：</w:t>
          </w:r>
          <w:sdt>
            <w:sdtPr>
              <w:rPr>
                <w:rFonts w:hint="eastAsia"/>
                <w:szCs w:val="21"/>
              </w:rPr>
              <w:alias w:val="单位：成本分析表"/>
              <w:tag w:val="_GBC_b04622a3125b4989a822b6e63bf483c3"/>
              <w:id w:val="677266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p>
        <w:tbl>
          <w:tblPr>
            <w:tblStyle w:val="81"/>
            <w:tblW w:w="978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45"/>
            <w:gridCol w:w="1131"/>
            <w:gridCol w:w="151"/>
            <w:gridCol w:w="1692"/>
            <w:gridCol w:w="149"/>
            <w:gridCol w:w="700"/>
            <w:gridCol w:w="295"/>
            <w:gridCol w:w="1547"/>
            <w:gridCol w:w="301"/>
            <w:gridCol w:w="692"/>
            <w:gridCol w:w="168"/>
            <w:gridCol w:w="882"/>
            <w:gridCol w:w="8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sdt>
              <w:sdtPr>
                <w:tag w:val="_PLD_23eca1a24a6a46819aede5056d21b4e0"/>
                <w:id w:val="6772667"/>
                <w:lock w:val="sdtLocked"/>
              </w:sdtPr>
              <w:sdtContent>
                <w:tc>
                  <w:tcPr>
                    <w:tcW w:w="9780" w:type="dxa"/>
                    <w:gridSpan w:val="15"/>
                    <w:vAlign w:val="center"/>
                  </w:tcPr>
                  <w:p>
                    <w:pPr>
                      <w:widowControl w:val="0"/>
                      <w:jc w:val="center"/>
                      <w:rPr>
                        <w:szCs w:val="21"/>
                      </w:rPr>
                    </w:pPr>
                    <w:r>
                      <w:rPr>
                        <w:szCs w:val="21"/>
                      </w:rPr>
                      <w:t>分行业情况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rPr>
                  <w:rFonts w:ascii="Times New Roman" w:hAnsi="Times New Roman"/>
                  <w:sz w:val="18"/>
                  <w:szCs w:val="18"/>
                </w:rPr>
                <w:tag w:val="_PLD_6ed773a4437a4fe9b33abca9c4813940"/>
                <w:id w:val="6772668"/>
                <w:lock w:val="sdtLocked"/>
              </w:sdtPr>
              <w:sdtEndPr>
                <w:rPr>
                  <w:rFonts w:ascii="Times New Roman" w:hAnsi="Times New Roman"/>
                  <w:sz w:val="18"/>
                  <w:szCs w:val="18"/>
                </w:rPr>
              </w:sdtEndPr>
              <w:sdtContent>
                <w:tc>
                  <w:tcPr>
                    <w:tcW w:w="1423" w:type="dxa"/>
                    <w:gridSpan w:val="2"/>
                    <w:vAlign w:val="center"/>
                  </w:tcPr>
                  <w:p>
                    <w:pPr>
                      <w:widowControl w:val="0"/>
                      <w:jc w:val="center"/>
                      <w:rPr>
                        <w:sz w:val="18"/>
                        <w:szCs w:val="18"/>
                      </w:rPr>
                    </w:pPr>
                    <w:r>
                      <w:rPr>
                        <w:sz w:val="18"/>
                        <w:szCs w:val="18"/>
                      </w:rPr>
                      <w:t>分行业</w:t>
                    </w:r>
                  </w:p>
                </w:tc>
              </w:sdtContent>
            </w:sdt>
            <w:sdt>
              <w:sdtPr>
                <w:rPr>
                  <w:rFonts w:ascii="Times New Roman" w:hAnsi="Times New Roman"/>
                  <w:sz w:val="18"/>
                  <w:szCs w:val="18"/>
                </w:rPr>
                <w:tag w:val="_PLD_11eb33bcb20d4489a1b9fff2216d0a84"/>
                <w:id w:val="6772669"/>
                <w:lock w:val="sdtLocked"/>
              </w:sdtPr>
              <w:sdtEndPr>
                <w:rPr>
                  <w:rFonts w:ascii="Times New Roman" w:hAnsi="Times New Roman"/>
                  <w:sz w:val="18"/>
                  <w:szCs w:val="18"/>
                </w:rPr>
              </w:sdtEndPr>
              <w:sdtContent>
                <w:tc>
                  <w:tcPr>
                    <w:tcW w:w="1282" w:type="dxa"/>
                    <w:gridSpan w:val="2"/>
                    <w:vAlign w:val="center"/>
                  </w:tcPr>
                  <w:p>
                    <w:pPr>
                      <w:widowControl w:val="0"/>
                      <w:jc w:val="center"/>
                      <w:rPr>
                        <w:sz w:val="18"/>
                        <w:szCs w:val="18"/>
                      </w:rPr>
                    </w:pPr>
                    <w:r>
                      <w:rPr>
                        <w:sz w:val="18"/>
                        <w:szCs w:val="18"/>
                      </w:rPr>
                      <w:t>成本构成项目</w:t>
                    </w:r>
                  </w:p>
                </w:tc>
              </w:sdtContent>
            </w:sdt>
            <w:sdt>
              <w:sdtPr>
                <w:rPr>
                  <w:rFonts w:ascii="Times New Roman" w:hAnsi="Times New Roman"/>
                  <w:sz w:val="18"/>
                  <w:szCs w:val="18"/>
                </w:rPr>
                <w:tag w:val="_PLD_25c03477e66a432199f6493c38aaca71"/>
                <w:id w:val="6772670"/>
                <w:lock w:val="sdtLocked"/>
              </w:sdtPr>
              <w:sdtEndPr>
                <w:rPr>
                  <w:rFonts w:ascii="Times New Roman" w:hAnsi="Times New Roman"/>
                  <w:sz w:val="18"/>
                  <w:szCs w:val="18"/>
                </w:rPr>
              </w:sdtEndPr>
              <w:sdtContent>
                <w:tc>
                  <w:tcPr>
                    <w:tcW w:w="1841" w:type="dxa"/>
                    <w:gridSpan w:val="2"/>
                    <w:vAlign w:val="center"/>
                  </w:tcPr>
                  <w:p>
                    <w:pPr>
                      <w:widowControl w:val="0"/>
                      <w:jc w:val="center"/>
                      <w:rPr>
                        <w:sz w:val="18"/>
                        <w:szCs w:val="18"/>
                      </w:rPr>
                    </w:pPr>
                    <w:r>
                      <w:rPr>
                        <w:sz w:val="18"/>
                        <w:szCs w:val="18"/>
                      </w:rPr>
                      <w:t>本期金额</w:t>
                    </w:r>
                  </w:p>
                </w:tc>
              </w:sdtContent>
            </w:sdt>
            <w:sdt>
              <w:sdtPr>
                <w:rPr>
                  <w:rFonts w:ascii="Times New Roman" w:hAnsi="Times New Roman"/>
                  <w:sz w:val="18"/>
                  <w:szCs w:val="18"/>
                </w:rPr>
                <w:tag w:val="_PLD_29b86b13ed1449cfb64b8547d9ed08a7"/>
                <w:id w:val="6772671"/>
                <w:lock w:val="sdtLocked"/>
              </w:sdtPr>
              <w:sdtEndPr>
                <w:rPr>
                  <w:rFonts w:ascii="Times New Roman" w:hAnsi="Times New Roman"/>
                  <w:sz w:val="18"/>
                  <w:szCs w:val="18"/>
                </w:rPr>
              </w:sdtEndPr>
              <w:sdtContent>
                <w:tc>
                  <w:tcPr>
                    <w:tcW w:w="995" w:type="dxa"/>
                    <w:gridSpan w:val="2"/>
                    <w:vAlign w:val="center"/>
                  </w:tcPr>
                  <w:p>
                    <w:pPr>
                      <w:widowControl w:val="0"/>
                      <w:jc w:val="center"/>
                      <w:rPr>
                        <w:sz w:val="18"/>
                        <w:szCs w:val="18"/>
                      </w:rPr>
                    </w:pPr>
                    <w:r>
                      <w:rPr>
                        <w:sz w:val="18"/>
                        <w:szCs w:val="18"/>
                      </w:rPr>
                      <w:t>本期占总成本比例(</w:t>
                    </w:r>
                    <w:r>
                      <w:rPr>
                        <w:rFonts w:hint="eastAsia"/>
                        <w:sz w:val="18"/>
                        <w:szCs w:val="18"/>
                      </w:rPr>
                      <w:t>%</w:t>
                    </w:r>
                    <w:r>
                      <w:rPr>
                        <w:sz w:val="18"/>
                        <w:szCs w:val="18"/>
                      </w:rPr>
                      <w:t>)</w:t>
                    </w:r>
                  </w:p>
                </w:tc>
              </w:sdtContent>
            </w:sdt>
            <w:sdt>
              <w:sdtPr>
                <w:rPr>
                  <w:rFonts w:ascii="Times New Roman" w:hAnsi="Times New Roman"/>
                  <w:sz w:val="18"/>
                  <w:szCs w:val="18"/>
                </w:rPr>
                <w:tag w:val="_PLD_5ff02c2ae2d941d5bb2ed5b1e6bfa8e6"/>
                <w:id w:val="6772672"/>
                <w:lock w:val="sdtLocked"/>
              </w:sdtPr>
              <w:sdtEndPr>
                <w:rPr>
                  <w:rFonts w:ascii="Times New Roman" w:hAnsi="Times New Roman"/>
                  <w:sz w:val="18"/>
                  <w:szCs w:val="18"/>
                </w:rPr>
              </w:sdtEndPr>
              <w:sdtContent>
                <w:tc>
                  <w:tcPr>
                    <w:tcW w:w="1848" w:type="dxa"/>
                    <w:gridSpan w:val="2"/>
                    <w:vAlign w:val="center"/>
                  </w:tcPr>
                  <w:p>
                    <w:pPr>
                      <w:widowControl w:val="0"/>
                      <w:jc w:val="center"/>
                      <w:rPr>
                        <w:sz w:val="18"/>
                        <w:szCs w:val="18"/>
                      </w:rPr>
                    </w:pPr>
                    <w:r>
                      <w:rPr>
                        <w:sz w:val="18"/>
                        <w:szCs w:val="18"/>
                      </w:rPr>
                      <w:t>上年同期金额</w:t>
                    </w:r>
                  </w:p>
                </w:tc>
              </w:sdtContent>
            </w:sdt>
            <w:sdt>
              <w:sdtPr>
                <w:rPr>
                  <w:rFonts w:ascii="Times New Roman" w:hAnsi="Times New Roman"/>
                  <w:sz w:val="18"/>
                  <w:szCs w:val="18"/>
                </w:rPr>
                <w:tag w:val="_PLD_517f7979a01748fba12b11d5561fdcdd"/>
                <w:id w:val="6772673"/>
                <w:lock w:val="sdtLocked"/>
              </w:sdtPr>
              <w:sdtEndPr>
                <w:rPr>
                  <w:rFonts w:ascii="Times New Roman" w:hAnsi="Times New Roman"/>
                  <w:sz w:val="18"/>
                  <w:szCs w:val="18"/>
                </w:rPr>
              </w:sdtEndPr>
              <w:sdtContent>
                <w:tc>
                  <w:tcPr>
                    <w:tcW w:w="860" w:type="dxa"/>
                    <w:gridSpan w:val="2"/>
                    <w:vAlign w:val="center"/>
                  </w:tcPr>
                  <w:p>
                    <w:pPr>
                      <w:widowControl w:val="0"/>
                      <w:jc w:val="center"/>
                      <w:rPr>
                        <w:sz w:val="18"/>
                        <w:szCs w:val="18"/>
                      </w:rPr>
                    </w:pPr>
                    <w:r>
                      <w:rPr>
                        <w:sz w:val="18"/>
                        <w:szCs w:val="18"/>
                      </w:rPr>
                      <w:t>上年同期占总成本比例(</w:t>
                    </w:r>
                    <w:r>
                      <w:rPr>
                        <w:rFonts w:hint="eastAsia"/>
                        <w:sz w:val="18"/>
                        <w:szCs w:val="18"/>
                      </w:rPr>
                      <w:t>%</w:t>
                    </w:r>
                    <w:r>
                      <w:rPr>
                        <w:sz w:val="18"/>
                        <w:szCs w:val="18"/>
                      </w:rPr>
                      <w:t>)</w:t>
                    </w:r>
                  </w:p>
                </w:tc>
              </w:sdtContent>
            </w:sdt>
            <w:sdt>
              <w:sdtPr>
                <w:rPr>
                  <w:rFonts w:ascii="Times New Roman" w:hAnsi="Times New Roman"/>
                  <w:sz w:val="18"/>
                  <w:szCs w:val="18"/>
                </w:rPr>
                <w:tag w:val="_PLD_51133d067ddc4eeda00133d4c26d206f"/>
                <w:id w:val="6772674"/>
                <w:lock w:val="sdtLocked"/>
              </w:sdtPr>
              <w:sdtEndPr>
                <w:rPr>
                  <w:rFonts w:ascii="Times New Roman" w:hAnsi="Times New Roman"/>
                  <w:sz w:val="18"/>
                  <w:szCs w:val="18"/>
                </w:rPr>
              </w:sdtEndPr>
              <w:sdtContent>
                <w:tc>
                  <w:tcPr>
                    <w:tcW w:w="882" w:type="dxa"/>
                    <w:vAlign w:val="center"/>
                  </w:tcPr>
                  <w:p>
                    <w:pPr>
                      <w:widowControl w:val="0"/>
                      <w:jc w:val="center"/>
                      <w:rPr>
                        <w:sz w:val="18"/>
                        <w:szCs w:val="18"/>
                      </w:rPr>
                    </w:pPr>
                    <w:r>
                      <w:rPr>
                        <w:sz w:val="18"/>
                        <w:szCs w:val="18"/>
                      </w:rPr>
                      <w:t>本期金额较上年同期变动比例(</w:t>
                    </w:r>
                    <w:r>
                      <w:rPr>
                        <w:rFonts w:hint="eastAsia"/>
                        <w:sz w:val="18"/>
                        <w:szCs w:val="18"/>
                      </w:rPr>
                      <w:t>%</w:t>
                    </w:r>
                    <w:r>
                      <w:rPr>
                        <w:sz w:val="18"/>
                        <w:szCs w:val="18"/>
                      </w:rPr>
                      <w:t>)</w:t>
                    </w:r>
                  </w:p>
                </w:tc>
              </w:sdtContent>
            </w:sdt>
            <w:sdt>
              <w:sdtPr>
                <w:rPr>
                  <w:rFonts w:ascii="Times New Roman" w:hAnsi="Times New Roman"/>
                  <w:sz w:val="18"/>
                  <w:szCs w:val="18"/>
                </w:rPr>
                <w:tag w:val="_PLD_88c2b4dabd62472381be05c0702377e2"/>
                <w:id w:val="6772675"/>
                <w:lock w:val="sdtLocked"/>
              </w:sdtPr>
              <w:sdtEndPr>
                <w:rPr>
                  <w:rFonts w:ascii="Times New Roman" w:hAnsi="Times New Roman"/>
                  <w:sz w:val="18"/>
                  <w:szCs w:val="18"/>
                </w:rPr>
              </w:sdtEndPr>
              <w:sdtContent>
                <w:tc>
                  <w:tcPr>
                    <w:tcW w:w="649" w:type="dxa"/>
                    <w:gridSpan w:val="2"/>
                    <w:vAlign w:val="center"/>
                  </w:tcPr>
                  <w:p>
                    <w:pPr>
                      <w:widowControl w:val="0"/>
                      <w:jc w:val="center"/>
                      <w:rPr>
                        <w:sz w:val="18"/>
                        <w:szCs w:val="18"/>
                      </w:rPr>
                    </w:pPr>
                    <w:r>
                      <w:rPr>
                        <w:sz w:val="18"/>
                        <w:szCs w:val="18"/>
                      </w:rPr>
                      <w:t>情况</w:t>
                    </w:r>
                  </w:p>
                  <w:p>
                    <w:pPr>
                      <w:widowControl w:val="0"/>
                      <w:jc w:val="center"/>
                      <w:rPr>
                        <w:sz w:val="18"/>
                        <w:szCs w:val="18"/>
                      </w:rPr>
                    </w:pPr>
                    <w:r>
                      <w:rPr>
                        <w:sz w:val="18"/>
                        <w:szCs w:val="18"/>
                      </w:rPr>
                      <w:t>说明</w:t>
                    </w:r>
                  </w:p>
                </w:tc>
              </w:sdtContent>
            </w:sdt>
          </w:tr>
          <w:sdt>
            <w:sdtPr>
              <w:rPr>
                <w:rFonts w:ascii="Calibri" w:hAnsi="Calibri" w:eastAsiaTheme="minorEastAsia" w:cstheme="minorBidi"/>
                <w:kern w:val="2"/>
                <w:sz w:val="18"/>
                <w:szCs w:val="18"/>
              </w:rPr>
              <w:alias w:val="分行业成本分析"/>
              <w:tag w:val="_TUP_fb9e3026efbd4a2c91fdedd10a926f41"/>
              <w:id w:val="6772676"/>
              <w:lock w:val="sdtLocked"/>
            </w:sdtPr>
            <w:sdtEndPr>
              <w:rPr>
                <w:rFonts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423" w:type="dxa"/>
                    <w:gridSpan w:val="2"/>
                    <w:vMerge w:val="restart"/>
                    <w:vAlign w:val="center"/>
                  </w:tcPr>
                  <w:p>
                    <w:pPr>
                      <w:widowControl w:val="0"/>
                      <w:jc w:val="center"/>
                      <w:rPr>
                        <w:rFonts w:ascii="Calibri" w:hAnsi="Calibri"/>
                        <w:sz w:val="18"/>
                        <w:szCs w:val="18"/>
                      </w:rPr>
                    </w:pPr>
                    <w:r>
                      <w:rPr>
                        <w:rFonts w:hint="eastAsia" w:ascii="Calibri" w:hAnsi="Calibri" w:eastAsiaTheme="minorEastAsia" w:cstheme="minorBidi"/>
                        <w:kern w:val="2"/>
                        <w:sz w:val="18"/>
                        <w:szCs w:val="18"/>
                      </w:rPr>
                      <w:t>冶金行业</w:t>
                    </w:r>
                  </w:p>
                </w:tc>
                <w:tc>
                  <w:tcPr>
                    <w:tcW w:w="1282" w:type="dxa"/>
                    <w:gridSpan w:val="2"/>
                  </w:tcPr>
                  <w:p>
                    <w:pPr>
                      <w:widowControl w:val="0"/>
                      <w:jc w:val="both"/>
                      <w:rPr>
                        <w:sz w:val="18"/>
                        <w:szCs w:val="18"/>
                      </w:rPr>
                    </w:pPr>
                    <w:r>
                      <w:rPr>
                        <w:sz w:val="18"/>
                        <w:szCs w:val="18"/>
                      </w:rPr>
                      <w:t>原材料</w:t>
                    </w:r>
                  </w:p>
                </w:tc>
                <w:tc>
                  <w:tcPr>
                    <w:tcW w:w="1841" w:type="dxa"/>
                    <w:gridSpan w:val="2"/>
                    <w:vAlign w:val="center"/>
                  </w:tcPr>
                  <w:p>
                    <w:pPr>
                      <w:widowControl w:val="0"/>
                      <w:jc w:val="right"/>
                      <w:rPr>
                        <w:sz w:val="18"/>
                        <w:szCs w:val="18"/>
                      </w:rPr>
                    </w:pPr>
                    <w:r>
                      <w:rPr>
                        <w:sz w:val="18"/>
                        <w:szCs w:val="18"/>
                      </w:rPr>
                      <w:t>22,991,876,480.25</w:t>
                    </w:r>
                  </w:p>
                </w:tc>
                <w:tc>
                  <w:tcPr>
                    <w:tcW w:w="995" w:type="dxa"/>
                    <w:gridSpan w:val="2"/>
                    <w:vAlign w:val="center"/>
                  </w:tcPr>
                  <w:p>
                    <w:pPr>
                      <w:widowControl w:val="0"/>
                      <w:jc w:val="right"/>
                      <w:rPr>
                        <w:sz w:val="18"/>
                        <w:szCs w:val="18"/>
                      </w:rPr>
                    </w:pPr>
                    <w:r>
                      <w:rPr>
                        <w:sz w:val="18"/>
                        <w:szCs w:val="18"/>
                      </w:rPr>
                      <w:t>64.93</w:t>
                    </w:r>
                  </w:p>
                </w:tc>
                <w:tc>
                  <w:tcPr>
                    <w:tcW w:w="1848" w:type="dxa"/>
                    <w:gridSpan w:val="2"/>
                    <w:vAlign w:val="center"/>
                  </w:tcPr>
                  <w:p>
                    <w:pPr>
                      <w:widowControl w:val="0"/>
                      <w:jc w:val="right"/>
                      <w:rPr>
                        <w:sz w:val="18"/>
                        <w:szCs w:val="18"/>
                      </w:rPr>
                    </w:pPr>
                    <w:r>
                      <w:rPr>
                        <w:sz w:val="18"/>
                        <w:szCs w:val="18"/>
                      </w:rPr>
                      <w:t>13,554,688,516.28</w:t>
                    </w:r>
                  </w:p>
                </w:tc>
                <w:tc>
                  <w:tcPr>
                    <w:tcW w:w="860" w:type="dxa"/>
                    <w:gridSpan w:val="2"/>
                    <w:vAlign w:val="center"/>
                  </w:tcPr>
                  <w:p>
                    <w:pPr>
                      <w:widowControl w:val="0"/>
                      <w:jc w:val="right"/>
                      <w:rPr>
                        <w:sz w:val="18"/>
                        <w:szCs w:val="18"/>
                      </w:rPr>
                    </w:pPr>
                    <w:r>
                      <w:rPr>
                        <w:sz w:val="18"/>
                        <w:szCs w:val="18"/>
                      </w:rPr>
                      <w:t>58.68</w:t>
                    </w:r>
                  </w:p>
                </w:tc>
                <w:tc>
                  <w:tcPr>
                    <w:tcW w:w="882" w:type="dxa"/>
                    <w:vAlign w:val="center"/>
                  </w:tcPr>
                  <w:p>
                    <w:pPr>
                      <w:widowControl w:val="0"/>
                      <w:jc w:val="right"/>
                      <w:rPr>
                        <w:sz w:val="18"/>
                        <w:szCs w:val="18"/>
                      </w:rPr>
                    </w:pPr>
                    <w:r>
                      <w:rPr>
                        <w:sz w:val="18"/>
                        <w:szCs w:val="18"/>
                      </w:rPr>
                      <w:t>69.62</w:t>
                    </w:r>
                  </w:p>
                </w:tc>
                <w:tc>
                  <w:tcPr>
                    <w:tcW w:w="649" w:type="dxa"/>
                    <w:gridSpan w:val="2"/>
                  </w:tcPr>
                  <w:p>
                    <w:pPr>
                      <w:widowControl w:val="0"/>
                      <w:jc w:val="both"/>
                      <w:rPr>
                        <w:sz w:val="18"/>
                        <w:szCs w:val="18"/>
                      </w:rPr>
                    </w:pPr>
                  </w:p>
                </w:tc>
              </w:tr>
            </w:sdtContent>
          </w:sdt>
          <w:sdt>
            <w:sdtPr>
              <w:rPr>
                <w:rFonts w:ascii="Calibri" w:hAnsi="Calibri"/>
                <w:sz w:val="18"/>
                <w:szCs w:val="18"/>
              </w:rPr>
              <w:alias w:val="分行业成本分析"/>
              <w:tag w:val="_TUP_fb9e3026efbd4a2c91fdedd10a926f41"/>
              <w:id w:val="6772677"/>
              <w:lock w:val="sdtLocked"/>
            </w:sdtPr>
            <w:sdtEndPr>
              <w:rPr>
                <w:rFonts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423" w:type="dxa"/>
                    <w:gridSpan w:val="2"/>
                    <w:vMerge w:val="continue"/>
                  </w:tcPr>
                  <w:p>
                    <w:pPr>
                      <w:widowControl w:val="0"/>
                      <w:jc w:val="both"/>
                      <w:rPr>
                        <w:rFonts w:ascii="Calibri" w:hAnsi="Calibri"/>
                        <w:sz w:val="18"/>
                        <w:szCs w:val="18"/>
                      </w:rPr>
                    </w:pPr>
                  </w:p>
                </w:tc>
                <w:tc>
                  <w:tcPr>
                    <w:tcW w:w="1282" w:type="dxa"/>
                    <w:gridSpan w:val="2"/>
                  </w:tcPr>
                  <w:p>
                    <w:pPr>
                      <w:widowControl w:val="0"/>
                      <w:jc w:val="both"/>
                      <w:rPr>
                        <w:sz w:val="18"/>
                        <w:szCs w:val="18"/>
                      </w:rPr>
                    </w:pPr>
                    <w:r>
                      <w:rPr>
                        <w:sz w:val="18"/>
                        <w:szCs w:val="18"/>
                      </w:rPr>
                      <w:t>辅助材料</w:t>
                    </w:r>
                  </w:p>
                </w:tc>
                <w:tc>
                  <w:tcPr>
                    <w:tcW w:w="1841" w:type="dxa"/>
                    <w:gridSpan w:val="2"/>
                    <w:vAlign w:val="center"/>
                  </w:tcPr>
                  <w:p>
                    <w:pPr>
                      <w:widowControl w:val="0"/>
                      <w:jc w:val="right"/>
                      <w:rPr>
                        <w:sz w:val="18"/>
                        <w:szCs w:val="18"/>
                      </w:rPr>
                    </w:pPr>
                    <w:r>
                      <w:rPr>
                        <w:sz w:val="18"/>
                        <w:szCs w:val="18"/>
                      </w:rPr>
                      <w:t>1,248,772,595.21</w:t>
                    </w:r>
                  </w:p>
                </w:tc>
                <w:tc>
                  <w:tcPr>
                    <w:tcW w:w="995" w:type="dxa"/>
                    <w:gridSpan w:val="2"/>
                    <w:vAlign w:val="center"/>
                  </w:tcPr>
                  <w:p>
                    <w:pPr>
                      <w:widowControl w:val="0"/>
                      <w:jc w:val="right"/>
                      <w:rPr>
                        <w:sz w:val="18"/>
                        <w:szCs w:val="18"/>
                      </w:rPr>
                    </w:pPr>
                    <w:r>
                      <w:rPr>
                        <w:sz w:val="18"/>
                        <w:szCs w:val="18"/>
                      </w:rPr>
                      <w:t>3.53</w:t>
                    </w:r>
                  </w:p>
                </w:tc>
                <w:tc>
                  <w:tcPr>
                    <w:tcW w:w="1848" w:type="dxa"/>
                    <w:gridSpan w:val="2"/>
                    <w:vAlign w:val="center"/>
                  </w:tcPr>
                  <w:p>
                    <w:pPr>
                      <w:widowControl w:val="0"/>
                      <w:jc w:val="right"/>
                      <w:rPr>
                        <w:sz w:val="18"/>
                        <w:szCs w:val="18"/>
                      </w:rPr>
                    </w:pPr>
                    <w:r>
                      <w:rPr>
                        <w:sz w:val="18"/>
                        <w:szCs w:val="18"/>
                      </w:rPr>
                      <w:t>982,891,924.78</w:t>
                    </w:r>
                  </w:p>
                </w:tc>
                <w:tc>
                  <w:tcPr>
                    <w:tcW w:w="860" w:type="dxa"/>
                    <w:gridSpan w:val="2"/>
                    <w:vAlign w:val="center"/>
                  </w:tcPr>
                  <w:p>
                    <w:pPr>
                      <w:widowControl w:val="0"/>
                      <w:jc w:val="right"/>
                      <w:rPr>
                        <w:sz w:val="18"/>
                        <w:szCs w:val="18"/>
                      </w:rPr>
                    </w:pPr>
                    <w:r>
                      <w:rPr>
                        <w:sz w:val="18"/>
                        <w:szCs w:val="18"/>
                      </w:rPr>
                      <w:t>4.25</w:t>
                    </w:r>
                  </w:p>
                </w:tc>
                <w:tc>
                  <w:tcPr>
                    <w:tcW w:w="882" w:type="dxa"/>
                    <w:vAlign w:val="center"/>
                  </w:tcPr>
                  <w:p>
                    <w:pPr>
                      <w:widowControl w:val="0"/>
                      <w:jc w:val="right"/>
                      <w:rPr>
                        <w:sz w:val="18"/>
                        <w:szCs w:val="18"/>
                      </w:rPr>
                    </w:pPr>
                    <w:r>
                      <w:rPr>
                        <w:sz w:val="18"/>
                        <w:szCs w:val="18"/>
                      </w:rPr>
                      <w:t>27.05</w:t>
                    </w:r>
                  </w:p>
                </w:tc>
                <w:tc>
                  <w:tcPr>
                    <w:tcW w:w="649" w:type="dxa"/>
                    <w:gridSpan w:val="2"/>
                  </w:tcPr>
                  <w:p>
                    <w:pPr>
                      <w:widowControl w:val="0"/>
                      <w:jc w:val="both"/>
                      <w:rPr>
                        <w:sz w:val="18"/>
                        <w:szCs w:val="18"/>
                      </w:rPr>
                    </w:pPr>
                  </w:p>
                </w:tc>
              </w:tr>
            </w:sdtContent>
          </w:sdt>
          <w:sdt>
            <w:sdtPr>
              <w:rPr>
                <w:rFonts w:ascii="Calibri" w:hAnsi="Calibri"/>
                <w:sz w:val="18"/>
                <w:szCs w:val="18"/>
              </w:rPr>
              <w:alias w:val="分行业成本分析"/>
              <w:tag w:val="_TUP_fb9e3026efbd4a2c91fdedd10a926f41"/>
              <w:id w:val="6772678"/>
              <w:lock w:val="sdtLocked"/>
            </w:sdtPr>
            <w:sdtEndPr>
              <w:rPr>
                <w:rFonts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423" w:type="dxa"/>
                    <w:gridSpan w:val="2"/>
                    <w:vMerge w:val="continue"/>
                  </w:tcPr>
                  <w:p>
                    <w:pPr>
                      <w:widowControl w:val="0"/>
                      <w:jc w:val="both"/>
                      <w:rPr>
                        <w:rFonts w:ascii="Calibri" w:hAnsi="Calibri"/>
                        <w:sz w:val="18"/>
                        <w:szCs w:val="18"/>
                      </w:rPr>
                    </w:pPr>
                  </w:p>
                </w:tc>
                <w:tc>
                  <w:tcPr>
                    <w:tcW w:w="1282" w:type="dxa"/>
                    <w:gridSpan w:val="2"/>
                  </w:tcPr>
                  <w:p>
                    <w:pPr>
                      <w:widowControl w:val="0"/>
                      <w:jc w:val="both"/>
                      <w:rPr>
                        <w:sz w:val="18"/>
                        <w:szCs w:val="18"/>
                      </w:rPr>
                    </w:pPr>
                    <w:r>
                      <w:rPr>
                        <w:sz w:val="18"/>
                        <w:szCs w:val="18"/>
                      </w:rPr>
                      <w:t>燃料及动力</w:t>
                    </w:r>
                  </w:p>
                </w:tc>
                <w:tc>
                  <w:tcPr>
                    <w:tcW w:w="1841" w:type="dxa"/>
                    <w:gridSpan w:val="2"/>
                    <w:vAlign w:val="center"/>
                  </w:tcPr>
                  <w:p>
                    <w:pPr>
                      <w:widowControl w:val="0"/>
                      <w:jc w:val="right"/>
                      <w:rPr>
                        <w:sz w:val="18"/>
                        <w:szCs w:val="18"/>
                      </w:rPr>
                    </w:pPr>
                    <w:r>
                      <w:rPr>
                        <w:sz w:val="18"/>
                        <w:szCs w:val="18"/>
                      </w:rPr>
                      <w:t>8,089,335,091.49</w:t>
                    </w:r>
                  </w:p>
                </w:tc>
                <w:tc>
                  <w:tcPr>
                    <w:tcW w:w="995" w:type="dxa"/>
                    <w:gridSpan w:val="2"/>
                    <w:vAlign w:val="center"/>
                  </w:tcPr>
                  <w:p>
                    <w:pPr>
                      <w:widowControl w:val="0"/>
                      <w:jc w:val="right"/>
                      <w:rPr>
                        <w:sz w:val="18"/>
                        <w:szCs w:val="18"/>
                      </w:rPr>
                    </w:pPr>
                    <w:r>
                      <w:rPr>
                        <w:sz w:val="18"/>
                        <w:szCs w:val="18"/>
                      </w:rPr>
                      <w:t>22.85</w:t>
                    </w:r>
                  </w:p>
                </w:tc>
                <w:tc>
                  <w:tcPr>
                    <w:tcW w:w="1848" w:type="dxa"/>
                    <w:gridSpan w:val="2"/>
                    <w:vAlign w:val="center"/>
                  </w:tcPr>
                  <w:p>
                    <w:pPr>
                      <w:widowControl w:val="0"/>
                      <w:jc w:val="right"/>
                      <w:rPr>
                        <w:sz w:val="18"/>
                        <w:szCs w:val="18"/>
                      </w:rPr>
                    </w:pPr>
                    <w:r>
                      <w:rPr>
                        <w:sz w:val="18"/>
                        <w:szCs w:val="18"/>
                      </w:rPr>
                      <w:t>5,774,411,941.47</w:t>
                    </w:r>
                  </w:p>
                </w:tc>
                <w:tc>
                  <w:tcPr>
                    <w:tcW w:w="860" w:type="dxa"/>
                    <w:gridSpan w:val="2"/>
                    <w:vAlign w:val="center"/>
                  </w:tcPr>
                  <w:p>
                    <w:pPr>
                      <w:widowControl w:val="0"/>
                      <w:jc w:val="right"/>
                      <w:rPr>
                        <w:sz w:val="18"/>
                        <w:szCs w:val="18"/>
                      </w:rPr>
                    </w:pPr>
                    <w:r>
                      <w:rPr>
                        <w:sz w:val="18"/>
                        <w:szCs w:val="18"/>
                      </w:rPr>
                      <w:t>24.99</w:t>
                    </w:r>
                  </w:p>
                </w:tc>
                <w:tc>
                  <w:tcPr>
                    <w:tcW w:w="882" w:type="dxa"/>
                    <w:vAlign w:val="center"/>
                  </w:tcPr>
                  <w:p>
                    <w:pPr>
                      <w:widowControl w:val="0"/>
                      <w:jc w:val="right"/>
                      <w:rPr>
                        <w:sz w:val="18"/>
                        <w:szCs w:val="18"/>
                      </w:rPr>
                    </w:pPr>
                    <w:r>
                      <w:rPr>
                        <w:sz w:val="18"/>
                        <w:szCs w:val="18"/>
                      </w:rPr>
                      <w:t>40.09</w:t>
                    </w:r>
                  </w:p>
                </w:tc>
                <w:tc>
                  <w:tcPr>
                    <w:tcW w:w="649" w:type="dxa"/>
                    <w:gridSpan w:val="2"/>
                  </w:tcPr>
                  <w:p>
                    <w:pPr>
                      <w:widowControl w:val="0"/>
                      <w:jc w:val="both"/>
                      <w:rPr>
                        <w:sz w:val="18"/>
                        <w:szCs w:val="18"/>
                      </w:rPr>
                    </w:pPr>
                  </w:p>
                </w:tc>
              </w:tr>
            </w:sdtContent>
          </w:sdt>
          <w:sdt>
            <w:sdtPr>
              <w:rPr>
                <w:rFonts w:ascii="Calibri" w:hAnsi="Calibri"/>
                <w:sz w:val="18"/>
                <w:szCs w:val="18"/>
              </w:rPr>
              <w:alias w:val="分行业成本分析"/>
              <w:tag w:val="_TUP_fb9e3026efbd4a2c91fdedd10a926f41"/>
              <w:id w:val="6772679"/>
              <w:lock w:val="sdtLocked"/>
            </w:sdtPr>
            <w:sdtEndPr>
              <w:rPr>
                <w:rFonts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423" w:type="dxa"/>
                    <w:gridSpan w:val="2"/>
                    <w:vMerge w:val="continue"/>
                  </w:tcPr>
                  <w:p>
                    <w:pPr>
                      <w:widowControl w:val="0"/>
                      <w:jc w:val="both"/>
                      <w:rPr>
                        <w:rFonts w:ascii="Calibri" w:hAnsi="Calibri"/>
                        <w:sz w:val="18"/>
                        <w:szCs w:val="18"/>
                      </w:rPr>
                    </w:pPr>
                  </w:p>
                </w:tc>
                <w:tc>
                  <w:tcPr>
                    <w:tcW w:w="1282" w:type="dxa"/>
                    <w:gridSpan w:val="2"/>
                  </w:tcPr>
                  <w:p>
                    <w:pPr>
                      <w:widowControl w:val="0"/>
                      <w:jc w:val="both"/>
                      <w:rPr>
                        <w:sz w:val="18"/>
                        <w:szCs w:val="18"/>
                      </w:rPr>
                    </w:pPr>
                    <w:r>
                      <w:rPr>
                        <w:sz w:val="18"/>
                        <w:szCs w:val="18"/>
                      </w:rPr>
                      <w:t>工资</w:t>
                    </w:r>
                  </w:p>
                </w:tc>
                <w:tc>
                  <w:tcPr>
                    <w:tcW w:w="1841" w:type="dxa"/>
                    <w:gridSpan w:val="2"/>
                    <w:vAlign w:val="center"/>
                  </w:tcPr>
                  <w:p>
                    <w:pPr>
                      <w:widowControl w:val="0"/>
                      <w:jc w:val="right"/>
                      <w:rPr>
                        <w:sz w:val="18"/>
                        <w:szCs w:val="18"/>
                      </w:rPr>
                    </w:pPr>
                    <w:r>
                      <w:rPr>
                        <w:sz w:val="18"/>
                        <w:szCs w:val="18"/>
                      </w:rPr>
                      <w:t>881,849,720.29</w:t>
                    </w:r>
                  </w:p>
                </w:tc>
                <w:tc>
                  <w:tcPr>
                    <w:tcW w:w="995" w:type="dxa"/>
                    <w:gridSpan w:val="2"/>
                    <w:vAlign w:val="center"/>
                  </w:tcPr>
                  <w:p>
                    <w:pPr>
                      <w:widowControl w:val="0"/>
                      <w:jc w:val="right"/>
                      <w:rPr>
                        <w:sz w:val="18"/>
                        <w:szCs w:val="18"/>
                      </w:rPr>
                    </w:pPr>
                    <w:r>
                      <w:rPr>
                        <w:sz w:val="18"/>
                        <w:szCs w:val="18"/>
                      </w:rPr>
                      <w:t>2.49</w:t>
                    </w:r>
                  </w:p>
                </w:tc>
                <w:tc>
                  <w:tcPr>
                    <w:tcW w:w="1848" w:type="dxa"/>
                    <w:gridSpan w:val="2"/>
                    <w:vAlign w:val="center"/>
                  </w:tcPr>
                  <w:p>
                    <w:pPr>
                      <w:widowControl w:val="0"/>
                      <w:jc w:val="right"/>
                      <w:rPr>
                        <w:sz w:val="18"/>
                        <w:szCs w:val="18"/>
                      </w:rPr>
                    </w:pPr>
                    <w:r>
                      <w:rPr>
                        <w:sz w:val="18"/>
                        <w:szCs w:val="18"/>
                      </w:rPr>
                      <w:t>709,792,861.94</w:t>
                    </w:r>
                  </w:p>
                </w:tc>
                <w:tc>
                  <w:tcPr>
                    <w:tcW w:w="860" w:type="dxa"/>
                    <w:gridSpan w:val="2"/>
                    <w:vAlign w:val="center"/>
                  </w:tcPr>
                  <w:p>
                    <w:pPr>
                      <w:widowControl w:val="0"/>
                      <w:jc w:val="right"/>
                      <w:rPr>
                        <w:sz w:val="18"/>
                        <w:szCs w:val="18"/>
                      </w:rPr>
                    </w:pPr>
                    <w:r>
                      <w:rPr>
                        <w:sz w:val="18"/>
                        <w:szCs w:val="18"/>
                      </w:rPr>
                      <w:t>3.07</w:t>
                    </w:r>
                  </w:p>
                </w:tc>
                <w:tc>
                  <w:tcPr>
                    <w:tcW w:w="882" w:type="dxa"/>
                    <w:vAlign w:val="center"/>
                  </w:tcPr>
                  <w:p>
                    <w:pPr>
                      <w:widowControl w:val="0"/>
                      <w:jc w:val="right"/>
                      <w:rPr>
                        <w:sz w:val="18"/>
                        <w:szCs w:val="18"/>
                      </w:rPr>
                    </w:pPr>
                    <w:r>
                      <w:rPr>
                        <w:sz w:val="18"/>
                        <w:szCs w:val="18"/>
                      </w:rPr>
                      <w:t>24.24</w:t>
                    </w:r>
                  </w:p>
                </w:tc>
                <w:tc>
                  <w:tcPr>
                    <w:tcW w:w="649" w:type="dxa"/>
                    <w:gridSpan w:val="2"/>
                  </w:tcPr>
                  <w:p>
                    <w:pPr>
                      <w:widowControl w:val="0"/>
                      <w:jc w:val="both"/>
                      <w:rPr>
                        <w:sz w:val="18"/>
                        <w:szCs w:val="18"/>
                      </w:rPr>
                    </w:pPr>
                  </w:p>
                </w:tc>
              </w:tr>
            </w:sdtContent>
          </w:sdt>
          <w:sdt>
            <w:sdtPr>
              <w:rPr>
                <w:rFonts w:ascii="Calibri" w:hAnsi="Calibri"/>
                <w:sz w:val="18"/>
                <w:szCs w:val="18"/>
              </w:rPr>
              <w:alias w:val="分行业成本分析"/>
              <w:tag w:val="_TUP_fb9e3026efbd4a2c91fdedd10a926f41"/>
              <w:id w:val="6772680"/>
              <w:lock w:val="sdtLocked"/>
            </w:sdtPr>
            <w:sdtEndPr>
              <w:rPr>
                <w:rFonts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423" w:type="dxa"/>
                    <w:gridSpan w:val="2"/>
                    <w:vMerge w:val="continue"/>
                  </w:tcPr>
                  <w:p>
                    <w:pPr>
                      <w:widowControl w:val="0"/>
                      <w:jc w:val="both"/>
                      <w:rPr>
                        <w:rFonts w:ascii="Calibri" w:hAnsi="Calibri"/>
                        <w:sz w:val="18"/>
                        <w:szCs w:val="18"/>
                      </w:rPr>
                    </w:pPr>
                  </w:p>
                </w:tc>
                <w:tc>
                  <w:tcPr>
                    <w:tcW w:w="1282" w:type="dxa"/>
                    <w:gridSpan w:val="2"/>
                  </w:tcPr>
                  <w:p>
                    <w:pPr>
                      <w:widowControl w:val="0"/>
                      <w:jc w:val="both"/>
                      <w:rPr>
                        <w:sz w:val="18"/>
                        <w:szCs w:val="18"/>
                      </w:rPr>
                    </w:pPr>
                    <w:r>
                      <w:rPr>
                        <w:sz w:val="18"/>
                        <w:szCs w:val="18"/>
                      </w:rPr>
                      <w:t>折旧</w:t>
                    </w:r>
                  </w:p>
                </w:tc>
                <w:tc>
                  <w:tcPr>
                    <w:tcW w:w="1841" w:type="dxa"/>
                    <w:gridSpan w:val="2"/>
                    <w:vAlign w:val="center"/>
                  </w:tcPr>
                  <w:p>
                    <w:pPr>
                      <w:widowControl w:val="0"/>
                      <w:jc w:val="right"/>
                      <w:rPr>
                        <w:sz w:val="18"/>
                        <w:szCs w:val="18"/>
                      </w:rPr>
                    </w:pPr>
                    <w:r>
                      <w:rPr>
                        <w:sz w:val="18"/>
                        <w:szCs w:val="18"/>
                      </w:rPr>
                      <w:t>793,889,380.56</w:t>
                    </w:r>
                  </w:p>
                </w:tc>
                <w:tc>
                  <w:tcPr>
                    <w:tcW w:w="995" w:type="dxa"/>
                    <w:gridSpan w:val="2"/>
                    <w:vAlign w:val="center"/>
                  </w:tcPr>
                  <w:p>
                    <w:pPr>
                      <w:widowControl w:val="0"/>
                      <w:jc w:val="right"/>
                      <w:rPr>
                        <w:sz w:val="18"/>
                        <w:szCs w:val="18"/>
                      </w:rPr>
                    </w:pPr>
                    <w:r>
                      <w:rPr>
                        <w:sz w:val="18"/>
                        <w:szCs w:val="18"/>
                      </w:rPr>
                      <w:t>2.24</w:t>
                    </w:r>
                  </w:p>
                </w:tc>
                <w:tc>
                  <w:tcPr>
                    <w:tcW w:w="1848" w:type="dxa"/>
                    <w:gridSpan w:val="2"/>
                    <w:vAlign w:val="center"/>
                  </w:tcPr>
                  <w:p>
                    <w:pPr>
                      <w:widowControl w:val="0"/>
                      <w:jc w:val="right"/>
                      <w:rPr>
                        <w:sz w:val="18"/>
                        <w:szCs w:val="18"/>
                      </w:rPr>
                    </w:pPr>
                    <w:r>
                      <w:rPr>
                        <w:sz w:val="18"/>
                        <w:szCs w:val="18"/>
                      </w:rPr>
                      <w:t>783,283,845.39</w:t>
                    </w:r>
                  </w:p>
                </w:tc>
                <w:tc>
                  <w:tcPr>
                    <w:tcW w:w="860" w:type="dxa"/>
                    <w:gridSpan w:val="2"/>
                    <w:vAlign w:val="center"/>
                  </w:tcPr>
                  <w:p>
                    <w:pPr>
                      <w:widowControl w:val="0"/>
                      <w:jc w:val="right"/>
                      <w:rPr>
                        <w:sz w:val="18"/>
                        <w:szCs w:val="18"/>
                      </w:rPr>
                    </w:pPr>
                    <w:r>
                      <w:rPr>
                        <w:sz w:val="18"/>
                        <w:szCs w:val="18"/>
                      </w:rPr>
                      <w:t>3.39</w:t>
                    </w:r>
                  </w:p>
                </w:tc>
                <w:tc>
                  <w:tcPr>
                    <w:tcW w:w="882" w:type="dxa"/>
                    <w:vAlign w:val="center"/>
                  </w:tcPr>
                  <w:p>
                    <w:pPr>
                      <w:widowControl w:val="0"/>
                      <w:jc w:val="right"/>
                      <w:rPr>
                        <w:sz w:val="18"/>
                        <w:szCs w:val="18"/>
                      </w:rPr>
                    </w:pPr>
                    <w:r>
                      <w:rPr>
                        <w:sz w:val="18"/>
                        <w:szCs w:val="18"/>
                      </w:rPr>
                      <w:t>1.35</w:t>
                    </w:r>
                  </w:p>
                </w:tc>
                <w:tc>
                  <w:tcPr>
                    <w:tcW w:w="649" w:type="dxa"/>
                    <w:gridSpan w:val="2"/>
                  </w:tcPr>
                  <w:p>
                    <w:pPr>
                      <w:widowControl w:val="0"/>
                      <w:jc w:val="both"/>
                      <w:rPr>
                        <w:sz w:val="18"/>
                        <w:szCs w:val="18"/>
                      </w:rPr>
                    </w:pPr>
                  </w:p>
                </w:tc>
              </w:tr>
            </w:sdtContent>
          </w:sdt>
          <w:sdt>
            <w:sdtPr>
              <w:rPr>
                <w:rFonts w:ascii="Calibri" w:hAnsi="Calibri"/>
                <w:sz w:val="18"/>
                <w:szCs w:val="18"/>
              </w:rPr>
              <w:alias w:val="分行业成本分析"/>
              <w:tag w:val="_TUP_fb9e3026efbd4a2c91fdedd10a926f41"/>
              <w:id w:val="6772681"/>
              <w:lock w:val="sdtLocked"/>
            </w:sdtPr>
            <w:sdtEndPr>
              <w:rPr>
                <w:rFonts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423" w:type="dxa"/>
                    <w:gridSpan w:val="2"/>
                    <w:vMerge w:val="continue"/>
                  </w:tcPr>
                  <w:p>
                    <w:pPr>
                      <w:widowControl w:val="0"/>
                      <w:jc w:val="both"/>
                      <w:rPr>
                        <w:rFonts w:ascii="Calibri" w:hAnsi="Calibri"/>
                        <w:sz w:val="18"/>
                        <w:szCs w:val="18"/>
                      </w:rPr>
                    </w:pPr>
                  </w:p>
                </w:tc>
                <w:tc>
                  <w:tcPr>
                    <w:tcW w:w="1282" w:type="dxa"/>
                    <w:gridSpan w:val="2"/>
                  </w:tcPr>
                  <w:p>
                    <w:pPr>
                      <w:widowControl w:val="0"/>
                      <w:jc w:val="both"/>
                      <w:rPr>
                        <w:sz w:val="18"/>
                        <w:szCs w:val="18"/>
                      </w:rPr>
                    </w:pPr>
                    <w:r>
                      <w:rPr>
                        <w:sz w:val="18"/>
                        <w:szCs w:val="18"/>
                      </w:rPr>
                      <w:t>其他</w:t>
                    </w:r>
                  </w:p>
                </w:tc>
                <w:tc>
                  <w:tcPr>
                    <w:tcW w:w="1841" w:type="dxa"/>
                    <w:gridSpan w:val="2"/>
                    <w:vAlign w:val="center"/>
                  </w:tcPr>
                  <w:p>
                    <w:pPr>
                      <w:widowControl w:val="0"/>
                      <w:jc w:val="right"/>
                      <w:rPr>
                        <w:sz w:val="18"/>
                        <w:szCs w:val="18"/>
                      </w:rPr>
                    </w:pPr>
                    <w:r>
                      <w:rPr>
                        <w:sz w:val="18"/>
                        <w:szCs w:val="18"/>
                      </w:rPr>
                      <w:t>1,402,630,621.43</w:t>
                    </w:r>
                  </w:p>
                </w:tc>
                <w:tc>
                  <w:tcPr>
                    <w:tcW w:w="995" w:type="dxa"/>
                    <w:gridSpan w:val="2"/>
                    <w:vAlign w:val="center"/>
                  </w:tcPr>
                  <w:p>
                    <w:pPr>
                      <w:widowControl w:val="0"/>
                      <w:jc w:val="right"/>
                      <w:rPr>
                        <w:sz w:val="18"/>
                        <w:szCs w:val="18"/>
                      </w:rPr>
                    </w:pPr>
                    <w:r>
                      <w:rPr>
                        <w:sz w:val="18"/>
                        <w:szCs w:val="18"/>
                      </w:rPr>
                      <w:t>3.96</w:t>
                    </w:r>
                  </w:p>
                </w:tc>
                <w:tc>
                  <w:tcPr>
                    <w:tcW w:w="1848" w:type="dxa"/>
                    <w:gridSpan w:val="2"/>
                    <w:vAlign w:val="center"/>
                  </w:tcPr>
                  <w:p>
                    <w:pPr>
                      <w:widowControl w:val="0"/>
                      <w:jc w:val="right"/>
                      <w:rPr>
                        <w:sz w:val="18"/>
                        <w:szCs w:val="18"/>
                      </w:rPr>
                    </w:pPr>
                    <w:r>
                      <w:rPr>
                        <w:sz w:val="18"/>
                        <w:szCs w:val="18"/>
                      </w:rPr>
                      <w:t>1,299,628,430.87</w:t>
                    </w:r>
                  </w:p>
                </w:tc>
                <w:tc>
                  <w:tcPr>
                    <w:tcW w:w="860" w:type="dxa"/>
                    <w:gridSpan w:val="2"/>
                    <w:vAlign w:val="center"/>
                  </w:tcPr>
                  <w:p>
                    <w:pPr>
                      <w:widowControl w:val="0"/>
                      <w:jc w:val="right"/>
                      <w:rPr>
                        <w:sz w:val="18"/>
                        <w:szCs w:val="18"/>
                      </w:rPr>
                    </w:pPr>
                    <w:r>
                      <w:rPr>
                        <w:sz w:val="18"/>
                        <w:szCs w:val="18"/>
                      </w:rPr>
                      <w:t>5.62</w:t>
                    </w:r>
                  </w:p>
                </w:tc>
                <w:tc>
                  <w:tcPr>
                    <w:tcW w:w="882" w:type="dxa"/>
                    <w:vAlign w:val="center"/>
                  </w:tcPr>
                  <w:p>
                    <w:pPr>
                      <w:widowControl w:val="0"/>
                      <w:jc w:val="right"/>
                      <w:rPr>
                        <w:sz w:val="18"/>
                        <w:szCs w:val="18"/>
                      </w:rPr>
                    </w:pPr>
                    <w:r>
                      <w:rPr>
                        <w:sz w:val="18"/>
                        <w:szCs w:val="18"/>
                      </w:rPr>
                      <w:t>7.93</w:t>
                    </w:r>
                  </w:p>
                </w:tc>
                <w:tc>
                  <w:tcPr>
                    <w:tcW w:w="649" w:type="dxa"/>
                    <w:gridSpan w:val="2"/>
                  </w:tcPr>
                  <w:p>
                    <w:pPr>
                      <w:widowControl w:val="0"/>
                      <w:jc w:val="both"/>
                      <w:rPr>
                        <w:sz w:val="18"/>
                        <w:szCs w:val="18"/>
                      </w:rPr>
                    </w:pPr>
                  </w:p>
                </w:tc>
              </w:tr>
            </w:sdtContent>
          </w:sdt>
          <w:sdt>
            <w:sdtPr>
              <w:rPr>
                <w:rFonts w:ascii="Calibri" w:hAnsi="Calibri"/>
                <w:sz w:val="18"/>
                <w:szCs w:val="18"/>
              </w:rPr>
              <w:alias w:val="分行业成本分析"/>
              <w:tag w:val="_TUP_fb9e3026efbd4a2c91fdedd10a926f41"/>
              <w:id w:val="6772682"/>
              <w:lock w:val="sdtLocked"/>
            </w:sdtPr>
            <w:sdtEndPr>
              <w:rPr>
                <w:rFonts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423" w:type="dxa"/>
                    <w:gridSpan w:val="2"/>
                    <w:vMerge w:val="continue"/>
                  </w:tcPr>
                  <w:p>
                    <w:pPr>
                      <w:widowControl w:val="0"/>
                      <w:jc w:val="both"/>
                      <w:rPr>
                        <w:rFonts w:ascii="Calibri" w:hAnsi="Calibri"/>
                        <w:sz w:val="18"/>
                        <w:szCs w:val="18"/>
                      </w:rPr>
                    </w:pPr>
                  </w:p>
                </w:tc>
                <w:tc>
                  <w:tcPr>
                    <w:tcW w:w="1282" w:type="dxa"/>
                    <w:gridSpan w:val="2"/>
                  </w:tcPr>
                  <w:p>
                    <w:pPr>
                      <w:widowControl w:val="0"/>
                      <w:jc w:val="both"/>
                      <w:rPr>
                        <w:sz w:val="18"/>
                        <w:szCs w:val="18"/>
                      </w:rPr>
                    </w:pPr>
                    <w:r>
                      <w:rPr>
                        <w:sz w:val="18"/>
                        <w:szCs w:val="18"/>
                      </w:rPr>
                      <w:t>合计</w:t>
                    </w:r>
                  </w:p>
                </w:tc>
                <w:tc>
                  <w:tcPr>
                    <w:tcW w:w="1841" w:type="dxa"/>
                    <w:gridSpan w:val="2"/>
                    <w:vAlign w:val="center"/>
                  </w:tcPr>
                  <w:p>
                    <w:pPr>
                      <w:widowControl w:val="0"/>
                      <w:jc w:val="right"/>
                      <w:rPr>
                        <w:sz w:val="18"/>
                        <w:szCs w:val="18"/>
                      </w:rPr>
                    </w:pPr>
                    <w:r>
                      <w:rPr>
                        <w:sz w:val="18"/>
                        <w:szCs w:val="18"/>
                      </w:rPr>
                      <w:t>35,408,353,889.23</w:t>
                    </w:r>
                  </w:p>
                </w:tc>
                <w:tc>
                  <w:tcPr>
                    <w:tcW w:w="995" w:type="dxa"/>
                    <w:gridSpan w:val="2"/>
                    <w:vAlign w:val="center"/>
                  </w:tcPr>
                  <w:p>
                    <w:pPr>
                      <w:widowControl w:val="0"/>
                      <w:jc w:val="right"/>
                      <w:rPr>
                        <w:sz w:val="18"/>
                        <w:szCs w:val="18"/>
                      </w:rPr>
                    </w:pPr>
                    <w:r>
                      <w:rPr>
                        <w:sz w:val="18"/>
                        <w:szCs w:val="18"/>
                      </w:rPr>
                      <w:t>100.00</w:t>
                    </w:r>
                  </w:p>
                </w:tc>
                <w:tc>
                  <w:tcPr>
                    <w:tcW w:w="1848" w:type="dxa"/>
                    <w:gridSpan w:val="2"/>
                    <w:vAlign w:val="center"/>
                  </w:tcPr>
                  <w:p>
                    <w:pPr>
                      <w:widowControl w:val="0"/>
                      <w:jc w:val="right"/>
                      <w:rPr>
                        <w:sz w:val="18"/>
                        <w:szCs w:val="18"/>
                      </w:rPr>
                    </w:pPr>
                    <w:r>
                      <w:rPr>
                        <w:sz w:val="18"/>
                        <w:szCs w:val="18"/>
                      </w:rPr>
                      <w:t>23,104,697,520.73</w:t>
                    </w:r>
                  </w:p>
                </w:tc>
                <w:tc>
                  <w:tcPr>
                    <w:tcW w:w="860" w:type="dxa"/>
                    <w:gridSpan w:val="2"/>
                    <w:vAlign w:val="center"/>
                  </w:tcPr>
                  <w:p>
                    <w:pPr>
                      <w:widowControl w:val="0"/>
                      <w:jc w:val="right"/>
                      <w:rPr>
                        <w:sz w:val="18"/>
                        <w:szCs w:val="18"/>
                      </w:rPr>
                    </w:pPr>
                    <w:r>
                      <w:rPr>
                        <w:sz w:val="18"/>
                        <w:szCs w:val="18"/>
                      </w:rPr>
                      <w:t>100</w:t>
                    </w:r>
                  </w:p>
                </w:tc>
                <w:tc>
                  <w:tcPr>
                    <w:tcW w:w="882" w:type="dxa"/>
                    <w:vAlign w:val="center"/>
                  </w:tcPr>
                  <w:p>
                    <w:pPr>
                      <w:widowControl w:val="0"/>
                      <w:jc w:val="right"/>
                      <w:rPr>
                        <w:sz w:val="18"/>
                        <w:szCs w:val="18"/>
                      </w:rPr>
                    </w:pPr>
                    <w:r>
                      <w:rPr>
                        <w:sz w:val="18"/>
                        <w:szCs w:val="18"/>
                      </w:rPr>
                      <w:t>53.25</w:t>
                    </w:r>
                  </w:p>
                </w:tc>
                <w:tc>
                  <w:tcPr>
                    <w:tcW w:w="649" w:type="dxa"/>
                    <w:gridSpan w:val="2"/>
                  </w:tcPr>
                  <w:p>
                    <w:pPr>
                      <w:widowControl w:val="0"/>
                      <w:jc w:val="both"/>
                      <w:rPr>
                        <w:sz w:val="18"/>
                        <w:szCs w:val="18"/>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sdt>
              <w:sdtPr>
                <w:tag w:val="_PLD_0092d9f33f1f4ccb96da6cc52c190e39"/>
                <w:id w:val="6772683"/>
                <w:lock w:val="sdtLocked"/>
              </w:sdtPr>
              <w:sdtContent>
                <w:tc>
                  <w:tcPr>
                    <w:tcW w:w="9780" w:type="dxa"/>
                    <w:gridSpan w:val="15"/>
                    <w:vAlign w:val="center"/>
                  </w:tcPr>
                  <w:p>
                    <w:pPr>
                      <w:widowControl w:val="0"/>
                      <w:jc w:val="center"/>
                      <w:rPr>
                        <w:szCs w:val="21"/>
                      </w:rPr>
                    </w:pPr>
                    <w:r>
                      <w:rPr>
                        <w:szCs w:val="21"/>
                      </w:rPr>
                      <w:t>分产品情况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sdt>
              <w:sdtPr>
                <w:rPr>
                  <w:rFonts w:ascii="Times New Roman" w:hAnsi="Times New Roman"/>
                  <w:sz w:val="18"/>
                  <w:szCs w:val="18"/>
                </w:rPr>
                <w:tag w:val="_PLD_c196e3eb716a4b75bda8de0a1a1a5780"/>
                <w:id w:val="6772684"/>
                <w:lock w:val="sdtLocked"/>
              </w:sdtPr>
              <w:sdtEndPr>
                <w:rPr>
                  <w:rFonts w:ascii="Times New Roman" w:hAnsi="Times New Roman"/>
                  <w:sz w:val="18"/>
                  <w:szCs w:val="18"/>
                </w:rPr>
              </w:sdtEndPr>
              <w:sdtContent>
                <w:tc>
                  <w:tcPr>
                    <w:tcW w:w="1278" w:type="dxa"/>
                    <w:vAlign w:val="center"/>
                  </w:tcPr>
                  <w:p>
                    <w:pPr>
                      <w:widowControl w:val="0"/>
                      <w:jc w:val="center"/>
                      <w:rPr>
                        <w:sz w:val="18"/>
                        <w:szCs w:val="18"/>
                      </w:rPr>
                    </w:pPr>
                    <w:r>
                      <w:rPr>
                        <w:sz w:val="18"/>
                        <w:szCs w:val="18"/>
                      </w:rPr>
                      <w:t>分</w:t>
                    </w:r>
                    <w:r>
                      <w:rPr>
                        <w:rFonts w:hint="eastAsia"/>
                        <w:sz w:val="18"/>
                        <w:szCs w:val="18"/>
                      </w:rPr>
                      <w:t>产品</w:t>
                    </w:r>
                  </w:p>
                </w:tc>
              </w:sdtContent>
            </w:sdt>
            <w:sdt>
              <w:sdtPr>
                <w:rPr>
                  <w:rFonts w:ascii="Times New Roman" w:hAnsi="Times New Roman"/>
                  <w:sz w:val="18"/>
                  <w:szCs w:val="18"/>
                </w:rPr>
                <w:tag w:val="_PLD_9a4782df875a421fa22d5bb28b135494"/>
                <w:id w:val="6772685"/>
                <w:lock w:val="sdtLocked"/>
              </w:sdtPr>
              <w:sdtEndPr>
                <w:rPr>
                  <w:rFonts w:ascii="Times New Roman" w:hAnsi="Times New Roman"/>
                  <w:sz w:val="18"/>
                  <w:szCs w:val="18"/>
                </w:rPr>
              </w:sdtEndPr>
              <w:sdtContent>
                <w:tc>
                  <w:tcPr>
                    <w:tcW w:w="1276" w:type="dxa"/>
                    <w:gridSpan w:val="2"/>
                    <w:vAlign w:val="center"/>
                  </w:tcPr>
                  <w:p>
                    <w:pPr>
                      <w:widowControl w:val="0"/>
                      <w:jc w:val="center"/>
                      <w:rPr>
                        <w:sz w:val="18"/>
                        <w:szCs w:val="18"/>
                      </w:rPr>
                    </w:pPr>
                    <w:r>
                      <w:rPr>
                        <w:sz w:val="18"/>
                        <w:szCs w:val="18"/>
                      </w:rPr>
                      <w:t>成本构成项目</w:t>
                    </w:r>
                  </w:p>
                </w:tc>
              </w:sdtContent>
            </w:sdt>
            <w:sdt>
              <w:sdtPr>
                <w:rPr>
                  <w:rFonts w:ascii="Times New Roman" w:hAnsi="Times New Roman"/>
                  <w:sz w:val="18"/>
                  <w:szCs w:val="18"/>
                </w:rPr>
                <w:tag w:val="_PLD_3ddf6750761e4cb5a3c10274752059ad"/>
                <w:id w:val="6772686"/>
                <w:lock w:val="sdtLocked"/>
              </w:sdtPr>
              <w:sdtEndPr>
                <w:rPr>
                  <w:rFonts w:ascii="Times New Roman" w:hAnsi="Times New Roman"/>
                  <w:sz w:val="18"/>
                  <w:szCs w:val="18"/>
                </w:rPr>
              </w:sdtEndPr>
              <w:sdtContent>
                <w:tc>
                  <w:tcPr>
                    <w:tcW w:w="1843" w:type="dxa"/>
                    <w:gridSpan w:val="2"/>
                    <w:vAlign w:val="center"/>
                  </w:tcPr>
                  <w:p>
                    <w:pPr>
                      <w:widowControl w:val="0"/>
                      <w:jc w:val="center"/>
                      <w:rPr>
                        <w:sz w:val="18"/>
                        <w:szCs w:val="18"/>
                      </w:rPr>
                    </w:pPr>
                    <w:r>
                      <w:rPr>
                        <w:sz w:val="18"/>
                        <w:szCs w:val="18"/>
                      </w:rPr>
                      <w:t>本期金额</w:t>
                    </w:r>
                  </w:p>
                </w:tc>
              </w:sdtContent>
            </w:sdt>
            <w:sdt>
              <w:sdtPr>
                <w:rPr>
                  <w:rFonts w:ascii="Times New Roman" w:hAnsi="Times New Roman"/>
                  <w:sz w:val="18"/>
                  <w:szCs w:val="18"/>
                </w:rPr>
                <w:tag w:val="_PLD_dcb03e51a739483781a7336e1a9b6c53"/>
                <w:id w:val="6772687"/>
                <w:lock w:val="sdtLocked"/>
              </w:sdtPr>
              <w:sdtEndPr>
                <w:rPr>
                  <w:rFonts w:ascii="Times New Roman" w:hAnsi="Times New Roman"/>
                  <w:sz w:val="18"/>
                  <w:szCs w:val="18"/>
                </w:rPr>
              </w:sdtEndPr>
              <w:sdtContent>
                <w:tc>
                  <w:tcPr>
                    <w:tcW w:w="849" w:type="dxa"/>
                    <w:gridSpan w:val="2"/>
                    <w:vAlign w:val="center"/>
                  </w:tcPr>
                  <w:p>
                    <w:pPr>
                      <w:widowControl w:val="0"/>
                      <w:jc w:val="center"/>
                      <w:rPr>
                        <w:sz w:val="18"/>
                        <w:szCs w:val="18"/>
                      </w:rPr>
                    </w:pPr>
                    <w:r>
                      <w:rPr>
                        <w:sz w:val="18"/>
                        <w:szCs w:val="18"/>
                      </w:rPr>
                      <w:t>本期占总成本比例(</w:t>
                    </w:r>
                    <w:r>
                      <w:rPr>
                        <w:rFonts w:hint="eastAsia"/>
                        <w:sz w:val="18"/>
                        <w:szCs w:val="18"/>
                      </w:rPr>
                      <w:t>%</w:t>
                    </w:r>
                    <w:r>
                      <w:rPr>
                        <w:sz w:val="18"/>
                        <w:szCs w:val="18"/>
                      </w:rPr>
                      <w:t>)</w:t>
                    </w:r>
                  </w:p>
                </w:tc>
              </w:sdtContent>
            </w:sdt>
            <w:sdt>
              <w:sdtPr>
                <w:rPr>
                  <w:rFonts w:ascii="Times New Roman" w:hAnsi="Times New Roman"/>
                  <w:sz w:val="18"/>
                  <w:szCs w:val="18"/>
                </w:rPr>
                <w:tag w:val="_PLD_fe6b2171d862410980857c00f504b451"/>
                <w:id w:val="6772688"/>
                <w:lock w:val="sdtLocked"/>
              </w:sdtPr>
              <w:sdtEndPr>
                <w:rPr>
                  <w:rFonts w:ascii="Times New Roman" w:hAnsi="Times New Roman"/>
                  <w:sz w:val="18"/>
                  <w:szCs w:val="18"/>
                </w:rPr>
              </w:sdtEndPr>
              <w:sdtContent>
                <w:tc>
                  <w:tcPr>
                    <w:tcW w:w="1842" w:type="dxa"/>
                    <w:gridSpan w:val="2"/>
                    <w:vAlign w:val="center"/>
                  </w:tcPr>
                  <w:p>
                    <w:pPr>
                      <w:widowControl w:val="0"/>
                      <w:jc w:val="center"/>
                      <w:rPr>
                        <w:sz w:val="18"/>
                        <w:szCs w:val="18"/>
                      </w:rPr>
                    </w:pPr>
                    <w:r>
                      <w:rPr>
                        <w:sz w:val="18"/>
                        <w:szCs w:val="18"/>
                      </w:rPr>
                      <w:t>上年同期金额</w:t>
                    </w:r>
                  </w:p>
                </w:tc>
              </w:sdtContent>
            </w:sdt>
            <w:sdt>
              <w:sdtPr>
                <w:rPr>
                  <w:rFonts w:ascii="Times New Roman" w:hAnsi="Times New Roman"/>
                  <w:sz w:val="18"/>
                  <w:szCs w:val="18"/>
                </w:rPr>
                <w:tag w:val="_PLD_4cf5110e7be04df78012e249a0900292"/>
                <w:id w:val="6772689"/>
                <w:lock w:val="sdtLocked"/>
              </w:sdtPr>
              <w:sdtEndPr>
                <w:rPr>
                  <w:rFonts w:ascii="Times New Roman" w:hAnsi="Times New Roman"/>
                  <w:sz w:val="18"/>
                  <w:szCs w:val="18"/>
                </w:rPr>
              </w:sdtEndPr>
              <w:sdtContent>
                <w:tc>
                  <w:tcPr>
                    <w:tcW w:w="993" w:type="dxa"/>
                    <w:gridSpan w:val="2"/>
                    <w:vAlign w:val="center"/>
                  </w:tcPr>
                  <w:p>
                    <w:pPr>
                      <w:widowControl w:val="0"/>
                      <w:jc w:val="center"/>
                      <w:rPr>
                        <w:sz w:val="18"/>
                        <w:szCs w:val="18"/>
                      </w:rPr>
                    </w:pPr>
                    <w:r>
                      <w:rPr>
                        <w:sz w:val="18"/>
                        <w:szCs w:val="18"/>
                      </w:rPr>
                      <w:t>上年同期占总成本比例(</w:t>
                    </w:r>
                    <w:r>
                      <w:rPr>
                        <w:rFonts w:hint="eastAsia"/>
                        <w:sz w:val="18"/>
                        <w:szCs w:val="18"/>
                      </w:rPr>
                      <w:t>%</w:t>
                    </w:r>
                    <w:r>
                      <w:rPr>
                        <w:sz w:val="18"/>
                        <w:szCs w:val="18"/>
                      </w:rPr>
                      <w:t>)</w:t>
                    </w:r>
                  </w:p>
                </w:tc>
              </w:sdtContent>
            </w:sdt>
            <w:sdt>
              <w:sdtPr>
                <w:rPr>
                  <w:rFonts w:ascii="Times New Roman" w:hAnsi="Times New Roman"/>
                  <w:sz w:val="18"/>
                  <w:szCs w:val="18"/>
                </w:rPr>
                <w:tag w:val="_PLD_efbc8491fdf34506bf7690ab3a8f6402"/>
                <w:id w:val="6772690"/>
                <w:lock w:val="sdtLocked"/>
              </w:sdtPr>
              <w:sdtEndPr>
                <w:rPr>
                  <w:rFonts w:ascii="Times New Roman" w:hAnsi="Times New Roman"/>
                  <w:sz w:val="18"/>
                  <w:szCs w:val="18"/>
                </w:rPr>
              </w:sdtEndPr>
              <w:sdtContent>
                <w:tc>
                  <w:tcPr>
                    <w:tcW w:w="1132" w:type="dxa"/>
                    <w:gridSpan w:val="3"/>
                    <w:vAlign w:val="center"/>
                  </w:tcPr>
                  <w:p>
                    <w:pPr>
                      <w:widowControl w:val="0"/>
                      <w:jc w:val="center"/>
                      <w:rPr>
                        <w:sz w:val="18"/>
                        <w:szCs w:val="18"/>
                      </w:rPr>
                    </w:pPr>
                    <w:r>
                      <w:rPr>
                        <w:sz w:val="18"/>
                        <w:szCs w:val="18"/>
                      </w:rPr>
                      <w:t>本期金额较上年同期变动比例(</w:t>
                    </w:r>
                    <w:r>
                      <w:rPr>
                        <w:rFonts w:hint="eastAsia"/>
                        <w:sz w:val="18"/>
                        <w:szCs w:val="18"/>
                      </w:rPr>
                      <w:t>%</w:t>
                    </w:r>
                    <w:r>
                      <w:rPr>
                        <w:sz w:val="18"/>
                        <w:szCs w:val="18"/>
                      </w:rPr>
                      <w:t>)</w:t>
                    </w:r>
                  </w:p>
                </w:tc>
              </w:sdtContent>
            </w:sdt>
            <w:sdt>
              <w:sdtPr>
                <w:tag w:val="_PLD_b8e943b8220340c7810a554346594426"/>
                <w:id w:val="6772691"/>
                <w:lock w:val="sdtLocked"/>
              </w:sdtPr>
              <w:sdtEndPr>
                <w:rPr>
                  <w:sz w:val="18"/>
                  <w:szCs w:val="18"/>
                </w:rPr>
              </w:sdtEndPr>
              <w:sdtContent>
                <w:tc>
                  <w:tcPr>
                    <w:tcW w:w="567" w:type="dxa"/>
                    <w:vAlign w:val="center"/>
                  </w:tcPr>
                  <w:p>
                    <w:pPr>
                      <w:widowControl w:val="0"/>
                      <w:jc w:val="center"/>
                      <w:rPr>
                        <w:sz w:val="18"/>
                        <w:szCs w:val="18"/>
                      </w:rPr>
                    </w:pPr>
                    <w:r>
                      <w:rPr>
                        <w:sz w:val="18"/>
                        <w:szCs w:val="18"/>
                      </w:rPr>
                      <w:t>情况</w:t>
                    </w:r>
                  </w:p>
                  <w:p>
                    <w:pPr>
                      <w:widowControl w:val="0"/>
                      <w:jc w:val="center"/>
                      <w:rPr>
                        <w:szCs w:val="21"/>
                      </w:rPr>
                    </w:pPr>
                    <w:r>
                      <w:rPr>
                        <w:sz w:val="18"/>
                        <w:szCs w:val="18"/>
                      </w:rPr>
                      <w:t>说明</w:t>
                    </w:r>
                  </w:p>
                </w:tc>
              </w:sdtContent>
            </w:sdt>
          </w:tr>
          <w:sdt>
            <w:sdtPr>
              <w:rPr>
                <w:rFonts w:ascii="Calibri" w:hAnsi="Calibri" w:eastAsiaTheme="minorEastAsia" w:cstheme="minorBidi"/>
                <w:kern w:val="2"/>
                <w:sz w:val="18"/>
                <w:szCs w:val="18"/>
              </w:rPr>
              <w:alias w:val="分产品成本分析"/>
              <w:tag w:val="_TUP_a99457d0ffea4639b6d23dc0f965122f"/>
              <w:id w:val="6772692"/>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restart"/>
                    <w:vAlign w:val="center"/>
                  </w:tcPr>
                  <w:p>
                    <w:pPr>
                      <w:widowControl w:val="0"/>
                      <w:jc w:val="center"/>
                      <w:rPr>
                        <w:rFonts w:ascii="Calibri" w:hAnsi="Calibri"/>
                        <w:sz w:val="18"/>
                        <w:szCs w:val="18"/>
                      </w:rPr>
                    </w:pPr>
                    <w:r>
                      <w:rPr>
                        <w:rFonts w:hint="eastAsia" w:ascii="Calibri" w:hAnsi="Calibri" w:eastAsiaTheme="minorEastAsia" w:cstheme="minorBidi"/>
                        <w:kern w:val="2"/>
                        <w:sz w:val="18"/>
                        <w:szCs w:val="18"/>
                      </w:rPr>
                      <w:t>中型材</w:t>
                    </w:r>
                  </w:p>
                </w:tc>
                <w:tc>
                  <w:tcPr>
                    <w:tcW w:w="1276" w:type="dxa"/>
                    <w:gridSpan w:val="2"/>
                    <w:tcBorders>
                      <w:bottom w:val="single" w:color="auto" w:sz="4" w:space="0"/>
                    </w:tcBorders>
                    <w:vAlign w:val="center"/>
                  </w:tcPr>
                  <w:p>
                    <w:pPr>
                      <w:widowControl w:val="0"/>
                      <w:jc w:val="both"/>
                      <w:rPr>
                        <w:sz w:val="18"/>
                        <w:szCs w:val="18"/>
                      </w:rPr>
                    </w:pPr>
                    <w:r>
                      <w:rPr>
                        <w:sz w:val="18"/>
                        <w:szCs w:val="18"/>
                      </w:rPr>
                      <w:t>原材料</w:t>
                    </w:r>
                  </w:p>
                </w:tc>
                <w:tc>
                  <w:tcPr>
                    <w:tcW w:w="1843" w:type="dxa"/>
                    <w:gridSpan w:val="2"/>
                    <w:tcBorders>
                      <w:bottom w:val="single" w:color="auto" w:sz="4" w:space="0"/>
                    </w:tcBorders>
                    <w:vAlign w:val="center"/>
                  </w:tcPr>
                  <w:p>
                    <w:pPr>
                      <w:widowControl w:val="0"/>
                      <w:jc w:val="right"/>
                      <w:rPr>
                        <w:sz w:val="18"/>
                        <w:szCs w:val="18"/>
                      </w:rPr>
                    </w:pPr>
                    <w:r>
                      <w:rPr>
                        <w:sz w:val="18"/>
                        <w:szCs w:val="18"/>
                      </w:rPr>
                      <w:t>163,015,260.18</w:t>
                    </w:r>
                  </w:p>
                </w:tc>
                <w:tc>
                  <w:tcPr>
                    <w:tcW w:w="849" w:type="dxa"/>
                    <w:gridSpan w:val="2"/>
                    <w:tcBorders>
                      <w:bottom w:val="single" w:color="auto" w:sz="4" w:space="0"/>
                    </w:tcBorders>
                    <w:vAlign w:val="center"/>
                  </w:tcPr>
                  <w:p>
                    <w:pPr>
                      <w:widowControl w:val="0"/>
                      <w:jc w:val="right"/>
                      <w:rPr>
                        <w:sz w:val="18"/>
                        <w:szCs w:val="18"/>
                      </w:rPr>
                    </w:pPr>
                    <w:r>
                      <w:rPr>
                        <w:sz w:val="18"/>
                        <w:szCs w:val="18"/>
                      </w:rPr>
                      <w:t>61.34</w:t>
                    </w:r>
                  </w:p>
                </w:tc>
                <w:tc>
                  <w:tcPr>
                    <w:tcW w:w="1842" w:type="dxa"/>
                    <w:gridSpan w:val="2"/>
                    <w:tcBorders>
                      <w:bottom w:val="single" w:color="auto" w:sz="4" w:space="0"/>
                    </w:tcBorders>
                    <w:vAlign w:val="center"/>
                  </w:tcPr>
                  <w:p>
                    <w:pPr>
                      <w:widowControl w:val="0"/>
                      <w:jc w:val="right"/>
                      <w:rPr>
                        <w:sz w:val="18"/>
                        <w:szCs w:val="18"/>
                      </w:rPr>
                    </w:pPr>
                    <w:r>
                      <w:rPr>
                        <w:sz w:val="18"/>
                        <w:szCs w:val="18"/>
                      </w:rPr>
                      <w:t>109,088,902.92</w:t>
                    </w:r>
                  </w:p>
                </w:tc>
                <w:tc>
                  <w:tcPr>
                    <w:tcW w:w="993" w:type="dxa"/>
                    <w:gridSpan w:val="2"/>
                    <w:tcBorders>
                      <w:bottom w:val="single" w:color="auto" w:sz="4" w:space="0"/>
                    </w:tcBorders>
                    <w:vAlign w:val="center"/>
                  </w:tcPr>
                  <w:p>
                    <w:pPr>
                      <w:widowControl w:val="0"/>
                      <w:jc w:val="right"/>
                      <w:rPr>
                        <w:sz w:val="18"/>
                        <w:szCs w:val="18"/>
                      </w:rPr>
                    </w:pPr>
                    <w:r>
                      <w:rPr>
                        <w:sz w:val="18"/>
                        <w:szCs w:val="18"/>
                      </w:rPr>
                      <w:t>54.42</w:t>
                    </w:r>
                  </w:p>
                </w:tc>
                <w:tc>
                  <w:tcPr>
                    <w:tcW w:w="1132" w:type="dxa"/>
                    <w:gridSpan w:val="3"/>
                    <w:tcBorders>
                      <w:bottom w:val="single" w:color="auto" w:sz="4" w:space="0"/>
                    </w:tcBorders>
                    <w:vAlign w:val="center"/>
                  </w:tcPr>
                  <w:p>
                    <w:pPr>
                      <w:widowControl w:val="0"/>
                      <w:jc w:val="right"/>
                      <w:rPr>
                        <w:sz w:val="18"/>
                        <w:szCs w:val="18"/>
                      </w:rPr>
                    </w:pPr>
                    <w:r>
                      <w:rPr>
                        <w:sz w:val="18"/>
                        <w:szCs w:val="18"/>
                      </w:rPr>
                      <w:t>49.43</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693"/>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辅助材料</w:t>
                    </w:r>
                  </w:p>
                </w:tc>
                <w:tc>
                  <w:tcPr>
                    <w:tcW w:w="1843" w:type="dxa"/>
                    <w:gridSpan w:val="2"/>
                    <w:tcBorders>
                      <w:bottom w:val="single" w:color="auto" w:sz="4" w:space="0"/>
                    </w:tcBorders>
                    <w:vAlign w:val="center"/>
                  </w:tcPr>
                  <w:p>
                    <w:pPr>
                      <w:widowControl w:val="0"/>
                      <w:jc w:val="right"/>
                      <w:rPr>
                        <w:sz w:val="18"/>
                        <w:szCs w:val="18"/>
                      </w:rPr>
                    </w:pPr>
                    <w:r>
                      <w:rPr>
                        <w:sz w:val="18"/>
                        <w:szCs w:val="18"/>
                      </w:rPr>
                      <w:t>9,755,444.93</w:t>
                    </w:r>
                  </w:p>
                </w:tc>
                <w:tc>
                  <w:tcPr>
                    <w:tcW w:w="849" w:type="dxa"/>
                    <w:gridSpan w:val="2"/>
                    <w:tcBorders>
                      <w:bottom w:val="single" w:color="auto" w:sz="4" w:space="0"/>
                    </w:tcBorders>
                    <w:vAlign w:val="center"/>
                  </w:tcPr>
                  <w:p>
                    <w:pPr>
                      <w:widowControl w:val="0"/>
                      <w:jc w:val="right"/>
                      <w:rPr>
                        <w:sz w:val="18"/>
                        <w:szCs w:val="18"/>
                      </w:rPr>
                    </w:pPr>
                    <w:r>
                      <w:rPr>
                        <w:sz w:val="18"/>
                        <w:szCs w:val="18"/>
                      </w:rPr>
                      <w:t>3.67</w:t>
                    </w:r>
                  </w:p>
                </w:tc>
                <w:tc>
                  <w:tcPr>
                    <w:tcW w:w="1842" w:type="dxa"/>
                    <w:gridSpan w:val="2"/>
                    <w:tcBorders>
                      <w:bottom w:val="single" w:color="auto" w:sz="4" w:space="0"/>
                    </w:tcBorders>
                    <w:vAlign w:val="center"/>
                  </w:tcPr>
                  <w:p>
                    <w:pPr>
                      <w:widowControl w:val="0"/>
                      <w:jc w:val="right"/>
                      <w:rPr>
                        <w:sz w:val="18"/>
                        <w:szCs w:val="18"/>
                      </w:rPr>
                    </w:pPr>
                    <w:r>
                      <w:rPr>
                        <w:sz w:val="18"/>
                        <w:szCs w:val="18"/>
                      </w:rPr>
                      <w:t>7,104,872.87</w:t>
                    </w:r>
                  </w:p>
                </w:tc>
                <w:tc>
                  <w:tcPr>
                    <w:tcW w:w="993" w:type="dxa"/>
                    <w:gridSpan w:val="2"/>
                    <w:tcBorders>
                      <w:bottom w:val="single" w:color="auto" w:sz="4" w:space="0"/>
                    </w:tcBorders>
                    <w:vAlign w:val="center"/>
                  </w:tcPr>
                  <w:p>
                    <w:pPr>
                      <w:widowControl w:val="0"/>
                      <w:jc w:val="right"/>
                      <w:rPr>
                        <w:sz w:val="18"/>
                        <w:szCs w:val="18"/>
                      </w:rPr>
                    </w:pPr>
                    <w:r>
                      <w:rPr>
                        <w:sz w:val="18"/>
                        <w:szCs w:val="18"/>
                      </w:rPr>
                      <w:t>3.54</w:t>
                    </w:r>
                  </w:p>
                </w:tc>
                <w:tc>
                  <w:tcPr>
                    <w:tcW w:w="1132" w:type="dxa"/>
                    <w:gridSpan w:val="3"/>
                    <w:tcBorders>
                      <w:bottom w:val="single" w:color="auto" w:sz="4" w:space="0"/>
                    </w:tcBorders>
                    <w:vAlign w:val="center"/>
                  </w:tcPr>
                  <w:p>
                    <w:pPr>
                      <w:widowControl w:val="0"/>
                      <w:jc w:val="right"/>
                      <w:rPr>
                        <w:sz w:val="18"/>
                        <w:szCs w:val="18"/>
                      </w:rPr>
                    </w:pPr>
                    <w:r>
                      <w:rPr>
                        <w:sz w:val="18"/>
                        <w:szCs w:val="18"/>
                      </w:rPr>
                      <w:t>37.31</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694"/>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燃料及动力</w:t>
                    </w:r>
                  </w:p>
                </w:tc>
                <w:tc>
                  <w:tcPr>
                    <w:tcW w:w="1843" w:type="dxa"/>
                    <w:gridSpan w:val="2"/>
                    <w:tcBorders>
                      <w:bottom w:val="single" w:color="auto" w:sz="4" w:space="0"/>
                    </w:tcBorders>
                    <w:vAlign w:val="center"/>
                  </w:tcPr>
                  <w:p>
                    <w:pPr>
                      <w:widowControl w:val="0"/>
                      <w:jc w:val="right"/>
                      <w:rPr>
                        <w:sz w:val="18"/>
                        <w:szCs w:val="18"/>
                      </w:rPr>
                    </w:pPr>
                    <w:r>
                      <w:rPr>
                        <w:sz w:val="18"/>
                        <w:szCs w:val="18"/>
                      </w:rPr>
                      <w:t>55,984,373.61</w:t>
                    </w:r>
                  </w:p>
                </w:tc>
                <w:tc>
                  <w:tcPr>
                    <w:tcW w:w="849" w:type="dxa"/>
                    <w:gridSpan w:val="2"/>
                    <w:tcBorders>
                      <w:bottom w:val="single" w:color="auto" w:sz="4" w:space="0"/>
                    </w:tcBorders>
                    <w:vAlign w:val="center"/>
                  </w:tcPr>
                  <w:p>
                    <w:pPr>
                      <w:widowControl w:val="0"/>
                      <w:jc w:val="right"/>
                      <w:rPr>
                        <w:sz w:val="18"/>
                        <w:szCs w:val="18"/>
                      </w:rPr>
                    </w:pPr>
                    <w:r>
                      <w:rPr>
                        <w:sz w:val="18"/>
                        <w:szCs w:val="18"/>
                      </w:rPr>
                      <w:t>21.07</w:t>
                    </w:r>
                  </w:p>
                </w:tc>
                <w:tc>
                  <w:tcPr>
                    <w:tcW w:w="1842" w:type="dxa"/>
                    <w:gridSpan w:val="2"/>
                    <w:tcBorders>
                      <w:bottom w:val="single" w:color="auto" w:sz="4" w:space="0"/>
                    </w:tcBorders>
                    <w:vAlign w:val="center"/>
                  </w:tcPr>
                  <w:p>
                    <w:pPr>
                      <w:widowControl w:val="0"/>
                      <w:jc w:val="right"/>
                      <w:rPr>
                        <w:sz w:val="18"/>
                        <w:szCs w:val="18"/>
                      </w:rPr>
                    </w:pPr>
                    <w:r>
                      <w:rPr>
                        <w:sz w:val="18"/>
                        <w:szCs w:val="18"/>
                      </w:rPr>
                      <w:t>44,290,967.79</w:t>
                    </w:r>
                  </w:p>
                </w:tc>
                <w:tc>
                  <w:tcPr>
                    <w:tcW w:w="993" w:type="dxa"/>
                    <w:gridSpan w:val="2"/>
                    <w:tcBorders>
                      <w:bottom w:val="single" w:color="auto" w:sz="4" w:space="0"/>
                    </w:tcBorders>
                    <w:vAlign w:val="center"/>
                  </w:tcPr>
                  <w:p>
                    <w:pPr>
                      <w:widowControl w:val="0"/>
                      <w:jc w:val="right"/>
                      <w:rPr>
                        <w:sz w:val="18"/>
                        <w:szCs w:val="18"/>
                      </w:rPr>
                    </w:pPr>
                    <w:r>
                      <w:rPr>
                        <w:sz w:val="18"/>
                        <w:szCs w:val="18"/>
                      </w:rPr>
                      <w:t>22.1</w:t>
                    </w:r>
                  </w:p>
                </w:tc>
                <w:tc>
                  <w:tcPr>
                    <w:tcW w:w="1132" w:type="dxa"/>
                    <w:gridSpan w:val="3"/>
                    <w:tcBorders>
                      <w:bottom w:val="single" w:color="auto" w:sz="4" w:space="0"/>
                    </w:tcBorders>
                    <w:vAlign w:val="center"/>
                  </w:tcPr>
                  <w:p>
                    <w:pPr>
                      <w:widowControl w:val="0"/>
                      <w:jc w:val="right"/>
                      <w:rPr>
                        <w:sz w:val="18"/>
                        <w:szCs w:val="18"/>
                      </w:rPr>
                    </w:pPr>
                    <w:r>
                      <w:rPr>
                        <w:sz w:val="18"/>
                        <w:szCs w:val="18"/>
                      </w:rPr>
                      <w:t>26.40</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695"/>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工资</w:t>
                    </w:r>
                  </w:p>
                </w:tc>
                <w:tc>
                  <w:tcPr>
                    <w:tcW w:w="1843" w:type="dxa"/>
                    <w:gridSpan w:val="2"/>
                    <w:tcBorders>
                      <w:bottom w:val="single" w:color="auto" w:sz="4" w:space="0"/>
                    </w:tcBorders>
                    <w:vAlign w:val="center"/>
                  </w:tcPr>
                  <w:p>
                    <w:pPr>
                      <w:widowControl w:val="0"/>
                      <w:jc w:val="right"/>
                      <w:rPr>
                        <w:sz w:val="18"/>
                        <w:szCs w:val="18"/>
                      </w:rPr>
                    </w:pPr>
                    <w:r>
                      <w:rPr>
                        <w:sz w:val="18"/>
                        <w:szCs w:val="18"/>
                      </w:rPr>
                      <w:t>13,034,706.11</w:t>
                    </w:r>
                  </w:p>
                </w:tc>
                <w:tc>
                  <w:tcPr>
                    <w:tcW w:w="849" w:type="dxa"/>
                    <w:gridSpan w:val="2"/>
                    <w:tcBorders>
                      <w:bottom w:val="single" w:color="auto" w:sz="4" w:space="0"/>
                    </w:tcBorders>
                    <w:vAlign w:val="center"/>
                  </w:tcPr>
                  <w:p>
                    <w:pPr>
                      <w:widowControl w:val="0"/>
                      <w:jc w:val="right"/>
                      <w:rPr>
                        <w:sz w:val="18"/>
                        <w:szCs w:val="18"/>
                      </w:rPr>
                    </w:pPr>
                    <w:r>
                      <w:rPr>
                        <w:sz w:val="18"/>
                        <w:szCs w:val="18"/>
                      </w:rPr>
                      <w:t>4.90</w:t>
                    </w:r>
                  </w:p>
                </w:tc>
                <w:tc>
                  <w:tcPr>
                    <w:tcW w:w="1842" w:type="dxa"/>
                    <w:gridSpan w:val="2"/>
                    <w:tcBorders>
                      <w:bottom w:val="single" w:color="auto" w:sz="4" w:space="0"/>
                    </w:tcBorders>
                    <w:vAlign w:val="center"/>
                  </w:tcPr>
                  <w:p>
                    <w:pPr>
                      <w:widowControl w:val="0"/>
                      <w:jc w:val="right"/>
                      <w:rPr>
                        <w:sz w:val="18"/>
                        <w:szCs w:val="18"/>
                      </w:rPr>
                    </w:pPr>
                    <w:r>
                      <w:rPr>
                        <w:sz w:val="18"/>
                        <w:szCs w:val="18"/>
                      </w:rPr>
                      <w:t>13,275,592.68</w:t>
                    </w:r>
                  </w:p>
                </w:tc>
                <w:tc>
                  <w:tcPr>
                    <w:tcW w:w="993" w:type="dxa"/>
                    <w:gridSpan w:val="2"/>
                    <w:tcBorders>
                      <w:bottom w:val="single" w:color="auto" w:sz="4" w:space="0"/>
                    </w:tcBorders>
                    <w:vAlign w:val="center"/>
                  </w:tcPr>
                  <w:p>
                    <w:pPr>
                      <w:widowControl w:val="0"/>
                      <w:jc w:val="right"/>
                      <w:rPr>
                        <w:sz w:val="18"/>
                        <w:szCs w:val="18"/>
                      </w:rPr>
                    </w:pPr>
                    <w:r>
                      <w:rPr>
                        <w:sz w:val="18"/>
                        <w:szCs w:val="18"/>
                      </w:rPr>
                      <w:t>6.62</w:t>
                    </w:r>
                  </w:p>
                </w:tc>
                <w:tc>
                  <w:tcPr>
                    <w:tcW w:w="1132" w:type="dxa"/>
                    <w:gridSpan w:val="3"/>
                    <w:tcBorders>
                      <w:bottom w:val="single" w:color="auto" w:sz="4" w:space="0"/>
                    </w:tcBorders>
                    <w:vAlign w:val="center"/>
                  </w:tcPr>
                  <w:p>
                    <w:pPr>
                      <w:widowControl w:val="0"/>
                      <w:jc w:val="right"/>
                      <w:rPr>
                        <w:sz w:val="18"/>
                        <w:szCs w:val="18"/>
                      </w:rPr>
                    </w:pPr>
                    <w:r>
                      <w:rPr>
                        <w:sz w:val="18"/>
                        <w:szCs w:val="18"/>
                      </w:rPr>
                      <w:t>-1.81</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696"/>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折旧</w:t>
                    </w:r>
                  </w:p>
                </w:tc>
                <w:tc>
                  <w:tcPr>
                    <w:tcW w:w="1843" w:type="dxa"/>
                    <w:gridSpan w:val="2"/>
                    <w:tcBorders>
                      <w:bottom w:val="single" w:color="auto" w:sz="4" w:space="0"/>
                    </w:tcBorders>
                    <w:vAlign w:val="center"/>
                  </w:tcPr>
                  <w:p>
                    <w:pPr>
                      <w:widowControl w:val="0"/>
                      <w:jc w:val="right"/>
                      <w:rPr>
                        <w:sz w:val="18"/>
                        <w:szCs w:val="18"/>
                      </w:rPr>
                    </w:pPr>
                    <w:r>
                      <w:rPr>
                        <w:sz w:val="18"/>
                        <w:szCs w:val="18"/>
                      </w:rPr>
                      <w:t>11,126,634.85</w:t>
                    </w:r>
                  </w:p>
                </w:tc>
                <w:tc>
                  <w:tcPr>
                    <w:tcW w:w="849" w:type="dxa"/>
                    <w:gridSpan w:val="2"/>
                    <w:tcBorders>
                      <w:bottom w:val="single" w:color="auto" w:sz="4" w:space="0"/>
                    </w:tcBorders>
                    <w:vAlign w:val="center"/>
                  </w:tcPr>
                  <w:p>
                    <w:pPr>
                      <w:widowControl w:val="0"/>
                      <w:jc w:val="right"/>
                      <w:rPr>
                        <w:sz w:val="18"/>
                        <w:szCs w:val="18"/>
                      </w:rPr>
                    </w:pPr>
                    <w:r>
                      <w:rPr>
                        <w:sz w:val="18"/>
                        <w:szCs w:val="18"/>
                      </w:rPr>
                      <w:t>4.19</w:t>
                    </w:r>
                  </w:p>
                </w:tc>
                <w:tc>
                  <w:tcPr>
                    <w:tcW w:w="1842" w:type="dxa"/>
                    <w:gridSpan w:val="2"/>
                    <w:tcBorders>
                      <w:bottom w:val="single" w:color="auto" w:sz="4" w:space="0"/>
                    </w:tcBorders>
                    <w:vAlign w:val="center"/>
                  </w:tcPr>
                  <w:p>
                    <w:pPr>
                      <w:widowControl w:val="0"/>
                      <w:jc w:val="right"/>
                      <w:rPr>
                        <w:sz w:val="18"/>
                        <w:szCs w:val="18"/>
                      </w:rPr>
                    </w:pPr>
                    <w:r>
                      <w:rPr>
                        <w:sz w:val="18"/>
                        <w:szCs w:val="18"/>
                      </w:rPr>
                      <w:t>13,386,761.87</w:t>
                    </w:r>
                  </w:p>
                </w:tc>
                <w:tc>
                  <w:tcPr>
                    <w:tcW w:w="993" w:type="dxa"/>
                    <w:gridSpan w:val="2"/>
                    <w:tcBorders>
                      <w:bottom w:val="single" w:color="auto" w:sz="4" w:space="0"/>
                    </w:tcBorders>
                    <w:vAlign w:val="center"/>
                  </w:tcPr>
                  <w:p>
                    <w:pPr>
                      <w:widowControl w:val="0"/>
                      <w:jc w:val="right"/>
                      <w:rPr>
                        <w:sz w:val="18"/>
                        <w:szCs w:val="18"/>
                      </w:rPr>
                    </w:pPr>
                    <w:r>
                      <w:rPr>
                        <w:sz w:val="18"/>
                        <w:szCs w:val="18"/>
                      </w:rPr>
                      <w:t>6.68</w:t>
                    </w:r>
                  </w:p>
                </w:tc>
                <w:tc>
                  <w:tcPr>
                    <w:tcW w:w="1132" w:type="dxa"/>
                    <w:gridSpan w:val="3"/>
                    <w:tcBorders>
                      <w:bottom w:val="single" w:color="auto" w:sz="4" w:space="0"/>
                    </w:tcBorders>
                    <w:vAlign w:val="center"/>
                  </w:tcPr>
                  <w:p>
                    <w:pPr>
                      <w:widowControl w:val="0"/>
                      <w:jc w:val="right"/>
                      <w:rPr>
                        <w:sz w:val="18"/>
                        <w:szCs w:val="18"/>
                      </w:rPr>
                    </w:pPr>
                    <w:r>
                      <w:rPr>
                        <w:sz w:val="18"/>
                        <w:szCs w:val="18"/>
                      </w:rPr>
                      <w:t>-16.88</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697"/>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其他</w:t>
                    </w:r>
                  </w:p>
                </w:tc>
                <w:tc>
                  <w:tcPr>
                    <w:tcW w:w="1843" w:type="dxa"/>
                    <w:gridSpan w:val="2"/>
                    <w:tcBorders>
                      <w:bottom w:val="single" w:color="auto" w:sz="4" w:space="0"/>
                    </w:tcBorders>
                    <w:vAlign w:val="center"/>
                  </w:tcPr>
                  <w:p>
                    <w:pPr>
                      <w:widowControl w:val="0"/>
                      <w:jc w:val="right"/>
                      <w:rPr>
                        <w:sz w:val="18"/>
                        <w:szCs w:val="18"/>
                      </w:rPr>
                    </w:pPr>
                    <w:r>
                      <w:rPr>
                        <w:sz w:val="18"/>
                        <w:szCs w:val="18"/>
                      </w:rPr>
                      <w:t>12,838,941.86</w:t>
                    </w:r>
                  </w:p>
                </w:tc>
                <w:tc>
                  <w:tcPr>
                    <w:tcW w:w="849" w:type="dxa"/>
                    <w:gridSpan w:val="2"/>
                    <w:tcBorders>
                      <w:bottom w:val="single" w:color="auto" w:sz="4" w:space="0"/>
                    </w:tcBorders>
                    <w:vAlign w:val="center"/>
                  </w:tcPr>
                  <w:p>
                    <w:pPr>
                      <w:widowControl w:val="0"/>
                      <w:jc w:val="right"/>
                      <w:rPr>
                        <w:sz w:val="18"/>
                        <w:szCs w:val="18"/>
                      </w:rPr>
                    </w:pPr>
                    <w:r>
                      <w:rPr>
                        <w:sz w:val="18"/>
                        <w:szCs w:val="18"/>
                      </w:rPr>
                      <w:t>4.83</w:t>
                    </w:r>
                  </w:p>
                </w:tc>
                <w:tc>
                  <w:tcPr>
                    <w:tcW w:w="1842" w:type="dxa"/>
                    <w:gridSpan w:val="2"/>
                    <w:tcBorders>
                      <w:bottom w:val="single" w:color="auto" w:sz="4" w:space="0"/>
                    </w:tcBorders>
                    <w:vAlign w:val="center"/>
                  </w:tcPr>
                  <w:p>
                    <w:pPr>
                      <w:widowControl w:val="0"/>
                      <w:jc w:val="right"/>
                      <w:rPr>
                        <w:sz w:val="18"/>
                        <w:szCs w:val="18"/>
                      </w:rPr>
                    </w:pPr>
                    <w:r>
                      <w:rPr>
                        <w:sz w:val="18"/>
                        <w:szCs w:val="18"/>
                      </w:rPr>
                      <w:t>13,309,607.14</w:t>
                    </w:r>
                  </w:p>
                </w:tc>
                <w:tc>
                  <w:tcPr>
                    <w:tcW w:w="993" w:type="dxa"/>
                    <w:gridSpan w:val="2"/>
                    <w:tcBorders>
                      <w:bottom w:val="single" w:color="auto" w:sz="4" w:space="0"/>
                    </w:tcBorders>
                    <w:vAlign w:val="center"/>
                  </w:tcPr>
                  <w:p>
                    <w:pPr>
                      <w:widowControl w:val="0"/>
                      <w:jc w:val="right"/>
                      <w:rPr>
                        <w:sz w:val="18"/>
                        <w:szCs w:val="18"/>
                      </w:rPr>
                    </w:pPr>
                    <w:r>
                      <w:rPr>
                        <w:sz w:val="18"/>
                        <w:szCs w:val="18"/>
                      </w:rPr>
                      <w:t>6.64</w:t>
                    </w:r>
                  </w:p>
                </w:tc>
                <w:tc>
                  <w:tcPr>
                    <w:tcW w:w="1132" w:type="dxa"/>
                    <w:gridSpan w:val="3"/>
                    <w:tcBorders>
                      <w:bottom w:val="single" w:color="auto" w:sz="4" w:space="0"/>
                    </w:tcBorders>
                    <w:vAlign w:val="center"/>
                  </w:tcPr>
                  <w:p>
                    <w:pPr>
                      <w:widowControl w:val="0"/>
                      <w:jc w:val="right"/>
                      <w:rPr>
                        <w:sz w:val="18"/>
                        <w:szCs w:val="18"/>
                      </w:rPr>
                    </w:pPr>
                    <w:r>
                      <w:rPr>
                        <w:sz w:val="18"/>
                        <w:szCs w:val="18"/>
                      </w:rPr>
                      <w:t>-3.54</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698"/>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tcBorders>
                      <w:bottom w:val="single" w:color="auto" w:sz="4" w:space="0"/>
                    </w:tcBorders>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小计</w:t>
                    </w:r>
                  </w:p>
                </w:tc>
                <w:tc>
                  <w:tcPr>
                    <w:tcW w:w="1843" w:type="dxa"/>
                    <w:gridSpan w:val="2"/>
                    <w:tcBorders>
                      <w:bottom w:val="single" w:color="auto" w:sz="4" w:space="0"/>
                    </w:tcBorders>
                    <w:vAlign w:val="center"/>
                  </w:tcPr>
                  <w:p>
                    <w:pPr>
                      <w:widowControl w:val="0"/>
                      <w:jc w:val="right"/>
                      <w:rPr>
                        <w:sz w:val="18"/>
                        <w:szCs w:val="18"/>
                      </w:rPr>
                    </w:pPr>
                    <w:r>
                      <w:rPr>
                        <w:sz w:val="18"/>
                        <w:szCs w:val="18"/>
                      </w:rPr>
                      <w:t>265,755,361.54</w:t>
                    </w:r>
                  </w:p>
                </w:tc>
                <w:tc>
                  <w:tcPr>
                    <w:tcW w:w="849" w:type="dxa"/>
                    <w:gridSpan w:val="2"/>
                    <w:tcBorders>
                      <w:bottom w:val="single" w:color="auto" w:sz="4" w:space="0"/>
                    </w:tcBorders>
                    <w:vAlign w:val="center"/>
                  </w:tcPr>
                  <w:p>
                    <w:pPr>
                      <w:widowControl w:val="0"/>
                      <w:jc w:val="right"/>
                      <w:rPr>
                        <w:sz w:val="18"/>
                        <w:szCs w:val="18"/>
                      </w:rPr>
                    </w:pPr>
                    <w:r>
                      <w:rPr>
                        <w:sz w:val="18"/>
                        <w:szCs w:val="18"/>
                      </w:rPr>
                      <w:t>100.00</w:t>
                    </w:r>
                  </w:p>
                </w:tc>
                <w:tc>
                  <w:tcPr>
                    <w:tcW w:w="1842" w:type="dxa"/>
                    <w:gridSpan w:val="2"/>
                    <w:tcBorders>
                      <w:bottom w:val="single" w:color="auto" w:sz="4" w:space="0"/>
                    </w:tcBorders>
                    <w:vAlign w:val="center"/>
                  </w:tcPr>
                  <w:p>
                    <w:pPr>
                      <w:widowControl w:val="0"/>
                      <w:jc w:val="right"/>
                      <w:rPr>
                        <w:sz w:val="18"/>
                        <w:szCs w:val="18"/>
                      </w:rPr>
                    </w:pPr>
                    <w:r>
                      <w:rPr>
                        <w:sz w:val="18"/>
                        <w:szCs w:val="18"/>
                      </w:rPr>
                      <w:t>200,456,705.27</w:t>
                    </w:r>
                  </w:p>
                </w:tc>
                <w:tc>
                  <w:tcPr>
                    <w:tcW w:w="993" w:type="dxa"/>
                    <w:gridSpan w:val="2"/>
                    <w:tcBorders>
                      <w:bottom w:val="single" w:color="auto" w:sz="4" w:space="0"/>
                    </w:tcBorders>
                    <w:vAlign w:val="center"/>
                  </w:tcPr>
                  <w:p>
                    <w:pPr>
                      <w:widowControl w:val="0"/>
                      <w:jc w:val="right"/>
                      <w:rPr>
                        <w:sz w:val="18"/>
                        <w:szCs w:val="18"/>
                      </w:rPr>
                    </w:pPr>
                    <w:r>
                      <w:rPr>
                        <w:sz w:val="18"/>
                        <w:szCs w:val="18"/>
                      </w:rPr>
                      <w:t>100</w:t>
                    </w:r>
                  </w:p>
                </w:tc>
                <w:tc>
                  <w:tcPr>
                    <w:tcW w:w="1132" w:type="dxa"/>
                    <w:gridSpan w:val="3"/>
                    <w:tcBorders>
                      <w:bottom w:val="single" w:color="auto" w:sz="4" w:space="0"/>
                    </w:tcBorders>
                    <w:vAlign w:val="center"/>
                  </w:tcPr>
                  <w:p>
                    <w:pPr>
                      <w:widowControl w:val="0"/>
                      <w:jc w:val="right"/>
                      <w:rPr>
                        <w:sz w:val="18"/>
                        <w:szCs w:val="18"/>
                      </w:rPr>
                    </w:pPr>
                    <w:r>
                      <w:rPr>
                        <w:sz w:val="18"/>
                        <w:szCs w:val="18"/>
                      </w:rPr>
                      <w:t>32.57</w:t>
                    </w:r>
                  </w:p>
                </w:tc>
                <w:tc>
                  <w:tcPr>
                    <w:tcW w:w="567" w:type="dxa"/>
                    <w:tcBorders>
                      <w:bottom w:val="single" w:color="auto" w:sz="4" w:space="0"/>
                    </w:tcBorders>
                  </w:tcPr>
                  <w:p>
                    <w:pPr>
                      <w:widowControl w:val="0"/>
                      <w:jc w:val="both"/>
                      <w:rPr>
                        <w:szCs w:val="21"/>
                      </w:rPr>
                    </w:pPr>
                  </w:p>
                </w:tc>
              </w:tr>
            </w:sdtContent>
          </w:sdt>
          <w:sdt>
            <w:sdtPr>
              <w:rPr>
                <w:rFonts w:ascii="Calibri" w:hAnsi="Calibri" w:eastAsiaTheme="minorEastAsia" w:cstheme="minorBidi"/>
                <w:kern w:val="2"/>
                <w:sz w:val="18"/>
                <w:szCs w:val="18"/>
              </w:rPr>
              <w:alias w:val="分产品成本分析"/>
              <w:tag w:val="_TUP_a99457d0ffea4639b6d23dc0f965122f"/>
              <w:id w:val="6772699"/>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restart"/>
                    <w:vAlign w:val="center"/>
                  </w:tcPr>
                  <w:p>
                    <w:pPr>
                      <w:widowControl w:val="0"/>
                      <w:jc w:val="center"/>
                      <w:rPr>
                        <w:rFonts w:ascii="Calibri" w:hAnsi="Calibri"/>
                        <w:sz w:val="18"/>
                        <w:szCs w:val="18"/>
                      </w:rPr>
                    </w:pPr>
                    <w:r>
                      <w:rPr>
                        <w:rFonts w:hint="eastAsia" w:ascii="Calibri" w:hAnsi="Calibri" w:eastAsiaTheme="minorEastAsia" w:cstheme="minorBidi"/>
                        <w:kern w:val="2"/>
                        <w:sz w:val="18"/>
                        <w:szCs w:val="18"/>
                      </w:rPr>
                      <w:t>中板材</w:t>
                    </w:r>
                  </w:p>
                </w:tc>
                <w:tc>
                  <w:tcPr>
                    <w:tcW w:w="1276" w:type="dxa"/>
                    <w:gridSpan w:val="2"/>
                    <w:tcBorders>
                      <w:bottom w:val="single" w:color="auto" w:sz="4" w:space="0"/>
                    </w:tcBorders>
                    <w:vAlign w:val="center"/>
                  </w:tcPr>
                  <w:p>
                    <w:pPr>
                      <w:widowControl w:val="0"/>
                      <w:jc w:val="both"/>
                      <w:rPr>
                        <w:sz w:val="18"/>
                        <w:szCs w:val="18"/>
                      </w:rPr>
                    </w:pPr>
                    <w:r>
                      <w:rPr>
                        <w:sz w:val="18"/>
                        <w:szCs w:val="18"/>
                      </w:rPr>
                      <w:t>原材料</w:t>
                    </w:r>
                  </w:p>
                </w:tc>
                <w:tc>
                  <w:tcPr>
                    <w:tcW w:w="1843" w:type="dxa"/>
                    <w:gridSpan w:val="2"/>
                    <w:tcBorders>
                      <w:bottom w:val="single" w:color="auto" w:sz="4" w:space="0"/>
                    </w:tcBorders>
                    <w:vAlign w:val="center"/>
                  </w:tcPr>
                  <w:p>
                    <w:pPr>
                      <w:widowControl w:val="0"/>
                      <w:jc w:val="right"/>
                      <w:rPr>
                        <w:sz w:val="18"/>
                        <w:szCs w:val="18"/>
                      </w:rPr>
                    </w:pPr>
                    <w:r>
                      <w:rPr>
                        <w:sz w:val="18"/>
                        <w:szCs w:val="18"/>
                      </w:rPr>
                      <w:t>1,120,303,607.42</w:t>
                    </w:r>
                  </w:p>
                </w:tc>
                <w:tc>
                  <w:tcPr>
                    <w:tcW w:w="849" w:type="dxa"/>
                    <w:gridSpan w:val="2"/>
                    <w:tcBorders>
                      <w:bottom w:val="single" w:color="auto" w:sz="4" w:space="0"/>
                    </w:tcBorders>
                    <w:vAlign w:val="center"/>
                  </w:tcPr>
                  <w:p>
                    <w:pPr>
                      <w:widowControl w:val="0"/>
                      <w:jc w:val="right"/>
                      <w:rPr>
                        <w:sz w:val="18"/>
                        <w:szCs w:val="18"/>
                      </w:rPr>
                    </w:pPr>
                    <w:r>
                      <w:rPr>
                        <w:sz w:val="18"/>
                        <w:szCs w:val="18"/>
                      </w:rPr>
                      <w:t>57.55</w:t>
                    </w:r>
                  </w:p>
                </w:tc>
                <w:tc>
                  <w:tcPr>
                    <w:tcW w:w="1842" w:type="dxa"/>
                    <w:gridSpan w:val="2"/>
                    <w:tcBorders>
                      <w:bottom w:val="single" w:color="auto" w:sz="4" w:space="0"/>
                    </w:tcBorders>
                    <w:vAlign w:val="center"/>
                  </w:tcPr>
                  <w:p>
                    <w:pPr>
                      <w:widowControl w:val="0"/>
                      <w:jc w:val="right"/>
                      <w:rPr>
                        <w:sz w:val="18"/>
                        <w:szCs w:val="18"/>
                      </w:rPr>
                    </w:pPr>
                    <w:r>
                      <w:rPr>
                        <w:sz w:val="18"/>
                        <w:szCs w:val="18"/>
                      </w:rPr>
                      <w:t>902,669,627.41</w:t>
                    </w:r>
                  </w:p>
                </w:tc>
                <w:tc>
                  <w:tcPr>
                    <w:tcW w:w="993" w:type="dxa"/>
                    <w:gridSpan w:val="2"/>
                    <w:tcBorders>
                      <w:bottom w:val="single" w:color="auto" w:sz="4" w:space="0"/>
                    </w:tcBorders>
                    <w:vAlign w:val="center"/>
                  </w:tcPr>
                  <w:p>
                    <w:pPr>
                      <w:widowControl w:val="0"/>
                      <w:jc w:val="right"/>
                      <w:rPr>
                        <w:sz w:val="18"/>
                        <w:szCs w:val="18"/>
                      </w:rPr>
                    </w:pPr>
                    <w:r>
                      <w:rPr>
                        <w:sz w:val="18"/>
                        <w:szCs w:val="18"/>
                      </w:rPr>
                      <w:t>51.69</w:t>
                    </w:r>
                  </w:p>
                </w:tc>
                <w:tc>
                  <w:tcPr>
                    <w:tcW w:w="1132" w:type="dxa"/>
                    <w:gridSpan w:val="3"/>
                    <w:tcBorders>
                      <w:bottom w:val="single" w:color="auto" w:sz="4" w:space="0"/>
                    </w:tcBorders>
                    <w:vAlign w:val="center"/>
                  </w:tcPr>
                  <w:p>
                    <w:pPr>
                      <w:widowControl w:val="0"/>
                      <w:jc w:val="right"/>
                      <w:rPr>
                        <w:sz w:val="18"/>
                        <w:szCs w:val="18"/>
                      </w:rPr>
                    </w:pPr>
                    <w:r>
                      <w:rPr>
                        <w:sz w:val="18"/>
                        <w:szCs w:val="18"/>
                      </w:rPr>
                      <w:t>24.11</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00"/>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辅助材料</w:t>
                    </w:r>
                  </w:p>
                </w:tc>
                <w:tc>
                  <w:tcPr>
                    <w:tcW w:w="1843" w:type="dxa"/>
                    <w:gridSpan w:val="2"/>
                    <w:tcBorders>
                      <w:bottom w:val="single" w:color="auto" w:sz="4" w:space="0"/>
                    </w:tcBorders>
                    <w:vAlign w:val="center"/>
                  </w:tcPr>
                  <w:p>
                    <w:pPr>
                      <w:widowControl w:val="0"/>
                      <w:jc w:val="right"/>
                      <w:rPr>
                        <w:sz w:val="18"/>
                        <w:szCs w:val="18"/>
                      </w:rPr>
                    </w:pPr>
                    <w:r>
                      <w:rPr>
                        <w:sz w:val="18"/>
                        <w:szCs w:val="18"/>
                      </w:rPr>
                      <w:t>66,937,699.08</w:t>
                    </w:r>
                  </w:p>
                </w:tc>
                <w:tc>
                  <w:tcPr>
                    <w:tcW w:w="849" w:type="dxa"/>
                    <w:gridSpan w:val="2"/>
                    <w:tcBorders>
                      <w:bottom w:val="single" w:color="auto" w:sz="4" w:space="0"/>
                    </w:tcBorders>
                    <w:vAlign w:val="center"/>
                  </w:tcPr>
                  <w:p>
                    <w:pPr>
                      <w:widowControl w:val="0"/>
                      <w:jc w:val="right"/>
                      <w:rPr>
                        <w:sz w:val="18"/>
                        <w:szCs w:val="18"/>
                      </w:rPr>
                    </w:pPr>
                    <w:r>
                      <w:rPr>
                        <w:sz w:val="18"/>
                        <w:szCs w:val="18"/>
                      </w:rPr>
                      <w:t>3.44</w:t>
                    </w:r>
                  </w:p>
                </w:tc>
                <w:tc>
                  <w:tcPr>
                    <w:tcW w:w="1842" w:type="dxa"/>
                    <w:gridSpan w:val="2"/>
                    <w:tcBorders>
                      <w:bottom w:val="single" w:color="auto" w:sz="4" w:space="0"/>
                    </w:tcBorders>
                    <w:vAlign w:val="center"/>
                  </w:tcPr>
                  <w:p>
                    <w:pPr>
                      <w:widowControl w:val="0"/>
                      <w:jc w:val="right"/>
                      <w:rPr>
                        <w:sz w:val="18"/>
                        <w:szCs w:val="18"/>
                      </w:rPr>
                    </w:pPr>
                    <w:r>
                      <w:rPr>
                        <w:sz w:val="18"/>
                        <w:szCs w:val="18"/>
                      </w:rPr>
                      <w:t>73,739,352.33</w:t>
                    </w:r>
                  </w:p>
                </w:tc>
                <w:tc>
                  <w:tcPr>
                    <w:tcW w:w="993" w:type="dxa"/>
                    <w:gridSpan w:val="2"/>
                    <w:tcBorders>
                      <w:bottom w:val="single" w:color="auto" w:sz="4" w:space="0"/>
                    </w:tcBorders>
                    <w:vAlign w:val="center"/>
                  </w:tcPr>
                  <w:p>
                    <w:pPr>
                      <w:widowControl w:val="0"/>
                      <w:jc w:val="right"/>
                      <w:rPr>
                        <w:sz w:val="18"/>
                        <w:szCs w:val="18"/>
                      </w:rPr>
                    </w:pPr>
                    <w:r>
                      <w:rPr>
                        <w:sz w:val="18"/>
                        <w:szCs w:val="18"/>
                      </w:rPr>
                      <w:t>4.22</w:t>
                    </w:r>
                  </w:p>
                </w:tc>
                <w:tc>
                  <w:tcPr>
                    <w:tcW w:w="1132" w:type="dxa"/>
                    <w:gridSpan w:val="3"/>
                    <w:tcBorders>
                      <w:bottom w:val="single" w:color="auto" w:sz="4" w:space="0"/>
                    </w:tcBorders>
                    <w:vAlign w:val="center"/>
                  </w:tcPr>
                  <w:p>
                    <w:pPr>
                      <w:widowControl w:val="0"/>
                      <w:jc w:val="right"/>
                      <w:rPr>
                        <w:sz w:val="18"/>
                        <w:szCs w:val="18"/>
                      </w:rPr>
                    </w:pPr>
                    <w:r>
                      <w:rPr>
                        <w:sz w:val="18"/>
                        <w:szCs w:val="18"/>
                      </w:rPr>
                      <w:t>-9.22</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01"/>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燃料及动力</w:t>
                    </w:r>
                  </w:p>
                </w:tc>
                <w:tc>
                  <w:tcPr>
                    <w:tcW w:w="1843" w:type="dxa"/>
                    <w:gridSpan w:val="2"/>
                    <w:tcBorders>
                      <w:bottom w:val="single" w:color="auto" w:sz="4" w:space="0"/>
                    </w:tcBorders>
                    <w:vAlign w:val="center"/>
                  </w:tcPr>
                  <w:p>
                    <w:pPr>
                      <w:widowControl w:val="0"/>
                      <w:jc w:val="right"/>
                      <w:rPr>
                        <w:sz w:val="18"/>
                        <w:szCs w:val="18"/>
                      </w:rPr>
                    </w:pPr>
                    <w:r>
                      <w:rPr>
                        <w:sz w:val="18"/>
                        <w:szCs w:val="18"/>
                      </w:rPr>
                      <w:t>481,580,275.78</w:t>
                    </w:r>
                  </w:p>
                </w:tc>
                <w:tc>
                  <w:tcPr>
                    <w:tcW w:w="849" w:type="dxa"/>
                    <w:gridSpan w:val="2"/>
                    <w:tcBorders>
                      <w:bottom w:val="single" w:color="auto" w:sz="4" w:space="0"/>
                    </w:tcBorders>
                    <w:vAlign w:val="center"/>
                  </w:tcPr>
                  <w:p>
                    <w:pPr>
                      <w:widowControl w:val="0"/>
                      <w:jc w:val="right"/>
                      <w:rPr>
                        <w:sz w:val="18"/>
                        <w:szCs w:val="18"/>
                      </w:rPr>
                    </w:pPr>
                    <w:r>
                      <w:rPr>
                        <w:sz w:val="18"/>
                        <w:szCs w:val="18"/>
                      </w:rPr>
                      <w:t>24.74</w:t>
                    </w:r>
                  </w:p>
                </w:tc>
                <w:tc>
                  <w:tcPr>
                    <w:tcW w:w="1842" w:type="dxa"/>
                    <w:gridSpan w:val="2"/>
                    <w:tcBorders>
                      <w:bottom w:val="single" w:color="auto" w:sz="4" w:space="0"/>
                    </w:tcBorders>
                    <w:vAlign w:val="center"/>
                  </w:tcPr>
                  <w:p>
                    <w:pPr>
                      <w:widowControl w:val="0"/>
                      <w:jc w:val="right"/>
                      <w:rPr>
                        <w:sz w:val="18"/>
                        <w:szCs w:val="18"/>
                      </w:rPr>
                    </w:pPr>
                    <w:r>
                      <w:rPr>
                        <w:sz w:val="18"/>
                        <w:szCs w:val="18"/>
                      </w:rPr>
                      <w:t>472,416,497.31</w:t>
                    </w:r>
                  </w:p>
                </w:tc>
                <w:tc>
                  <w:tcPr>
                    <w:tcW w:w="993" w:type="dxa"/>
                    <w:gridSpan w:val="2"/>
                    <w:tcBorders>
                      <w:bottom w:val="single" w:color="auto" w:sz="4" w:space="0"/>
                    </w:tcBorders>
                    <w:vAlign w:val="center"/>
                  </w:tcPr>
                  <w:p>
                    <w:pPr>
                      <w:widowControl w:val="0"/>
                      <w:jc w:val="right"/>
                      <w:rPr>
                        <w:sz w:val="18"/>
                        <w:szCs w:val="18"/>
                      </w:rPr>
                    </w:pPr>
                    <w:r>
                      <w:rPr>
                        <w:sz w:val="18"/>
                        <w:szCs w:val="18"/>
                      </w:rPr>
                      <w:t>27.05</w:t>
                    </w:r>
                  </w:p>
                </w:tc>
                <w:tc>
                  <w:tcPr>
                    <w:tcW w:w="1132" w:type="dxa"/>
                    <w:gridSpan w:val="3"/>
                    <w:tcBorders>
                      <w:bottom w:val="single" w:color="auto" w:sz="4" w:space="0"/>
                    </w:tcBorders>
                    <w:vAlign w:val="center"/>
                  </w:tcPr>
                  <w:p>
                    <w:pPr>
                      <w:widowControl w:val="0"/>
                      <w:jc w:val="right"/>
                      <w:rPr>
                        <w:sz w:val="18"/>
                        <w:szCs w:val="18"/>
                      </w:rPr>
                    </w:pPr>
                    <w:r>
                      <w:rPr>
                        <w:sz w:val="18"/>
                        <w:szCs w:val="18"/>
                      </w:rPr>
                      <w:t>1.94</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02"/>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工资</w:t>
                    </w:r>
                  </w:p>
                </w:tc>
                <w:tc>
                  <w:tcPr>
                    <w:tcW w:w="1843" w:type="dxa"/>
                    <w:gridSpan w:val="2"/>
                    <w:tcBorders>
                      <w:bottom w:val="single" w:color="auto" w:sz="4" w:space="0"/>
                    </w:tcBorders>
                    <w:vAlign w:val="center"/>
                  </w:tcPr>
                  <w:p>
                    <w:pPr>
                      <w:widowControl w:val="0"/>
                      <w:jc w:val="right"/>
                      <w:rPr>
                        <w:sz w:val="18"/>
                        <w:szCs w:val="18"/>
                      </w:rPr>
                    </w:pPr>
                    <w:r>
                      <w:rPr>
                        <w:sz w:val="18"/>
                        <w:szCs w:val="18"/>
                      </w:rPr>
                      <w:t>94,897,379.43</w:t>
                    </w:r>
                  </w:p>
                </w:tc>
                <w:tc>
                  <w:tcPr>
                    <w:tcW w:w="849" w:type="dxa"/>
                    <w:gridSpan w:val="2"/>
                    <w:tcBorders>
                      <w:bottom w:val="single" w:color="auto" w:sz="4" w:space="0"/>
                    </w:tcBorders>
                    <w:vAlign w:val="center"/>
                  </w:tcPr>
                  <w:p>
                    <w:pPr>
                      <w:widowControl w:val="0"/>
                      <w:jc w:val="right"/>
                      <w:rPr>
                        <w:sz w:val="18"/>
                        <w:szCs w:val="18"/>
                      </w:rPr>
                    </w:pPr>
                    <w:r>
                      <w:rPr>
                        <w:sz w:val="18"/>
                        <w:szCs w:val="18"/>
                      </w:rPr>
                      <w:t>4.88</w:t>
                    </w:r>
                  </w:p>
                </w:tc>
                <w:tc>
                  <w:tcPr>
                    <w:tcW w:w="1842" w:type="dxa"/>
                    <w:gridSpan w:val="2"/>
                    <w:tcBorders>
                      <w:bottom w:val="single" w:color="auto" w:sz="4" w:space="0"/>
                    </w:tcBorders>
                    <w:vAlign w:val="center"/>
                  </w:tcPr>
                  <w:p>
                    <w:pPr>
                      <w:widowControl w:val="0"/>
                      <w:jc w:val="right"/>
                      <w:rPr>
                        <w:sz w:val="18"/>
                        <w:szCs w:val="18"/>
                      </w:rPr>
                    </w:pPr>
                    <w:r>
                      <w:rPr>
                        <w:sz w:val="18"/>
                        <w:szCs w:val="18"/>
                      </w:rPr>
                      <w:t>88,686,412.38</w:t>
                    </w:r>
                  </w:p>
                </w:tc>
                <w:tc>
                  <w:tcPr>
                    <w:tcW w:w="993" w:type="dxa"/>
                    <w:gridSpan w:val="2"/>
                    <w:tcBorders>
                      <w:bottom w:val="single" w:color="auto" w:sz="4" w:space="0"/>
                    </w:tcBorders>
                    <w:vAlign w:val="center"/>
                  </w:tcPr>
                  <w:p>
                    <w:pPr>
                      <w:widowControl w:val="0"/>
                      <w:jc w:val="right"/>
                      <w:rPr>
                        <w:sz w:val="18"/>
                        <w:szCs w:val="18"/>
                      </w:rPr>
                    </w:pPr>
                    <w:r>
                      <w:rPr>
                        <w:sz w:val="18"/>
                        <w:szCs w:val="18"/>
                      </w:rPr>
                      <w:t>5.08</w:t>
                    </w:r>
                  </w:p>
                </w:tc>
                <w:tc>
                  <w:tcPr>
                    <w:tcW w:w="1132" w:type="dxa"/>
                    <w:gridSpan w:val="3"/>
                    <w:tcBorders>
                      <w:bottom w:val="single" w:color="auto" w:sz="4" w:space="0"/>
                    </w:tcBorders>
                    <w:vAlign w:val="center"/>
                  </w:tcPr>
                  <w:p>
                    <w:pPr>
                      <w:widowControl w:val="0"/>
                      <w:jc w:val="right"/>
                      <w:rPr>
                        <w:sz w:val="18"/>
                        <w:szCs w:val="18"/>
                      </w:rPr>
                    </w:pPr>
                    <w:r>
                      <w:rPr>
                        <w:sz w:val="18"/>
                        <w:szCs w:val="18"/>
                      </w:rPr>
                      <w:t>7.00</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03"/>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折旧</w:t>
                    </w:r>
                  </w:p>
                </w:tc>
                <w:tc>
                  <w:tcPr>
                    <w:tcW w:w="1843" w:type="dxa"/>
                    <w:gridSpan w:val="2"/>
                    <w:tcBorders>
                      <w:bottom w:val="single" w:color="auto" w:sz="4" w:space="0"/>
                    </w:tcBorders>
                    <w:vAlign w:val="center"/>
                  </w:tcPr>
                  <w:p>
                    <w:pPr>
                      <w:widowControl w:val="0"/>
                      <w:jc w:val="right"/>
                      <w:rPr>
                        <w:sz w:val="18"/>
                        <w:szCs w:val="18"/>
                      </w:rPr>
                    </w:pPr>
                    <w:r>
                      <w:rPr>
                        <w:sz w:val="18"/>
                        <w:szCs w:val="18"/>
                      </w:rPr>
                      <w:t>61,286,274.34</w:t>
                    </w:r>
                  </w:p>
                </w:tc>
                <w:tc>
                  <w:tcPr>
                    <w:tcW w:w="849" w:type="dxa"/>
                    <w:gridSpan w:val="2"/>
                    <w:tcBorders>
                      <w:bottom w:val="single" w:color="auto" w:sz="4" w:space="0"/>
                    </w:tcBorders>
                    <w:vAlign w:val="center"/>
                  </w:tcPr>
                  <w:p>
                    <w:pPr>
                      <w:widowControl w:val="0"/>
                      <w:jc w:val="right"/>
                      <w:rPr>
                        <w:sz w:val="18"/>
                        <w:szCs w:val="18"/>
                      </w:rPr>
                    </w:pPr>
                    <w:r>
                      <w:rPr>
                        <w:sz w:val="18"/>
                        <w:szCs w:val="18"/>
                      </w:rPr>
                      <w:t>3.15</w:t>
                    </w:r>
                  </w:p>
                </w:tc>
                <w:tc>
                  <w:tcPr>
                    <w:tcW w:w="1842" w:type="dxa"/>
                    <w:gridSpan w:val="2"/>
                    <w:tcBorders>
                      <w:bottom w:val="single" w:color="auto" w:sz="4" w:space="0"/>
                    </w:tcBorders>
                    <w:vAlign w:val="center"/>
                  </w:tcPr>
                  <w:p>
                    <w:pPr>
                      <w:widowControl w:val="0"/>
                      <w:jc w:val="right"/>
                      <w:rPr>
                        <w:sz w:val="18"/>
                        <w:szCs w:val="18"/>
                      </w:rPr>
                    </w:pPr>
                    <w:r>
                      <w:rPr>
                        <w:sz w:val="18"/>
                        <w:szCs w:val="18"/>
                      </w:rPr>
                      <w:t>74,319,668.41</w:t>
                    </w:r>
                  </w:p>
                </w:tc>
                <w:tc>
                  <w:tcPr>
                    <w:tcW w:w="993" w:type="dxa"/>
                    <w:gridSpan w:val="2"/>
                    <w:tcBorders>
                      <w:bottom w:val="single" w:color="auto" w:sz="4" w:space="0"/>
                    </w:tcBorders>
                    <w:vAlign w:val="center"/>
                  </w:tcPr>
                  <w:p>
                    <w:pPr>
                      <w:widowControl w:val="0"/>
                      <w:jc w:val="right"/>
                      <w:rPr>
                        <w:sz w:val="18"/>
                        <w:szCs w:val="18"/>
                      </w:rPr>
                    </w:pPr>
                    <w:r>
                      <w:rPr>
                        <w:sz w:val="18"/>
                        <w:szCs w:val="18"/>
                      </w:rPr>
                      <w:t>4.26</w:t>
                    </w:r>
                  </w:p>
                </w:tc>
                <w:tc>
                  <w:tcPr>
                    <w:tcW w:w="1132" w:type="dxa"/>
                    <w:gridSpan w:val="3"/>
                    <w:tcBorders>
                      <w:bottom w:val="single" w:color="auto" w:sz="4" w:space="0"/>
                    </w:tcBorders>
                    <w:vAlign w:val="center"/>
                  </w:tcPr>
                  <w:p>
                    <w:pPr>
                      <w:widowControl w:val="0"/>
                      <w:jc w:val="right"/>
                      <w:rPr>
                        <w:sz w:val="18"/>
                        <w:szCs w:val="18"/>
                      </w:rPr>
                    </w:pPr>
                    <w:r>
                      <w:rPr>
                        <w:sz w:val="18"/>
                        <w:szCs w:val="18"/>
                      </w:rPr>
                      <w:t>-17.54</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04"/>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其他</w:t>
                    </w:r>
                  </w:p>
                </w:tc>
                <w:tc>
                  <w:tcPr>
                    <w:tcW w:w="1843" w:type="dxa"/>
                    <w:gridSpan w:val="2"/>
                    <w:tcBorders>
                      <w:bottom w:val="single" w:color="auto" w:sz="4" w:space="0"/>
                    </w:tcBorders>
                    <w:vAlign w:val="center"/>
                  </w:tcPr>
                  <w:p>
                    <w:pPr>
                      <w:widowControl w:val="0"/>
                      <w:jc w:val="right"/>
                      <w:rPr>
                        <w:sz w:val="18"/>
                        <w:szCs w:val="18"/>
                      </w:rPr>
                    </w:pPr>
                    <w:r>
                      <w:rPr>
                        <w:sz w:val="18"/>
                        <w:szCs w:val="18"/>
                      </w:rPr>
                      <w:t>121,550,895.23</w:t>
                    </w:r>
                  </w:p>
                </w:tc>
                <w:tc>
                  <w:tcPr>
                    <w:tcW w:w="849" w:type="dxa"/>
                    <w:gridSpan w:val="2"/>
                    <w:tcBorders>
                      <w:bottom w:val="single" w:color="auto" w:sz="4" w:space="0"/>
                    </w:tcBorders>
                    <w:vAlign w:val="center"/>
                  </w:tcPr>
                  <w:p>
                    <w:pPr>
                      <w:widowControl w:val="0"/>
                      <w:jc w:val="right"/>
                      <w:rPr>
                        <w:sz w:val="18"/>
                        <w:szCs w:val="18"/>
                      </w:rPr>
                    </w:pPr>
                    <w:r>
                      <w:rPr>
                        <w:sz w:val="18"/>
                        <w:szCs w:val="18"/>
                      </w:rPr>
                      <w:t>6.24</w:t>
                    </w:r>
                  </w:p>
                </w:tc>
                <w:tc>
                  <w:tcPr>
                    <w:tcW w:w="1842" w:type="dxa"/>
                    <w:gridSpan w:val="2"/>
                    <w:tcBorders>
                      <w:bottom w:val="single" w:color="auto" w:sz="4" w:space="0"/>
                    </w:tcBorders>
                    <w:vAlign w:val="center"/>
                  </w:tcPr>
                  <w:p>
                    <w:pPr>
                      <w:widowControl w:val="0"/>
                      <w:jc w:val="right"/>
                      <w:rPr>
                        <w:sz w:val="18"/>
                        <w:szCs w:val="18"/>
                      </w:rPr>
                    </w:pPr>
                    <w:r>
                      <w:rPr>
                        <w:sz w:val="18"/>
                        <w:szCs w:val="18"/>
                      </w:rPr>
                      <w:t>134,641,172.00</w:t>
                    </w:r>
                  </w:p>
                </w:tc>
                <w:tc>
                  <w:tcPr>
                    <w:tcW w:w="993" w:type="dxa"/>
                    <w:gridSpan w:val="2"/>
                    <w:tcBorders>
                      <w:bottom w:val="single" w:color="auto" w:sz="4" w:space="0"/>
                    </w:tcBorders>
                    <w:vAlign w:val="center"/>
                  </w:tcPr>
                  <w:p>
                    <w:pPr>
                      <w:widowControl w:val="0"/>
                      <w:jc w:val="right"/>
                      <w:rPr>
                        <w:sz w:val="18"/>
                        <w:szCs w:val="18"/>
                      </w:rPr>
                    </w:pPr>
                    <w:r>
                      <w:rPr>
                        <w:sz w:val="18"/>
                        <w:szCs w:val="18"/>
                      </w:rPr>
                      <w:t>7.71</w:t>
                    </w:r>
                  </w:p>
                </w:tc>
                <w:tc>
                  <w:tcPr>
                    <w:tcW w:w="1132" w:type="dxa"/>
                    <w:gridSpan w:val="3"/>
                    <w:tcBorders>
                      <w:bottom w:val="single" w:color="auto" w:sz="4" w:space="0"/>
                    </w:tcBorders>
                    <w:vAlign w:val="center"/>
                  </w:tcPr>
                  <w:p>
                    <w:pPr>
                      <w:widowControl w:val="0"/>
                      <w:jc w:val="right"/>
                      <w:rPr>
                        <w:sz w:val="18"/>
                        <w:szCs w:val="18"/>
                      </w:rPr>
                    </w:pPr>
                    <w:r>
                      <w:rPr>
                        <w:sz w:val="18"/>
                        <w:szCs w:val="18"/>
                      </w:rPr>
                      <w:t>-9.72</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05"/>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tcBorders>
                      <w:bottom w:val="single" w:color="auto" w:sz="4" w:space="0"/>
                    </w:tcBorders>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小计</w:t>
                    </w:r>
                  </w:p>
                </w:tc>
                <w:tc>
                  <w:tcPr>
                    <w:tcW w:w="1843" w:type="dxa"/>
                    <w:gridSpan w:val="2"/>
                    <w:tcBorders>
                      <w:bottom w:val="single" w:color="auto" w:sz="4" w:space="0"/>
                    </w:tcBorders>
                    <w:vAlign w:val="center"/>
                  </w:tcPr>
                  <w:p>
                    <w:pPr>
                      <w:widowControl w:val="0"/>
                      <w:jc w:val="right"/>
                      <w:rPr>
                        <w:sz w:val="18"/>
                        <w:szCs w:val="18"/>
                      </w:rPr>
                    </w:pPr>
                    <w:r>
                      <w:rPr>
                        <w:sz w:val="18"/>
                        <w:szCs w:val="18"/>
                      </w:rPr>
                      <w:t>1,946,556,131.28</w:t>
                    </w:r>
                  </w:p>
                </w:tc>
                <w:tc>
                  <w:tcPr>
                    <w:tcW w:w="849" w:type="dxa"/>
                    <w:gridSpan w:val="2"/>
                    <w:tcBorders>
                      <w:bottom w:val="single" w:color="auto" w:sz="4" w:space="0"/>
                    </w:tcBorders>
                    <w:vAlign w:val="center"/>
                  </w:tcPr>
                  <w:p>
                    <w:pPr>
                      <w:widowControl w:val="0"/>
                      <w:jc w:val="right"/>
                      <w:rPr>
                        <w:sz w:val="18"/>
                        <w:szCs w:val="18"/>
                      </w:rPr>
                    </w:pPr>
                    <w:r>
                      <w:rPr>
                        <w:sz w:val="18"/>
                        <w:szCs w:val="18"/>
                      </w:rPr>
                      <w:t>100.00</w:t>
                    </w:r>
                  </w:p>
                </w:tc>
                <w:tc>
                  <w:tcPr>
                    <w:tcW w:w="1842" w:type="dxa"/>
                    <w:gridSpan w:val="2"/>
                    <w:tcBorders>
                      <w:bottom w:val="single" w:color="auto" w:sz="4" w:space="0"/>
                    </w:tcBorders>
                    <w:vAlign w:val="center"/>
                  </w:tcPr>
                  <w:p>
                    <w:pPr>
                      <w:widowControl w:val="0"/>
                      <w:jc w:val="right"/>
                      <w:rPr>
                        <w:sz w:val="18"/>
                        <w:szCs w:val="18"/>
                      </w:rPr>
                    </w:pPr>
                    <w:r>
                      <w:rPr>
                        <w:sz w:val="18"/>
                        <w:szCs w:val="18"/>
                      </w:rPr>
                      <w:t>1,746,472,729.84</w:t>
                    </w:r>
                  </w:p>
                </w:tc>
                <w:tc>
                  <w:tcPr>
                    <w:tcW w:w="993" w:type="dxa"/>
                    <w:gridSpan w:val="2"/>
                    <w:tcBorders>
                      <w:bottom w:val="single" w:color="auto" w:sz="4" w:space="0"/>
                    </w:tcBorders>
                    <w:vAlign w:val="center"/>
                  </w:tcPr>
                  <w:p>
                    <w:pPr>
                      <w:widowControl w:val="0"/>
                      <w:jc w:val="right"/>
                      <w:rPr>
                        <w:sz w:val="18"/>
                        <w:szCs w:val="18"/>
                      </w:rPr>
                    </w:pPr>
                    <w:r>
                      <w:rPr>
                        <w:sz w:val="18"/>
                        <w:szCs w:val="18"/>
                      </w:rPr>
                      <w:t>100</w:t>
                    </w:r>
                  </w:p>
                </w:tc>
                <w:tc>
                  <w:tcPr>
                    <w:tcW w:w="1132" w:type="dxa"/>
                    <w:gridSpan w:val="3"/>
                    <w:tcBorders>
                      <w:bottom w:val="single" w:color="auto" w:sz="4" w:space="0"/>
                    </w:tcBorders>
                    <w:vAlign w:val="center"/>
                  </w:tcPr>
                  <w:p>
                    <w:pPr>
                      <w:widowControl w:val="0"/>
                      <w:jc w:val="right"/>
                      <w:rPr>
                        <w:sz w:val="18"/>
                        <w:szCs w:val="18"/>
                      </w:rPr>
                    </w:pPr>
                    <w:r>
                      <w:rPr>
                        <w:sz w:val="18"/>
                        <w:szCs w:val="18"/>
                      </w:rPr>
                      <w:t>11.46</w:t>
                    </w:r>
                  </w:p>
                </w:tc>
                <w:tc>
                  <w:tcPr>
                    <w:tcW w:w="567" w:type="dxa"/>
                    <w:tcBorders>
                      <w:bottom w:val="single" w:color="auto" w:sz="4" w:space="0"/>
                    </w:tcBorders>
                  </w:tcPr>
                  <w:p>
                    <w:pPr>
                      <w:widowControl w:val="0"/>
                      <w:jc w:val="both"/>
                      <w:rPr>
                        <w:szCs w:val="21"/>
                      </w:rPr>
                    </w:pPr>
                  </w:p>
                </w:tc>
              </w:tr>
            </w:sdtContent>
          </w:sdt>
          <w:sdt>
            <w:sdtPr>
              <w:rPr>
                <w:rFonts w:ascii="Calibri" w:hAnsi="Calibri" w:eastAsiaTheme="minorEastAsia" w:cstheme="minorBidi"/>
                <w:kern w:val="2"/>
                <w:sz w:val="18"/>
                <w:szCs w:val="18"/>
              </w:rPr>
              <w:alias w:val="分产品成本分析"/>
              <w:tag w:val="_TUP_a99457d0ffea4639b6d23dc0f965122f"/>
              <w:id w:val="6772706"/>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restart"/>
                    <w:vAlign w:val="center"/>
                  </w:tcPr>
                  <w:p>
                    <w:pPr>
                      <w:widowControl w:val="0"/>
                      <w:jc w:val="center"/>
                      <w:rPr>
                        <w:rFonts w:ascii="Calibri" w:hAnsi="Calibri"/>
                        <w:sz w:val="18"/>
                        <w:szCs w:val="18"/>
                      </w:rPr>
                    </w:pPr>
                    <w:r>
                      <w:rPr>
                        <w:rFonts w:hint="eastAsia" w:ascii="Calibri" w:hAnsi="Calibri" w:eastAsiaTheme="minorEastAsia" w:cstheme="minorBidi"/>
                        <w:kern w:val="2"/>
                        <w:sz w:val="18"/>
                        <w:szCs w:val="18"/>
                      </w:rPr>
                      <w:t>小型材</w:t>
                    </w:r>
                  </w:p>
                  <w:p>
                    <w:pPr>
                      <w:widowControl w:val="0"/>
                      <w:jc w:val="center"/>
                      <w:rPr>
                        <w:rFonts w:ascii="Calibri" w:hAnsi="Calibri"/>
                        <w:sz w:val="18"/>
                        <w:szCs w:val="18"/>
                      </w:rPr>
                    </w:pPr>
                  </w:p>
                  <w:p>
                    <w:pPr>
                      <w:widowControl w:val="0"/>
                      <w:jc w:val="center"/>
                      <w:rPr>
                        <w:rFonts w:ascii="Calibri" w:hAnsi="Calibri"/>
                        <w:sz w:val="18"/>
                        <w:szCs w:val="18"/>
                      </w:rPr>
                    </w:pPr>
                  </w:p>
                  <w:p>
                    <w:pPr>
                      <w:widowControl w:val="0"/>
                      <w:jc w:val="center"/>
                      <w:rPr>
                        <w:rFonts w:ascii="Calibri" w:hAnsi="Calibri"/>
                        <w:sz w:val="18"/>
                        <w:szCs w:val="18"/>
                      </w:rPr>
                    </w:pPr>
                  </w:p>
                  <w:p>
                    <w:pPr>
                      <w:widowControl w:val="0"/>
                      <w:jc w:val="center"/>
                      <w:rPr>
                        <w:rFonts w:ascii="Calibri" w:hAnsi="Calibri"/>
                        <w:sz w:val="18"/>
                        <w:szCs w:val="18"/>
                      </w:rPr>
                    </w:pPr>
                  </w:p>
                  <w:p>
                    <w:pPr>
                      <w:widowControl w:val="0"/>
                      <w:jc w:val="center"/>
                      <w:rPr>
                        <w:rFonts w:ascii="Calibri" w:hAnsi="Calibri"/>
                        <w:sz w:val="18"/>
                        <w:szCs w:val="18"/>
                      </w:rPr>
                    </w:pPr>
                  </w:p>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原材料</w:t>
                    </w:r>
                  </w:p>
                </w:tc>
                <w:tc>
                  <w:tcPr>
                    <w:tcW w:w="1843" w:type="dxa"/>
                    <w:gridSpan w:val="2"/>
                    <w:tcBorders>
                      <w:bottom w:val="single" w:color="auto" w:sz="4" w:space="0"/>
                    </w:tcBorders>
                    <w:vAlign w:val="center"/>
                  </w:tcPr>
                  <w:p>
                    <w:pPr>
                      <w:widowControl w:val="0"/>
                      <w:jc w:val="right"/>
                      <w:rPr>
                        <w:sz w:val="18"/>
                        <w:szCs w:val="18"/>
                      </w:rPr>
                    </w:pPr>
                    <w:r>
                      <w:rPr>
                        <w:sz w:val="18"/>
                        <w:szCs w:val="18"/>
                      </w:rPr>
                      <w:t>10,312,935,189.55</w:t>
                    </w:r>
                  </w:p>
                </w:tc>
                <w:tc>
                  <w:tcPr>
                    <w:tcW w:w="849" w:type="dxa"/>
                    <w:gridSpan w:val="2"/>
                    <w:tcBorders>
                      <w:bottom w:val="single" w:color="auto" w:sz="4" w:space="0"/>
                    </w:tcBorders>
                    <w:vAlign w:val="center"/>
                  </w:tcPr>
                  <w:p>
                    <w:pPr>
                      <w:widowControl w:val="0"/>
                      <w:jc w:val="right"/>
                      <w:rPr>
                        <w:sz w:val="18"/>
                        <w:szCs w:val="18"/>
                      </w:rPr>
                    </w:pPr>
                    <w:r>
                      <w:rPr>
                        <w:sz w:val="18"/>
                        <w:szCs w:val="18"/>
                      </w:rPr>
                      <w:t>60.88</w:t>
                    </w:r>
                  </w:p>
                </w:tc>
                <w:tc>
                  <w:tcPr>
                    <w:tcW w:w="1842" w:type="dxa"/>
                    <w:gridSpan w:val="2"/>
                    <w:tcBorders>
                      <w:bottom w:val="single" w:color="auto" w:sz="4" w:space="0"/>
                    </w:tcBorders>
                    <w:vAlign w:val="center"/>
                  </w:tcPr>
                  <w:p>
                    <w:pPr>
                      <w:widowControl w:val="0"/>
                      <w:jc w:val="right"/>
                      <w:rPr>
                        <w:sz w:val="18"/>
                        <w:szCs w:val="18"/>
                      </w:rPr>
                    </w:pPr>
                    <w:r>
                      <w:rPr>
                        <w:sz w:val="18"/>
                        <w:szCs w:val="18"/>
                      </w:rPr>
                      <w:t>4,897,800,684.59</w:t>
                    </w:r>
                  </w:p>
                </w:tc>
                <w:tc>
                  <w:tcPr>
                    <w:tcW w:w="993" w:type="dxa"/>
                    <w:gridSpan w:val="2"/>
                    <w:tcBorders>
                      <w:bottom w:val="single" w:color="auto" w:sz="4" w:space="0"/>
                    </w:tcBorders>
                    <w:vAlign w:val="center"/>
                  </w:tcPr>
                  <w:p>
                    <w:pPr>
                      <w:widowControl w:val="0"/>
                      <w:jc w:val="right"/>
                      <w:rPr>
                        <w:sz w:val="18"/>
                        <w:szCs w:val="18"/>
                      </w:rPr>
                    </w:pPr>
                    <w:r>
                      <w:rPr>
                        <w:sz w:val="18"/>
                        <w:szCs w:val="18"/>
                      </w:rPr>
                      <w:t>53.93</w:t>
                    </w:r>
                  </w:p>
                </w:tc>
                <w:tc>
                  <w:tcPr>
                    <w:tcW w:w="1132" w:type="dxa"/>
                    <w:gridSpan w:val="3"/>
                    <w:tcBorders>
                      <w:bottom w:val="single" w:color="auto" w:sz="4" w:space="0"/>
                    </w:tcBorders>
                    <w:vAlign w:val="center"/>
                  </w:tcPr>
                  <w:p>
                    <w:pPr>
                      <w:widowControl w:val="0"/>
                      <w:jc w:val="right"/>
                      <w:rPr>
                        <w:sz w:val="18"/>
                        <w:szCs w:val="18"/>
                      </w:rPr>
                    </w:pPr>
                    <w:r>
                      <w:rPr>
                        <w:sz w:val="18"/>
                        <w:szCs w:val="18"/>
                      </w:rPr>
                      <w:t>110.56</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07"/>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辅助材料</w:t>
                    </w:r>
                  </w:p>
                </w:tc>
                <w:tc>
                  <w:tcPr>
                    <w:tcW w:w="1843" w:type="dxa"/>
                    <w:gridSpan w:val="2"/>
                    <w:tcBorders>
                      <w:bottom w:val="single" w:color="auto" w:sz="4" w:space="0"/>
                    </w:tcBorders>
                    <w:vAlign w:val="center"/>
                  </w:tcPr>
                  <w:p>
                    <w:pPr>
                      <w:widowControl w:val="0"/>
                      <w:jc w:val="right"/>
                      <w:rPr>
                        <w:sz w:val="18"/>
                        <w:szCs w:val="18"/>
                      </w:rPr>
                    </w:pPr>
                    <w:r>
                      <w:rPr>
                        <w:sz w:val="18"/>
                        <w:szCs w:val="18"/>
                      </w:rPr>
                      <w:t>654,615,537.87</w:t>
                    </w:r>
                  </w:p>
                </w:tc>
                <w:tc>
                  <w:tcPr>
                    <w:tcW w:w="849" w:type="dxa"/>
                    <w:gridSpan w:val="2"/>
                    <w:tcBorders>
                      <w:bottom w:val="single" w:color="auto" w:sz="4" w:space="0"/>
                    </w:tcBorders>
                    <w:vAlign w:val="center"/>
                  </w:tcPr>
                  <w:p>
                    <w:pPr>
                      <w:widowControl w:val="0"/>
                      <w:jc w:val="right"/>
                      <w:rPr>
                        <w:sz w:val="18"/>
                        <w:szCs w:val="18"/>
                      </w:rPr>
                    </w:pPr>
                    <w:r>
                      <w:rPr>
                        <w:sz w:val="18"/>
                        <w:szCs w:val="18"/>
                      </w:rPr>
                      <w:t>3.86</w:t>
                    </w:r>
                  </w:p>
                </w:tc>
                <w:tc>
                  <w:tcPr>
                    <w:tcW w:w="1842" w:type="dxa"/>
                    <w:gridSpan w:val="2"/>
                    <w:tcBorders>
                      <w:bottom w:val="single" w:color="auto" w:sz="4" w:space="0"/>
                    </w:tcBorders>
                    <w:vAlign w:val="center"/>
                  </w:tcPr>
                  <w:p>
                    <w:pPr>
                      <w:widowControl w:val="0"/>
                      <w:jc w:val="right"/>
                      <w:rPr>
                        <w:sz w:val="18"/>
                        <w:szCs w:val="18"/>
                      </w:rPr>
                    </w:pPr>
                    <w:r>
                      <w:rPr>
                        <w:sz w:val="18"/>
                        <w:szCs w:val="18"/>
                      </w:rPr>
                      <w:t>413,050,828.20</w:t>
                    </w:r>
                  </w:p>
                </w:tc>
                <w:tc>
                  <w:tcPr>
                    <w:tcW w:w="993" w:type="dxa"/>
                    <w:gridSpan w:val="2"/>
                    <w:tcBorders>
                      <w:bottom w:val="single" w:color="auto" w:sz="4" w:space="0"/>
                    </w:tcBorders>
                    <w:vAlign w:val="center"/>
                  </w:tcPr>
                  <w:p>
                    <w:pPr>
                      <w:widowControl w:val="0"/>
                      <w:jc w:val="right"/>
                      <w:rPr>
                        <w:sz w:val="18"/>
                        <w:szCs w:val="18"/>
                      </w:rPr>
                    </w:pPr>
                    <w:r>
                      <w:rPr>
                        <w:sz w:val="18"/>
                        <w:szCs w:val="18"/>
                      </w:rPr>
                      <w:t>4.55</w:t>
                    </w:r>
                  </w:p>
                </w:tc>
                <w:tc>
                  <w:tcPr>
                    <w:tcW w:w="1132" w:type="dxa"/>
                    <w:gridSpan w:val="3"/>
                    <w:tcBorders>
                      <w:bottom w:val="single" w:color="auto" w:sz="4" w:space="0"/>
                    </w:tcBorders>
                    <w:vAlign w:val="center"/>
                  </w:tcPr>
                  <w:p>
                    <w:pPr>
                      <w:widowControl w:val="0"/>
                      <w:jc w:val="right"/>
                      <w:rPr>
                        <w:sz w:val="18"/>
                        <w:szCs w:val="18"/>
                      </w:rPr>
                    </w:pPr>
                    <w:r>
                      <w:rPr>
                        <w:sz w:val="18"/>
                        <w:szCs w:val="18"/>
                      </w:rPr>
                      <w:t>58.48</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08"/>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燃料及动力</w:t>
                    </w:r>
                  </w:p>
                </w:tc>
                <w:tc>
                  <w:tcPr>
                    <w:tcW w:w="1843" w:type="dxa"/>
                    <w:gridSpan w:val="2"/>
                    <w:tcBorders>
                      <w:bottom w:val="single" w:color="auto" w:sz="4" w:space="0"/>
                    </w:tcBorders>
                    <w:vAlign w:val="center"/>
                  </w:tcPr>
                  <w:p>
                    <w:pPr>
                      <w:widowControl w:val="0"/>
                      <w:jc w:val="right"/>
                      <w:rPr>
                        <w:sz w:val="18"/>
                        <w:szCs w:val="18"/>
                      </w:rPr>
                    </w:pPr>
                    <w:r>
                      <w:rPr>
                        <w:sz w:val="18"/>
                        <w:szCs w:val="18"/>
                      </w:rPr>
                      <w:t>4,302,006,938.25</w:t>
                    </w:r>
                  </w:p>
                </w:tc>
                <w:tc>
                  <w:tcPr>
                    <w:tcW w:w="849" w:type="dxa"/>
                    <w:gridSpan w:val="2"/>
                    <w:tcBorders>
                      <w:bottom w:val="single" w:color="auto" w:sz="4" w:space="0"/>
                    </w:tcBorders>
                    <w:vAlign w:val="center"/>
                  </w:tcPr>
                  <w:p>
                    <w:pPr>
                      <w:widowControl w:val="0"/>
                      <w:jc w:val="right"/>
                      <w:rPr>
                        <w:sz w:val="18"/>
                        <w:szCs w:val="18"/>
                      </w:rPr>
                    </w:pPr>
                    <w:r>
                      <w:rPr>
                        <w:sz w:val="18"/>
                        <w:szCs w:val="18"/>
                      </w:rPr>
                      <w:t>25.40</w:t>
                    </w:r>
                  </w:p>
                </w:tc>
                <w:tc>
                  <w:tcPr>
                    <w:tcW w:w="1842" w:type="dxa"/>
                    <w:gridSpan w:val="2"/>
                    <w:tcBorders>
                      <w:bottom w:val="single" w:color="auto" w:sz="4" w:space="0"/>
                    </w:tcBorders>
                    <w:vAlign w:val="center"/>
                  </w:tcPr>
                  <w:p>
                    <w:pPr>
                      <w:widowControl w:val="0"/>
                      <w:jc w:val="right"/>
                      <w:rPr>
                        <w:sz w:val="18"/>
                        <w:szCs w:val="18"/>
                      </w:rPr>
                    </w:pPr>
                    <w:r>
                      <w:rPr>
                        <w:sz w:val="18"/>
                        <w:szCs w:val="18"/>
                      </w:rPr>
                      <w:t>2,500,219,687.41</w:t>
                    </w:r>
                  </w:p>
                </w:tc>
                <w:tc>
                  <w:tcPr>
                    <w:tcW w:w="993" w:type="dxa"/>
                    <w:gridSpan w:val="2"/>
                    <w:tcBorders>
                      <w:bottom w:val="single" w:color="auto" w:sz="4" w:space="0"/>
                    </w:tcBorders>
                    <w:vAlign w:val="center"/>
                  </w:tcPr>
                  <w:p>
                    <w:pPr>
                      <w:widowControl w:val="0"/>
                      <w:jc w:val="right"/>
                      <w:rPr>
                        <w:sz w:val="18"/>
                        <w:szCs w:val="18"/>
                      </w:rPr>
                    </w:pPr>
                    <w:r>
                      <w:rPr>
                        <w:sz w:val="18"/>
                        <w:szCs w:val="18"/>
                      </w:rPr>
                      <w:t>27.53</w:t>
                    </w:r>
                  </w:p>
                </w:tc>
                <w:tc>
                  <w:tcPr>
                    <w:tcW w:w="1132" w:type="dxa"/>
                    <w:gridSpan w:val="3"/>
                    <w:tcBorders>
                      <w:bottom w:val="single" w:color="auto" w:sz="4" w:space="0"/>
                    </w:tcBorders>
                    <w:vAlign w:val="center"/>
                  </w:tcPr>
                  <w:p>
                    <w:pPr>
                      <w:widowControl w:val="0"/>
                      <w:jc w:val="right"/>
                      <w:rPr>
                        <w:sz w:val="18"/>
                        <w:szCs w:val="18"/>
                      </w:rPr>
                    </w:pPr>
                    <w:r>
                      <w:rPr>
                        <w:sz w:val="18"/>
                        <w:szCs w:val="18"/>
                      </w:rPr>
                      <w:t>72.07</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09"/>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工资</w:t>
                    </w:r>
                  </w:p>
                </w:tc>
                <w:tc>
                  <w:tcPr>
                    <w:tcW w:w="1843" w:type="dxa"/>
                    <w:gridSpan w:val="2"/>
                    <w:tcBorders>
                      <w:bottom w:val="single" w:color="auto" w:sz="4" w:space="0"/>
                    </w:tcBorders>
                    <w:vAlign w:val="center"/>
                  </w:tcPr>
                  <w:p>
                    <w:pPr>
                      <w:widowControl w:val="0"/>
                      <w:jc w:val="right"/>
                      <w:rPr>
                        <w:sz w:val="18"/>
                        <w:szCs w:val="18"/>
                      </w:rPr>
                    </w:pPr>
                    <w:r>
                      <w:rPr>
                        <w:sz w:val="18"/>
                        <w:szCs w:val="18"/>
                      </w:rPr>
                      <w:t>481,361,396.10</w:t>
                    </w:r>
                  </w:p>
                </w:tc>
                <w:tc>
                  <w:tcPr>
                    <w:tcW w:w="849" w:type="dxa"/>
                    <w:gridSpan w:val="2"/>
                    <w:tcBorders>
                      <w:bottom w:val="single" w:color="auto" w:sz="4" w:space="0"/>
                    </w:tcBorders>
                    <w:vAlign w:val="center"/>
                  </w:tcPr>
                  <w:p>
                    <w:pPr>
                      <w:widowControl w:val="0"/>
                      <w:jc w:val="right"/>
                      <w:rPr>
                        <w:sz w:val="18"/>
                        <w:szCs w:val="18"/>
                      </w:rPr>
                    </w:pPr>
                    <w:r>
                      <w:rPr>
                        <w:sz w:val="18"/>
                        <w:szCs w:val="18"/>
                      </w:rPr>
                      <w:t>2.84</w:t>
                    </w:r>
                  </w:p>
                </w:tc>
                <w:tc>
                  <w:tcPr>
                    <w:tcW w:w="1842" w:type="dxa"/>
                    <w:gridSpan w:val="2"/>
                    <w:tcBorders>
                      <w:bottom w:val="single" w:color="auto" w:sz="4" w:space="0"/>
                    </w:tcBorders>
                    <w:vAlign w:val="center"/>
                  </w:tcPr>
                  <w:p>
                    <w:pPr>
                      <w:widowControl w:val="0"/>
                      <w:jc w:val="right"/>
                      <w:rPr>
                        <w:sz w:val="18"/>
                        <w:szCs w:val="18"/>
                      </w:rPr>
                    </w:pPr>
                    <w:r>
                      <w:rPr>
                        <w:sz w:val="18"/>
                        <w:szCs w:val="18"/>
                      </w:rPr>
                      <w:t>321,138,465.71</w:t>
                    </w:r>
                  </w:p>
                </w:tc>
                <w:tc>
                  <w:tcPr>
                    <w:tcW w:w="993" w:type="dxa"/>
                    <w:gridSpan w:val="2"/>
                    <w:tcBorders>
                      <w:bottom w:val="single" w:color="auto" w:sz="4" w:space="0"/>
                    </w:tcBorders>
                    <w:vAlign w:val="center"/>
                  </w:tcPr>
                  <w:p>
                    <w:pPr>
                      <w:widowControl w:val="0"/>
                      <w:jc w:val="right"/>
                      <w:rPr>
                        <w:sz w:val="18"/>
                        <w:szCs w:val="18"/>
                      </w:rPr>
                    </w:pPr>
                    <w:r>
                      <w:rPr>
                        <w:sz w:val="18"/>
                        <w:szCs w:val="18"/>
                      </w:rPr>
                      <w:t>3.54</w:t>
                    </w:r>
                  </w:p>
                </w:tc>
                <w:tc>
                  <w:tcPr>
                    <w:tcW w:w="1132" w:type="dxa"/>
                    <w:gridSpan w:val="3"/>
                    <w:tcBorders>
                      <w:bottom w:val="single" w:color="auto" w:sz="4" w:space="0"/>
                    </w:tcBorders>
                    <w:vAlign w:val="center"/>
                  </w:tcPr>
                  <w:p>
                    <w:pPr>
                      <w:widowControl w:val="0"/>
                      <w:jc w:val="right"/>
                      <w:rPr>
                        <w:sz w:val="18"/>
                        <w:szCs w:val="18"/>
                      </w:rPr>
                    </w:pPr>
                    <w:r>
                      <w:rPr>
                        <w:sz w:val="18"/>
                        <w:szCs w:val="18"/>
                      </w:rPr>
                      <w:t>49.89</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10"/>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折旧</w:t>
                    </w:r>
                  </w:p>
                </w:tc>
                <w:tc>
                  <w:tcPr>
                    <w:tcW w:w="1843" w:type="dxa"/>
                    <w:gridSpan w:val="2"/>
                    <w:tcBorders>
                      <w:bottom w:val="single" w:color="auto" w:sz="4" w:space="0"/>
                    </w:tcBorders>
                    <w:vAlign w:val="center"/>
                  </w:tcPr>
                  <w:p>
                    <w:pPr>
                      <w:widowControl w:val="0"/>
                      <w:jc w:val="right"/>
                      <w:rPr>
                        <w:sz w:val="18"/>
                        <w:szCs w:val="18"/>
                      </w:rPr>
                    </w:pPr>
                    <w:r>
                      <w:rPr>
                        <w:sz w:val="18"/>
                        <w:szCs w:val="18"/>
                      </w:rPr>
                      <w:t>423,888,283.84</w:t>
                    </w:r>
                  </w:p>
                </w:tc>
                <w:tc>
                  <w:tcPr>
                    <w:tcW w:w="849" w:type="dxa"/>
                    <w:gridSpan w:val="2"/>
                    <w:tcBorders>
                      <w:bottom w:val="single" w:color="auto" w:sz="4" w:space="0"/>
                    </w:tcBorders>
                    <w:vAlign w:val="center"/>
                  </w:tcPr>
                  <w:p>
                    <w:pPr>
                      <w:widowControl w:val="0"/>
                      <w:jc w:val="right"/>
                      <w:rPr>
                        <w:sz w:val="18"/>
                        <w:szCs w:val="18"/>
                      </w:rPr>
                    </w:pPr>
                    <w:r>
                      <w:rPr>
                        <w:sz w:val="18"/>
                        <w:szCs w:val="18"/>
                      </w:rPr>
                      <w:t>2.50</w:t>
                    </w:r>
                  </w:p>
                </w:tc>
                <w:tc>
                  <w:tcPr>
                    <w:tcW w:w="1842" w:type="dxa"/>
                    <w:gridSpan w:val="2"/>
                    <w:tcBorders>
                      <w:bottom w:val="single" w:color="auto" w:sz="4" w:space="0"/>
                    </w:tcBorders>
                    <w:vAlign w:val="center"/>
                  </w:tcPr>
                  <w:p>
                    <w:pPr>
                      <w:widowControl w:val="0"/>
                      <w:jc w:val="right"/>
                      <w:rPr>
                        <w:sz w:val="18"/>
                        <w:szCs w:val="18"/>
                      </w:rPr>
                    </w:pPr>
                    <w:r>
                      <w:rPr>
                        <w:sz w:val="18"/>
                        <w:szCs w:val="18"/>
                      </w:rPr>
                      <w:t>345,780,965.31</w:t>
                    </w:r>
                  </w:p>
                </w:tc>
                <w:tc>
                  <w:tcPr>
                    <w:tcW w:w="993" w:type="dxa"/>
                    <w:gridSpan w:val="2"/>
                    <w:tcBorders>
                      <w:bottom w:val="single" w:color="auto" w:sz="4" w:space="0"/>
                    </w:tcBorders>
                    <w:vAlign w:val="center"/>
                  </w:tcPr>
                  <w:p>
                    <w:pPr>
                      <w:widowControl w:val="0"/>
                      <w:jc w:val="right"/>
                      <w:rPr>
                        <w:sz w:val="18"/>
                        <w:szCs w:val="18"/>
                      </w:rPr>
                    </w:pPr>
                    <w:r>
                      <w:rPr>
                        <w:sz w:val="18"/>
                        <w:szCs w:val="18"/>
                      </w:rPr>
                      <w:t>3.81</w:t>
                    </w:r>
                  </w:p>
                </w:tc>
                <w:tc>
                  <w:tcPr>
                    <w:tcW w:w="1132" w:type="dxa"/>
                    <w:gridSpan w:val="3"/>
                    <w:tcBorders>
                      <w:bottom w:val="single" w:color="auto" w:sz="4" w:space="0"/>
                    </w:tcBorders>
                    <w:vAlign w:val="center"/>
                  </w:tcPr>
                  <w:p>
                    <w:pPr>
                      <w:widowControl w:val="0"/>
                      <w:jc w:val="right"/>
                      <w:rPr>
                        <w:sz w:val="18"/>
                        <w:szCs w:val="18"/>
                      </w:rPr>
                    </w:pPr>
                    <w:r>
                      <w:rPr>
                        <w:sz w:val="18"/>
                        <w:szCs w:val="18"/>
                      </w:rPr>
                      <w:t>22.59</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11"/>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其他</w:t>
                    </w:r>
                  </w:p>
                </w:tc>
                <w:tc>
                  <w:tcPr>
                    <w:tcW w:w="1843" w:type="dxa"/>
                    <w:gridSpan w:val="2"/>
                    <w:tcBorders>
                      <w:bottom w:val="single" w:color="auto" w:sz="4" w:space="0"/>
                    </w:tcBorders>
                    <w:vAlign w:val="center"/>
                  </w:tcPr>
                  <w:p>
                    <w:pPr>
                      <w:widowControl w:val="0"/>
                      <w:jc w:val="right"/>
                      <w:rPr>
                        <w:sz w:val="18"/>
                        <w:szCs w:val="18"/>
                      </w:rPr>
                    </w:pPr>
                    <w:r>
                      <w:rPr>
                        <w:sz w:val="18"/>
                        <w:szCs w:val="18"/>
                      </w:rPr>
                      <w:t>765,066,658.64</w:t>
                    </w:r>
                  </w:p>
                </w:tc>
                <w:tc>
                  <w:tcPr>
                    <w:tcW w:w="849" w:type="dxa"/>
                    <w:gridSpan w:val="2"/>
                    <w:tcBorders>
                      <w:bottom w:val="single" w:color="auto" w:sz="4" w:space="0"/>
                    </w:tcBorders>
                    <w:vAlign w:val="center"/>
                  </w:tcPr>
                  <w:p>
                    <w:pPr>
                      <w:widowControl w:val="0"/>
                      <w:jc w:val="right"/>
                      <w:rPr>
                        <w:sz w:val="18"/>
                        <w:szCs w:val="18"/>
                      </w:rPr>
                    </w:pPr>
                    <w:r>
                      <w:rPr>
                        <w:sz w:val="18"/>
                        <w:szCs w:val="18"/>
                      </w:rPr>
                      <w:t>4.52</w:t>
                    </w:r>
                  </w:p>
                </w:tc>
                <w:tc>
                  <w:tcPr>
                    <w:tcW w:w="1842" w:type="dxa"/>
                    <w:gridSpan w:val="2"/>
                    <w:tcBorders>
                      <w:bottom w:val="single" w:color="auto" w:sz="4" w:space="0"/>
                    </w:tcBorders>
                    <w:vAlign w:val="center"/>
                  </w:tcPr>
                  <w:p>
                    <w:pPr>
                      <w:widowControl w:val="0"/>
                      <w:jc w:val="right"/>
                      <w:rPr>
                        <w:sz w:val="18"/>
                        <w:szCs w:val="18"/>
                      </w:rPr>
                    </w:pPr>
                    <w:r>
                      <w:rPr>
                        <w:sz w:val="18"/>
                        <w:szCs w:val="18"/>
                      </w:rPr>
                      <w:t>604,365,393.58</w:t>
                    </w:r>
                  </w:p>
                </w:tc>
                <w:tc>
                  <w:tcPr>
                    <w:tcW w:w="993" w:type="dxa"/>
                    <w:gridSpan w:val="2"/>
                    <w:tcBorders>
                      <w:bottom w:val="single" w:color="auto" w:sz="4" w:space="0"/>
                    </w:tcBorders>
                    <w:vAlign w:val="center"/>
                  </w:tcPr>
                  <w:p>
                    <w:pPr>
                      <w:widowControl w:val="0"/>
                      <w:jc w:val="right"/>
                      <w:rPr>
                        <w:sz w:val="18"/>
                        <w:szCs w:val="18"/>
                      </w:rPr>
                    </w:pPr>
                    <w:r>
                      <w:rPr>
                        <w:sz w:val="18"/>
                        <w:szCs w:val="18"/>
                      </w:rPr>
                      <w:t>6.65</w:t>
                    </w:r>
                  </w:p>
                </w:tc>
                <w:tc>
                  <w:tcPr>
                    <w:tcW w:w="1132" w:type="dxa"/>
                    <w:gridSpan w:val="3"/>
                    <w:tcBorders>
                      <w:bottom w:val="single" w:color="auto" w:sz="4" w:space="0"/>
                    </w:tcBorders>
                    <w:vAlign w:val="center"/>
                  </w:tcPr>
                  <w:p>
                    <w:pPr>
                      <w:widowControl w:val="0"/>
                      <w:jc w:val="right"/>
                      <w:rPr>
                        <w:sz w:val="18"/>
                        <w:szCs w:val="18"/>
                      </w:rPr>
                    </w:pPr>
                    <w:r>
                      <w:rPr>
                        <w:sz w:val="18"/>
                        <w:szCs w:val="18"/>
                      </w:rPr>
                      <w:t>26.59</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12"/>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tcBorders>
                      <w:bottom w:val="single" w:color="auto" w:sz="4" w:space="0"/>
                    </w:tcBorders>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小计</w:t>
                    </w:r>
                  </w:p>
                </w:tc>
                <w:tc>
                  <w:tcPr>
                    <w:tcW w:w="1843" w:type="dxa"/>
                    <w:gridSpan w:val="2"/>
                    <w:tcBorders>
                      <w:bottom w:val="single" w:color="auto" w:sz="4" w:space="0"/>
                    </w:tcBorders>
                    <w:vAlign w:val="center"/>
                  </w:tcPr>
                  <w:p>
                    <w:pPr>
                      <w:widowControl w:val="0"/>
                      <w:jc w:val="right"/>
                      <w:rPr>
                        <w:sz w:val="18"/>
                        <w:szCs w:val="18"/>
                      </w:rPr>
                    </w:pPr>
                    <w:r>
                      <w:rPr>
                        <w:sz w:val="18"/>
                        <w:szCs w:val="18"/>
                      </w:rPr>
                      <w:t>16,939,874,004.25</w:t>
                    </w:r>
                  </w:p>
                </w:tc>
                <w:tc>
                  <w:tcPr>
                    <w:tcW w:w="849" w:type="dxa"/>
                    <w:gridSpan w:val="2"/>
                    <w:tcBorders>
                      <w:bottom w:val="single" w:color="auto" w:sz="4" w:space="0"/>
                    </w:tcBorders>
                    <w:vAlign w:val="center"/>
                  </w:tcPr>
                  <w:p>
                    <w:pPr>
                      <w:widowControl w:val="0"/>
                      <w:jc w:val="right"/>
                      <w:rPr>
                        <w:sz w:val="18"/>
                        <w:szCs w:val="18"/>
                      </w:rPr>
                    </w:pPr>
                    <w:r>
                      <w:rPr>
                        <w:sz w:val="18"/>
                        <w:szCs w:val="18"/>
                      </w:rPr>
                      <w:t>100.00</w:t>
                    </w:r>
                  </w:p>
                </w:tc>
                <w:tc>
                  <w:tcPr>
                    <w:tcW w:w="1842" w:type="dxa"/>
                    <w:gridSpan w:val="2"/>
                    <w:tcBorders>
                      <w:bottom w:val="single" w:color="auto" w:sz="4" w:space="0"/>
                    </w:tcBorders>
                    <w:vAlign w:val="center"/>
                  </w:tcPr>
                  <w:p>
                    <w:pPr>
                      <w:widowControl w:val="0"/>
                      <w:jc w:val="right"/>
                      <w:rPr>
                        <w:sz w:val="18"/>
                        <w:szCs w:val="18"/>
                      </w:rPr>
                    </w:pPr>
                    <w:r>
                      <w:rPr>
                        <w:sz w:val="18"/>
                        <w:szCs w:val="18"/>
                      </w:rPr>
                      <w:t>9,082,356,024.80</w:t>
                    </w:r>
                  </w:p>
                </w:tc>
                <w:tc>
                  <w:tcPr>
                    <w:tcW w:w="993" w:type="dxa"/>
                    <w:gridSpan w:val="2"/>
                    <w:tcBorders>
                      <w:bottom w:val="single" w:color="auto" w:sz="4" w:space="0"/>
                    </w:tcBorders>
                    <w:vAlign w:val="center"/>
                  </w:tcPr>
                  <w:p>
                    <w:pPr>
                      <w:widowControl w:val="0"/>
                      <w:jc w:val="right"/>
                      <w:rPr>
                        <w:sz w:val="18"/>
                        <w:szCs w:val="18"/>
                      </w:rPr>
                    </w:pPr>
                    <w:r>
                      <w:rPr>
                        <w:sz w:val="18"/>
                        <w:szCs w:val="18"/>
                      </w:rPr>
                      <w:t>100</w:t>
                    </w:r>
                  </w:p>
                </w:tc>
                <w:tc>
                  <w:tcPr>
                    <w:tcW w:w="1132" w:type="dxa"/>
                    <w:gridSpan w:val="3"/>
                    <w:tcBorders>
                      <w:bottom w:val="single" w:color="auto" w:sz="4" w:space="0"/>
                    </w:tcBorders>
                    <w:vAlign w:val="center"/>
                  </w:tcPr>
                  <w:p>
                    <w:pPr>
                      <w:widowControl w:val="0"/>
                      <w:jc w:val="right"/>
                      <w:rPr>
                        <w:sz w:val="18"/>
                        <w:szCs w:val="18"/>
                      </w:rPr>
                    </w:pPr>
                    <w:r>
                      <w:rPr>
                        <w:sz w:val="18"/>
                        <w:szCs w:val="18"/>
                      </w:rPr>
                      <w:t>86.51</w:t>
                    </w:r>
                  </w:p>
                </w:tc>
                <w:tc>
                  <w:tcPr>
                    <w:tcW w:w="567" w:type="dxa"/>
                    <w:tcBorders>
                      <w:bottom w:val="single" w:color="auto" w:sz="4" w:space="0"/>
                    </w:tcBorders>
                  </w:tcPr>
                  <w:p>
                    <w:pPr>
                      <w:widowControl w:val="0"/>
                      <w:jc w:val="both"/>
                      <w:rPr>
                        <w:szCs w:val="21"/>
                      </w:rPr>
                    </w:pPr>
                  </w:p>
                </w:tc>
              </w:tr>
            </w:sdtContent>
          </w:sdt>
          <w:sdt>
            <w:sdtPr>
              <w:rPr>
                <w:rFonts w:ascii="Calibri" w:hAnsi="Calibri" w:eastAsiaTheme="minorEastAsia" w:cstheme="minorBidi"/>
                <w:kern w:val="2"/>
                <w:sz w:val="18"/>
                <w:szCs w:val="18"/>
              </w:rPr>
              <w:alias w:val="分产品成本分析"/>
              <w:tag w:val="_TUP_a99457d0ffea4639b6d23dc0f965122f"/>
              <w:id w:val="6772713"/>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restart"/>
                    <w:vAlign w:val="center"/>
                  </w:tcPr>
                  <w:p>
                    <w:pPr>
                      <w:widowControl w:val="0"/>
                      <w:jc w:val="center"/>
                      <w:rPr>
                        <w:rFonts w:ascii="Calibri" w:hAnsi="Calibri"/>
                        <w:sz w:val="18"/>
                        <w:szCs w:val="18"/>
                      </w:rPr>
                    </w:pPr>
                    <w:r>
                      <w:rPr>
                        <w:rFonts w:hint="eastAsia" w:ascii="Calibri" w:hAnsi="Calibri"/>
                        <w:sz w:val="18"/>
                        <w:szCs w:val="18"/>
                      </w:rPr>
                      <w:t>钢坯</w:t>
                    </w:r>
                  </w:p>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原材料</w:t>
                    </w:r>
                  </w:p>
                </w:tc>
                <w:tc>
                  <w:tcPr>
                    <w:tcW w:w="1843" w:type="dxa"/>
                    <w:gridSpan w:val="2"/>
                    <w:tcBorders>
                      <w:bottom w:val="single" w:color="auto" w:sz="4" w:space="0"/>
                    </w:tcBorders>
                    <w:vAlign w:val="center"/>
                  </w:tcPr>
                  <w:p>
                    <w:pPr>
                      <w:widowControl w:val="0"/>
                      <w:jc w:val="right"/>
                      <w:rPr>
                        <w:sz w:val="18"/>
                        <w:szCs w:val="18"/>
                      </w:rPr>
                    </w:pPr>
                    <w:r>
                      <w:rPr>
                        <w:sz w:val="18"/>
                        <w:szCs w:val="18"/>
                      </w:rPr>
                      <w:t>8,656,873,923.88</w:t>
                    </w:r>
                  </w:p>
                </w:tc>
                <w:tc>
                  <w:tcPr>
                    <w:tcW w:w="849" w:type="dxa"/>
                    <w:gridSpan w:val="2"/>
                    <w:tcBorders>
                      <w:bottom w:val="single" w:color="auto" w:sz="4" w:space="0"/>
                    </w:tcBorders>
                    <w:vAlign w:val="center"/>
                  </w:tcPr>
                  <w:p>
                    <w:pPr>
                      <w:widowControl w:val="0"/>
                      <w:jc w:val="right"/>
                      <w:rPr>
                        <w:sz w:val="18"/>
                        <w:szCs w:val="18"/>
                      </w:rPr>
                    </w:pPr>
                    <w:r>
                      <w:rPr>
                        <w:sz w:val="18"/>
                        <w:szCs w:val="18"/>
                      </w:rPr>
                      <w:t>64.94</w:t>
                    </w:r>
                  </w:p>
                </w:tc>
                <w:tc>
                  <w:tcPr>
                    <w:tcW w:w="1842" w:type="dxa"/>
                    <w:gridSpan w:val="2"/>
                    <w:tcBorders>
                      <w:bottom w:val="single" w:color="auto" w:sz="4" w:space="0"/>
                    </w:tcBorders>
                    <w:vAlign w:val="center"/>
                  </w:tcPr>
                  <w:p>
                    <w:pPr>
                      <w:widowControl w:val="0"/>
                      <w:jc w:val="right"/>
                      <w:rPr>
                        <w:sz w:val="18"/>
                        <w:szCs w:val="18"/>
                      </w:rPr>
                    </w:pPr>
                    <w:r>
                      <w:rPr>
                        <w:sz w:val="18"/>
                        <w:szCs w:val="18"/>
                      </w:rPr>
                      <w:t>6,205,200,497.83</w:t>
                    </w:r>
                  </w:p>
                </w:tc>
                <w:tc>
                  <w:tcPr>
                    <w:tcW w:w="993" w:type="dxa"/>
                    <w:gridSpan w:val="2"/>
                    <w:tcBorders>
                      <w:bottom w:val="single" w:color="auto" w:sz="4" w:space="0"/>
                    </w:tcBorders>
                    <w:vAlign w:val="center"/>
                  </w:tcPr>
                  <w:p>
                    <w:pPr>
                      <w:widowControl w:val="0"/>
                      <w:jc w:val="right"/>
                      <w:rPr>
                        <w:sz w:val="18"/>
                        <w:szCs w:val="18"/>
                      </w:rPr>
                    </w:pPr>
                    <w:r>
                      <w:rPr>
                        <w:sz w:val="18"/>
                        <w:szCs w:val="18"/>
                      </w:rPr>
                      <w:t>59.34</w:t>
                    </w:r>
                  </w:p>
                </w:tc>
                <w:tc>
                  <w:tcPr>
                    <w:tcW w:w="1132" w:type="dxa"/>
                    <w:gridSpan w:val="3"/>
                    <w:tcBorders>
                      <w:bottom w:val="single" w:color="auto" w:sz="4" w:space="0"/>
                    </w:tcBorders>
                    <w:vAlign w:val="center"/>
                  </w:tcPr>
                  <w:p>
                    <w:pPr>
                      <w:widowControl w:val="0"/>
                      <w:jc w:val="right"/>
                      <w:rPr>
                        <w:sz w:val="18"/>
                        <w:szCs w:val="18"/>
                      </w:rPr>
                    </w:pPr>
                    <w:r>
                      <w:rPr>
                        <w:sz w:val="18"/>
                        <w:szCs w:val="18"/>
                      </w:rPr>
                      <w:t>39.51</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14"/>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辅助材料</w:t>
                    </w:r>
                  </w:p>
                </w:tc>
                <w:tc>
                  <w:tcPr>
                    <w:tcW w:w="1843" w:type="dxa"/>
                    <w:gridSpan w:val="2"/>
                    <w:tcBorders>
                      <w:bottom w:val="single" w:color="auto" w:sz="4" w:space="0"/>
                    </w:tcBorders>
                    <w:vAlign w:val="center"/>
                  </w:tcPr>
                  <w:p>
                    <w:pPr>
                      <w:widowControl w:val="0"/>
                      <w:jc w:val="right"/>
                      <w:rPr>
                        <w:sz w:val="18"/>
                        <w:szCs w:val="18"/>
                      </w:rPr>
                    </w:pPr>
                    <w:r>
                      <w:rPr>
                        <w:sz w:val="18"/>
                        <w:szCs w:val="18"/>
                      </w:rPr>
                      <w:t>486,795,105.57</w:t>
                    </w:r>
                  </w:p>
                </w:tc>
                <w:tc>
                  <w:tcPr>
                    <w:tcW w:w="849" w:type="dxa"/>
                    <w:gridSpan w:val="2"/>
                    <w:tcBorders>
                      <w:bottom w:val="single" w:color="auto" w:sz="4" w:space="0"/>
                    </w:tcBorders>
                    <w:vAlign w:val="center"/>
                  </w:tcPr>
                  <w:p>
                    <w:pPr>
                      <w:widowControl w:val="0"/>
                      <w:jc w:val="right"/>
                      <w:rPr>
                        <w:sz w:val="18"/>
                        <w:szCs w:val="18"/>
                      </w:rPr>
                    </w:pPr>
                    <w:r>
                      <w:rPr>
                        <w:sz w:val="18"/>
                        <w:szCs w:val="18"/>
                      </w:rPr>
                      <w:t>3.65</w:t>
                    </w:r>
                  </w:p>
                </w:tc>
                <w:tc>
                  <w:tcPr>
                    <w:tcW w:w="1842" w:type="dxa"/>
                    <w:gridSpan w:val="2"/>
                    <w:tcBorders>
                      <w:bottom w:val="single" w:color="auto" w:sz="4" w:space="0"/>
                    </w:tcBorders>
                    <w:vAlign w:val="center"/>
                  </w:tcPr>
                  <w:p>
                    <w:pPr>
                      <w:widowControl w:val="0"/>
                      <w:jc w:val="right"/>
                      <w:rPr>
                        <w:sz w:val="18"/>
                        <w:szCs w:val="18"/>
                      </w:rPr>
                    </w:pPr>
                    <w:r>
                      <w:rPr>
                        <w:sz w:val="18"/>
                        <w:szCs w:val="18"/>
                      </w:rPr>
                      <w:t>458,296,571.01</w:t>
                    </w:r>
                  </w:p>
                </w:tc>
                <w:tc>
                  <w:tcPr>
                    <w:tcW w:w="993" w:type="dxa"/>
                    <w:gridSpan w:val="2"/>
                    <w:tcBorders>
                      <w:bottom w:val="single" w:color="auto" w:sz="4" w:space="0"/>
                    </w:tcBorders>
                    <w:vAlign w:val="center"/>
                  </w:tcPr>
                  <w:p>
                    <w:pPr>
                      <w:widowControl w:val="0"/>
                      <w:jc w:val="right"/>
                      <w:rPr>
                        <w:sz w:val="18"/>
                        <w:szCs w:val="18"/>
                      </w:rPr>
                    </w:pPr>
                    <w:r>
                      <w:rPr>
                        <w:sz w:val="18"/>
                        <w:szCs w:val="18"/>
                      </w:rPr>
                      <w:t>4.38</w:t>
                    </w:r>
                  </w:p>
                </w:tc>
                <w:tc>
                  <w:tcPr>
                    <w:tcW w:w="1132" w:type="dxa"/>
                    <w:gridSpan w:val="3"/>
                    <w:tcBorders>
                      <w:bottom w:val="single" w:color="auto" w:sz="4" w:space="0"/>
                    </w:tcBorders>
                    <w:vAlign w:val="center"/>
                  </w:tcPr>
                  <w:p>
                    <w:pPr>
                      <w:widowControl w:val="0"/>
                      <w:jc w:val="right"/>
                      <w:rPr>
                        <w:sz w:val="18"/>
                        <w:szCs w:val="18"/>
                      </w:rPr>
                    </w:pPr>
                    <w:r>
                      <w:rPr>
                        <w:sz w:val="18"/>
                        <w:szCs w:val="18"/>
                      </w:rPr>
                      <w:t>6.22</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15"/>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燃料及动力</w:t>
                    </w:r>
                  </w:p>
                </w:tc>
                <w:tc>
                  <w:tcPr>
                    <w:tcW w:w="1843" w:type="dxa"/>
                    <w:gridSpan w:val="2"/>
                    <w:tcBorders>
                      <w:bottom w:val="single" w:color="auto" w:sz="4" w:space="0"/>
                    </w:tcBorders>
                    <w:vAlign w:val="center"/>
                  </w:tcPr>
                  <w:p>
                    <w:pPr>
                      <w:widowControl w:val="0"/>
                      <w:jc w:val="right"/>
                      <w:rPr>
                        <w:sz w:val="18"/>
                        <w:szCs w:val="18"/>
                      </w:rPr>
                    </w:pPr>
                    <w:r>
                      <w:rPr>
                        <w:sz w:val="18"/>
                        <w:szCs w:val="18"/>
                      </w:rPr>
                      <w:t>3,142,393,777.02</w:t>
                    </w:r>
                  </w:p>
                </w:tc>
                <w:tc>
                  <w:tcPr>
                    <w:tcW w:w="849" w:type="dxa"/>
                    <w:gridSpan w:val="2"/>
                    <w:tcBorders>
                      <w:bottom w:val="single" w:color="auto" w:sz="4" w:space="0"/>
                    </w:tcBorders>
                    <w:vAlign w:val="center"/>
                  </w:tcPr>
                  <w:p>
                    <w:pPr>
                      <w:widowControl w:val="0"/>
                      <w:jc w:val="right"/>
                      <w:rPr>
                        <w:sz w:val="18"/>
                        <w:szCs w:val="18"/>
                      </w:rPr>
                    </w:pPr>
                    <w:r>
                      <w:rPr>
                        <w:sz w:val="18"/>
                        <w:szCs w:val="18"/>
                      </w:rPr>
                      <w:t>23.57</w:t>
                    </w:r>
                  </w:p>
                </w:tc>
                <w:tc>
                  <w:tcPr>
                    <w:tcW w:w="1842" w:type="dxa"/>
                    <w:gridSpan w:val="2"/>
                    <w:tcBorders>
                      <w:bottom w:val="single" w:color="auto" w:sz="4" w:space="0"/>
                    </w:tcBorders>
                    <w:vAlign w:val="center"/>
                  </w:tcPr>
                  <w:p>
                    <w:pPr>
                      <w:widowControl w:val="0"/>
                      <w:jc w:val="right"/>
                      <w:rPr>
                        <w:sz w:val="18"/>
                        <w:szCs w:val="18"/>
                      </w:rPr>
                    </w:pPr>
                    <w:r>
                      <w:rPr>
                        <w:sz w:val="18"/>
                        <w:szCs w:val="18"/>
                      </w:rPr>
                      <w:t>2,657,414,781.85</w:t>
                    </w:r>
                  </w:p>
                </w:tc>
                <w:tc>
                  <w:tcPr>
                    <w:tcW w:w="993" w:type="dxa"/>
                    <w:gridSpan w:val="2"/>
                    <w:tcBorders>
                      <w:bottom w:val="single" w:color="auto" w:sz="4" w:space="0"/>
                    </w:tcBorders>
                    <w:vAlign w:val="center"/>
                  </w:tcPr>
                  <w:p>
                    <w:pPr>
                      <w:widowControl w:val="0"/>
                      <w:jc w:val="right"/>
                      <w:rPr>
                        <w:sz w:val="18"/>
                        <w:szCs w:val="18"/>
                      </w:rPr>
                    </w:pPr>
                    <w:r>
                      <w:rPr>
                        <w:sz w:val="18"/>
                        <w:szCs w:val="18"/>
                      </w:rPr>
                      <w:t>25.41</w:t>
                    </w:r>
                  </w:p>
                </w:tc>
                <w:tc>
                  <w:tcPr>
                    <w:tcW w:w="1132" w:type="dxa"/>
                    <w:gridSpan w:val="3"/>
                    <w:tcBorders>
                      <w:bottom w:val="single" w:color="auto" w:sz="4" w:space="0"/>
                    </w:tcBorders>
                    <w:vAlign w:val="center"/>
                  </w:tcPr>
                  <w:p>
                    <w:pPr>
                      <w:widowControl w:val="0"/>
                      <w:jc w:val="right"/>
                      <w:rPr>
                        <w:sz w:val="18"/>
                        <w:szCs w:val="18"/>
                      </w:rPr>
                    </w:pPr>
                    <w:r>
                      <w:rPr>
                        <w:sz w:val="18"/>
                        <w:szCs w:val="18"/>
                      </w:rPr>
                      <w:t>18.25</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16"/>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工资</w:t>
                    </w:r>
                  </w:p>
                </w:tc>
                <w:tc>
                  <w:tcPr>
                    <w:tcW w:w="1843" w:type="dxa"/>
                    <w:gridSpan w:val="2"/>
                    <w:tcBorders>
                      <w:bottom w:val="single" w:color="auto" w:sz="4" w:space="0"/>
                    </w:tcBorders>
                    <w:vAlign w:val="center"/>
                  </w:tcPr>
                  <w:p>
                    <w:pPr>
                      <w:widowControl w:val="0"/>
                      <w:jc w:val="right"/>
                      <w:rPr>
                        <w:sz w:val="18"/>
                        <w:szCs w:val="18"/>
                      </w:rPr>
                    </w:pPr>
                    <w:r>
                      <w:rPr>
                        <w:sz w:val="18"/>
                        <w:szCs w:val="18"/>
                      </w:rPr>
                      <w:t>284,567,219.60</w:t>
                    </w:r>
                  </w:p>
                </w:tc>
                <w:tc>
                  <w:tcPr>
                    <w:tcW w:w="849" w:type="dxa"/>
                    <w:gridSpan w:val="2"/>
                    <w:tcBorders>
                      <w:bottom w:val="single" w:color="auto" w:sz="4" w:space="0"/>
                    </w:tcBorders>
                    <w:vAlign w:val="center"/>
                  </w:tcPr>
                  <w:p>
                    <w:pPr>
                      <w:widowControl w:val="0"/>
                      <w:jc w:val="right"/>
                      <w:rPr>
                        <w:sz w:val="18"/>
                        <w:szCs w:val="18"/>
                      </w:rPr>
                    </w:pPr>
                    <w:r>
                      <w:rPr>
                        <w:sz w:val="18"/>
                        <w:szCs w:val="18"/>
                      </w:rPr>
                      <w:t>2.13</w:t>
                    </w:r>
                  </w:p>
                </w:tc>
                <w:tc>
                  <w:tcPr>
                    <w:tcW w:w="1842" w:type="dxa"/>
                    <w:gridSpan w:val="2"/>
                    <w:tcBorders>
                      <w:bottom w:val="single" w:color="auto" w:sz="4" w:space="0"/>
                    </w:tcBorders>
                    <w:vAlign w:val="center"/>
                  </w:tcPr>
                  <w:p>
                    <w:pPr>
                      <w:widowControl w:val="0"/>
                      <w:jc w:val="right"/>
                      <w:rPr>
                        <w:sz w:val="18"/>
                        <w:szCs w:val="18"/>
                      </w:rPr>
                    </w:pPr>
                    <w:r>
                      <w:rPr>
                        <w:sz w:val="18"/>
                        <w:szCs w:val="18"/>
                      </w:rPr>
                      <w:t>280,844,496.98</w:t>
                    </w:r>
                  </w:p>
                </w:tc>
                <w:tc>
                  <w:tcPr>
                    <w:tcW w:w="993" w:type="dxa"/>
                    <w:gridSpan w:val="2"/>
                    <w:tcBorders>
                      <w:bottom w:val="single" w:color="auto" w:sz="4" w:space="0"/>
                    </w:tcBorders>
                    <w:vAlign w:val="center"/>
                  </w:tcPr>
                  <w:p>
                    <w:pPr>
                      <w:widowControl w:val="0"/>
                      <w:jc w:val="right"/>
                      <w:rPr>
                        <w:sz w:val="18"/>
                        <w:szCs w:val="18"/>
                      </w:rPr>
                    </w:pPr>
                    <w:r>
                      <w:rPr>
                        <w:sz w:val="18"/>
                        <w:szCs w:val="18"/>
                      </w:rPr>
                      <w:t>2.69</w:t>
                    </w:r>
                  </w:p>
                </w:tc>
                <w:tc>
                  <w:tcPr>
                    <w:tcW w:w="1132" w:type="dxa"/>
                    <w:gridSpan w:val="3"/>
                    <w:tcBorders>
                      <w:bottom w:val="single" w:color="auto" w:sz="4" w:space="0"/>
                    </w:tcBorders>
                    <w:vAlign w:val="center"/>
                  </w:tcPr>
                  <w:p>
                    <w:pPr>
                      <w:widowControl w:val="0"/>
                      <w:jc w:val="right"/>
                      <w:rPr>
                        <w:sz w:val="18"/>
                        <w:szCs w:val="18"/>
                      </w:rPr>
                    </w:pPr>
                    <w:r>
                      <w:rPr>
                        <w:sz w:val="18"/>
                        <w:szCs w:val="18"/>
                      </w:rPr>
                      <w:t>1.33</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17"/>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折旧</w:t>
                    </w:r>
                  </w:p>
                </w:tc>
                <w:tc>
                  <w:tcPr>
                    <w:tcW w:w="1843" w:type="dxa"/>
                    <w:gridSpan w:val="2"/>
                    <w:tcBorders>
                      <w:bottom w:val="single" w:color="auto" w:sz="4" w:space="0"/>
                    </w:tcBorders>
                    <w:vAlign w:val="center"/>
                  </w:tcPr>
                  <w:p>
                    <w:pPr>
                      <w:widowControl w:val="0"/>
                      <w:jc w:val="right"/>
                      <w:rPr>
                        <w:sz w:val="18"/>
                        <w:szCs w:val="18"/>
                      </w:rPr>
                    </w:pPr>
                    <w:r>
                      <w:rPr>
                        <w:sz w:val="18"/>
                        <w:szCs w:val="18"/>
                      </w:rPr>
                      <w:t>289,428,964.17</w:t>
                    </w:r>
                  </w:p>
                </w:tc>
                <w:tc>
                  <w:tcPr>
                    <w:tcW w:w="849" w:type="dxa"/>
                    <w:gridSpan w:val="2"/>
                    <w:tcBorders>
                      <w:bottom w:val="single" w:color="auto" w:sz="4" w:space="0"/>
                    </w:tcBorders>
                    <w:vAlign w:val="center"/>
                  </w:tcPr>
                  <w:p>
                    <w:pPr>
                      <w:widowControl w:val="0"/>
                      <w:jc w:val="right"/>
                      <w:rPr>
                        <w:sz w:val="18"/>
                        <w:szCs w:val="18"/>
                      </w:rPr>
                    </w:pPr>
                    <w:r>
                      <w:rPr>
                        <w:sz w:val="18"/>
                        <w:szCs w:val="18"/>
                      </w:rPr>
                      <w:t>2.17</w:t>
                    </w:r>
                  </w:p>
                </w:tc>
                <w:tc>
                  <w:tcPr>
                    <w:tcW w:w="1842" w:type="dxa"/>
                    <w:gridSpan w:val="2"/>
                    <w:tcBorders>
                      <w:bottom w:val="single" w:color="auto" w:sz="4" w:space="0"/>
                    </w:tcBorders>
                    <w:vAlign w:val="center"/>
                  </w:tcPr>
                  <w:p>
                    <w:pPr>
                      <w:widowControl w:val="0"/>
                      <w:jc w:val="right"/>
                      <w:rPr>
                        <w:sz w:val="18"/>
                        <w:szCs w:val="18"/>
                      </w:rPr>
                    </w:pPr>
                    <w:r>
                      <w:rPr>
                        <w:sz w:val="18"/>
                        <w:szCs w:val="18"/>
                      </w:rPr>
                      <w:t>341,637,226.44</w:t>
                    </w:r>
                  </w:p>
                </w:tc>
                <w:tc>
                  <w:tcPr>
                    <w:tcW w:w="993" w:type="dxa"/>
                    <w:gridSpan w:val="2"/>
                    <w:tcBorders>
                      <w:bottom w:val="single" w:color="auto" w:sz="4" w:space="0"/>
                    </w:tcBorders>
                    <w:vAlign w:val="center"/>
                  </w:tcPr>
                  <w:p>
                    <w:pPr>
                      <w:widowControl w:val="0"/>
                      <w:jc w:val="right"/>
                      <w:rPr>
                        <w:sz w:val="18"/>
                        <w:szCs w:val="18"/>
                      </w:rPr>
                    </w:pPr>
                    <w:r>
                      <w:rPr>
                        <w:sz w:val="18"/>
                        <w:szCs w:val="18"/>
                      </w:rPr>
                      <w:t>3.27</w:t>
                    </w:r>
                  </w:p>
                </w:tc>
                <w:tc>
                  <w:tcPr>
                    <w:tcW w:w="1132" w:type="dxa"/>
                    <w:gridSpan w:val="3"/>
                    <w:tcBorders>
                      <w:bottom w:val="single" w:color="auto" w:sz="4" w:space="0"/>
                    </w:tcBorders>
                    <w:vAlign w:val="center"/>
                  </w:tcPr>
                  <w:p>
                    <w:pPr>
                      <w:widowControl w:val="0"/>
                      <w:jc w:val="right"/>
                      <w:rPr>
                        <w:sz w:val="18"/>
                        <w:szCs w:val="18"/>
                      </w:rPr>
                    </w:pPr>
                    <w:r>
                      <w:rPr>
                        <w:sz w:val="18"/>
                        <w:szCs w:val="18"/>
                      </w:rPr>
                      <w:t>-15.28</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18"/>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其他</w:t>
                    </w:r>
                  </w:p>
                </w:tc>
                <w:tc>
                  <w:tcPr>
                    <w:tcW w:w="1843" w:type="dxa"/>
                    <w:gridSpan w:val="2"/>
                    <w:tcBorders>
                      <w:bottom w:val="single" w:color="auto" w:sz="4" w:space="0"/>
                    </w:tcBorders>
                    <w:vAlign w:val="center"/>
                  </w:tcPr>
                  <w:p>
                    <w:pPr>
                      <w:widowControl w:val="0"/>
                      <w:jc w:val="right"/>
                      <w:rPr>
                        <w:sz w:val="18"/>
                        <w:szCs w:val="18"/>
                      </w:rPr>
                    </w:pPr>
                    <w:r>
                      <w:rPr>
                        <w:sz w:val="18"/>
                        <w:szCs w:val="18"/>
                      </w:rPr>
                      <w:t>471,485,782.24</w:t>
                    </w:r>
                  </w:p>
                </w:tc>
                <w:tc>
                  <w:tcPr>
                    <w:tcW w:w="849" w:type="dxa"/>
                    <w:gridSpan w:val="2"/>
                    <w:tcBorders>
                      <w:bottom w:val="single" w:color="auto" w:sz="4" w:space="0"/>
                    </w:tcBorders>
                    <w:vAlign w:val="center"/>
                  </w:tcPr>
                  <w:p>
                    <w:pPr>
                      <w:widowControl w:val="0"/>
                      <w:jc w:val="right"/>
                      <w:rPr>
                        <w:sz w:val="18"/>
                        <w:szCs w:val="18"/>
                      </w:rPr>
                    </w:pPr>
                    <w:r>
                      <w:rPr>
                        <w:sz w:val="18"/>
                        <w:szCs w:val="18"/>
                      </w:rPr>
                      <w:t>3.54</w:t>
                    </w:r>
                  </w:p>
                </w:tc>
                <w:tc>
                  <w:tcPr>
                    <w:tcW w:w="1842" w:type="dxa"/>
                    <w:gridSpan w:val="2"/>
                    <w:tcBorders>
                      <w:bottom w:val="single" w:color="auto" w:sz="4" w:space="0"/>
                    </w:tcBorders>
                    <w:vAlign w:val="center"/>
                  </w:tcPr>
                  <w:p>
                    <w:pPr>
                      <w:widowControl w:val="0"/>
                      <w:jc w:val="right"/>
                      <w:rPr>
                        <w:sz w:val="18"/>
                        <w:szCs w:val="18"/>
                      </w:rPr>
                    </w:pPr>
                    <w:r>
                      <w:rPr>
                        <w:sz w:val="18"/>
                        <w:szCs w:val="18"/>
                      </w:rPr>
                      <w:t>513,491,443.25</w:t>
                    </w:r>
                  </w:p>
                </w:tc>
                <w:tc>
                  <w:tcPr>
                    <w:tcW w:w="993" w:type="dxa"/>
                    <w:gridSpan w:val="2"/>
                    <w:tcBorders>
                      <w:bottom w:val="single" w:color="auto" w:sz="4" w:space="0"/>
                    </w:tcBorders>
                    <w:vAlign w:val="center"/>
                  </w:tcPr>
                  <w:p>
                    <w:pPr>
                      <w:widowControl w:val="0"/>
                      <w:jc w:val="right"/>
                      <w:rPr>
                        <w:sz w:val="18"/>
                        <w:szCs w:val="18"/>
                      </w:rPr>
                    </w:pPr>
                    <w:r>
                      <w:rPr>
                        <w:sz w:val="18"/>
                        <w:szCs w:val="18"/>
                      </w:rPr>
                      <w:t>4.91</w:t>
                    </w:r>
                  </w:p>
                </w:tc>
                <w:tc>
                  <w:tcPr>
                    <w:tcW w:w="1132" w:type="dxa"/>
                    <w:gridSpan w:val="3"/>
                    <w:tcBorders>
                      <w:bottom w:val="single" w:color="auto" w:sz="4" w:space="0"/>
                    </w:tcBorders>
                    <w:vAlign w:val="center"/>
                  </w:tcPr>
                  <w:p>
                    <w:pPr>
                      <w:widowControl w:val="0"/>
                      <w:jc w:val="right"/>
                      <w:rPr>
                        <w:sz w:val="18"/>
                        <w:szCs w:val="18"/>
                      </w:rPr>
                    </w:pPr>
                    <w:r>
                      <w:rPr>
                        <w:sz w:val="18"/>
                        <w:szCs w:val="18"/>
                      </w:rPr>
                      <w:t>-8.18</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19"/>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tcBorders>
                      <w:bottom w:val="single" w:color="auto" w:sz="4" w:space="0"/>
                    </w:tcBorders>
                    <w:vAlign w:val="center"/>
                  </w:tcPr>
                  <w:p>
                    <w:pPr>
                      <w:widowControl w:val="0"/>
                      <w:jc w:val="center"/>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小计</w:t>
                    </w:r>
                  </w:p>
                </w:tc>
                <w:tc>
                  <w:tcPr>
                    <w:tcW w:w="1843" w:type="dxa"/>
                    <w:gridSpan w:val="2"/>
                    <w:tcBorders>
                      <w:bottom w:val="single" w:color="auto" w:sz="4" w:space="0"/>
                    </w:tcBorders>
                    <w:vAlign w:val="center"/>
                  </w:tcPr>
                  <w:p>
                    <w:pPr>
                      <w:widowControl w:val="0"/>
                      <w:jc w:val="right"/>
                      <w:rPr>
                        <w:sz w:val="18"/>
                        <w:szCs w:val="18"/>
                      </w:rPr>
                    </w:pPr>
                    <w:r>
                      <w:rPr>
                        <w:sz w:val="18"/>
                        <w:szCs w:val="18"/>
                      </w:rPr>
                      <w:t>13,331,544,772.48</w:t>
                    </w:r>
                  </w:p>
                </w:tc>
                <w:tc>
                  <w:tcPr>
                    <w:tcW w:w="849" w:type="dxa"/>
                    <w:gridSpan w:val="2"/>
                    <w:tcBorders>
                      <w:bottom w:val="single" w:color="auto" w:sz="4" w:space="0"/>
                    </w:tcBorders>
                    <w:vAlign w:val="center"/>
                  </w:tcPr>
                  <w:p>
                    <w:pPr>
                      <w:widowControl w:val="0"/>
                      <w:jc w:val="right"/>
                      <w:rPr>
                        <w:sz w:val="18"/>
                        <w:szCs w:val="18"/>
                      </w:rPr>
                    </w:pPr>
                    <w:r>
                      <w:rPr>
                        <w:sz w:val="18"/>
                        <w:szCs w:val="18"/>
                      </w:rPr>
                      <w:t>100.00</w:t>
                    </w:r>
                  </w:p>
                </w:tc>
                <w:tc>
                  <w:tcPr>
                    <w:tcW w:w="1842" w:type="dxa"/>
                    <w:gridSpan w:val="2"/>
                    <w:tcBorders>
                      <w:bottom w:val="single" w:color="auto" w:sz="4" w:space="0"/>
                    </w:tcBorders>
                    <w:vAlign w:val="center"/>
                  </w:tcPr>
                  <w:p>
                    <w:pPr>
                      <w:widowControl w:val="0"/>
                      <w:jc w:val="right"/>
                      <w:rPr>
                        <w:sz w:val="18"/>
                        <w:szCs w:val="18"/>
                      </w:rPr>
                    </w:pPr>
                    <w:r>
                      <w:rPr>
                        <w:sz w:val="18"/>
                        <w:szCs w:val="18"/>
                      </w:rPr>
                      <w:t>10,456,885,017.36</w:t>
                    </w:r>
                  </w:p>
                </w:tc>
                <w:tc>
                  <w:tcPr>
                    <w:tcW w:w="993" w:type="dxa"/>
                    <w:gridSpan w:val="2"/>
                    <w:tcBorders>
                      <w:bottom w:val="single" w:color="auto" w:sz="4" w:space="0"/>
                    </w:tcBorders>
                    <w:vAlign w:val="center"/>
                  </w:tcPr>
                  <w:p>
                    <w:pPr>
                      <w:widowControl w:val="0"/>
                      <w:jc w:val="right"/>
                      <w:rPr>
                        <w:sz w:val="18"/>
                        <w:szCs w:val="18"/>
                      </w:rPr>
                    </w:pPr>
                    <w:r>
                      <w:rPr>
                        <w:sz w:val="18"/>
                        <w:szCs w:val="18"/>
                      </w:rPr>
                      <w:t>100</w:t>
                    </w:r>
                  </w:p>
                </w:tc>
                <w:tc>
                  <w:tcPr>
                    <w:tcW w:w="1132" w:type="dxa"/>
                    <w:gridSpan w:val="3"/>
                    <w:tcBorders>
                      <w:bottom w:val="single" w:color="auto" w:sz="4" w:space="0"/>
                    </w:tcBorders>
                    <w:vAlign w:val="center"/>
                  </w:tcPr>
                  <w:p>
                    <w:pPr>
                      <w:widowControl w:val="0"/>
                      <w:jc w:val="right"/>
                      <w:rPr>
                        <w:sz w:val="18"/>
                        <w:szCs w:val="18"/>
                      </w:rPr>
                    </w:pPr>
                    <w:r>
                      <w:rPr>
                        <w:sz w:val="18"/>
                        <w:szCs w:val="18"/>
                      </w:rPr>
                      <w:t>27.49</w:t>
                    </w:r>
                  </w:p>
                </w:tc>
                <w:tc>
                  <w:tcPr>
                    <w:tcW w:w="567" w:type="dxa"/>
                    <w:tcBorders>
                      <w:bottom w:val="single" w:color="auto" w:sz="4" w:space="0"/>
                    </w:tcBorders>
                  </w:tcPr>
                  <w:p>
                    <w:pPr>
                      <w:widowControl w:val="0"/>
                      <w:jc w:val="both"/>
                      <w:rPr>
                        <w:szCs w:val="21"/>
                      </w:rPr>
                    </w:pPr>
                  </w:p>
                </w:tc>
              </w:tr>
            </w:sdtContent>
          </w:sdt>
          <w:sdt>
            <w:sdtPr>
              <w:rPr>
                <w:rFonts w:ascii="Calibri" w:hAnsi="Calibri" w:eastAsiaTheme="minorEastAsia" w:cstheme="minorBidi"/>
                <w:kern w:val="2"/>
                <w:sz w:val="18"/>
                <w:szCs w:val="18"/>
              </w:rPr>
              <w:alias w:val="分产品成本分析"/>
              <w:tag w:val="_TUP_a99457d0ffea4639b6d23dc0f965122f"/>
              <w:id w:val="6772720"/>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restart"/>
                    <w:vAlign w:val="center"/>
                  </w:tcPr>
                  <w:p>
                    <w:pPr>
                      <w:widowControl w:val="0"/>
                      <w:jc w:val="center"/>
                      <w:rPr>
                        <w:rFonts w:ascii="Calibri" w:hAnsi="Calibri"/>
                        <w:sz w:val="18"/>
                        <w:szCs w:val="18"/>
                      </w:rPr>
                    </w:pPr>
                    <w:r>
                      <w:rPr>
                        <w:rFonts w:hint="eastAsia" w:ascii="Calibri" w:hAnsi="Calibri" w:eastAsiaTheme="minorEastAsia" w:cstheme="minorBidi"/>
                        <w:kern w:val="2"/>
                        <w:sz w:val="18"/>
                        <w:szCs w:val="18"/>
                      </w:rPr>
                      <w:t>焦化副产品</w:t>
                    </w:r>
                  </w:p>
                </w:tc>
                <w:tc>
                  <w:tcPr>
                    <w:tcW w:w="1276" w:type="dxa"/>
                    <w:gridSpan w:val="2"/>
                    <w:tcBorders>
                      <w:bottom w:val="single" w:color="auto" w:sz="4" w:space="0"/>
                    </w:tcBorders>
                    <w:vAlign w:val="center"/>
                  </w:tcPr>
                  <w:p>
                    <w:pPr>
                      <w:widowControl w:val="0"/>
                      <w:jc w:val="both"/>
                      <w:rPr>
                        <w:sz w:val="18"/>
                        <w:szCs w:val="18"/>
                      </w:rPr>
                    </w:pPr>
                    <w:r>
                      <w:rPr>
                        <w:sz w:val="18"/>
                        <w:szCs w:val="18"/>
                      </w:rPr>
                      <w:t>原材料</w:t>
                    </w:r>
                  </w:p>
                </w:tc>
                <w:tc>
                  <w:tcPr>
                    <w:tcW w:w="1843" w:type="dxa"/>
                    <w:gridSpan w:val="2"/>
                    <w:tcBorders>
                      <w:bottom w:val="single" w:color="auto" w:sz="4" w:space="0"/>
                    </w:tcBorders>
                    <w:vAlign w:val="center"/>
                  </w:tcPr>
                  <w:p>
                    <w:pPr>
                      <w:widowControl w:val="0"/>
                      <w:jc w:val="right"/>
                      <w:rPr>
                        <w:sz w:val="18"/>
                        <w:szCs w:val="18"/>
                      </w:rPr>
                    </w:pPr>
                    <w:r>
                      <w:rPr>
                        <w:sz w:val="18"/>
                        <w:szCs w:val="18"/>
                      </w:rPr>
                      <w:t>2,738,748,499.22</w:t>
                    </w:r>
                  </w:p>
                </w:tc>
                <w:tc>
                  <w:tcPr>
                    <w:tcW w:w="849" w:type="dxa"/>
                    <w:gridSpan w:val="2"/>
                    <w:tcBorders>
                      <w:bottom w:val="single" w:color="auto" w:sz="4" w:space="0"/>
                    </w:tcBorders>
                    <w:vAlign w:val="center"/>
                  </w:tcPr>
                  <w:p>
                    <w:pPr>
                      <w:widowControl w:val="0"/>
                      <w:jc w:val="right"/>
                      <w:rPr>
                        <w:sz w:val="18"/>
                        <w:szCs w:val="18"/>
                      </w:rPr>
                    </w:pPr>
                    <w:r>
                      <w:rPr>
                        <w:sz w:val="18"/>
                        <w:szCs w:val="18"/>
                      </w:rPr>
                      <w:t>93.64</w:t>
                    </w:r>
                  </w:p>
                </w:tc>
                <w:tc>
                  <w:tcPr>
                    <w:tcW w:w="1842" w:type="dxa"/>
                    <w:gridSpan w:val="2"/>
                    <w:tcBorders>
                      <w:bottom w:val="single" w:color="auto" w:sz="4" w:space="0"/>
                    </w:tcBorders>
                    <w:vAlign w:val="center"/>
                  </w:tcPr>
                  <w:p>
                    <w:pPr>
                      <w:widowControl w:val="0"/>
                      <w:jc w:val="right"/>
                      <w:rPr>
                        <w:sz w:val="18"/>
                        <w:szCs w:val="18"/>
                      </w:rPr>
                    </w:pPr>
                    <w:r>
                      <w:rPr>
                        <w:sz w:val="18"/>
                        <w:szCs w:val="18"/>
                      </w:rPr>
                      <w:t>1,439,928,803.53</w:t>
                    </w:r>
                  </w:p>
                </w:tc>
                <w:tc>
                  <w:tcPr>
                    <w:tcW w:w="993" w:type="dxa"/>
                    <w:gridSpan w:val="2"/>
                    <w:tcBorders>
                      <w:bottom w:val="single" w:color="auto" w:sz="4" w:space="0"/>
                    </w:tcBorders>
                    <w:vAlign w:val="center"/>
                  </w:tcPr>
                  <w:p>
                    <w:pPr>
                      <w:widowControl w:val="0"/>
                      <w:jc w:val="right"/>
                      <w:rPr>
                        <w:sz w:val="18"/>
                        <w:szCs w:val="18"/>
                      </w:rPr>
                    </w:pPr>
                    <w:r>
                      <w:rPr>
                        <w:sz w:val="18"/>
                        <w:szCs w:val="18"/>
                      </w:rPr>
                      <w:t>88.97</w:t>
                    </w:r>
                  </w:p>
                </w:tc>
                <w:tc>
                  <w:tcPr>
                    <w:tcW w:w="1132" w:type="dxa"/>
                    <w:gridSpan w:val="3"/>
                    <w:tcBorders>
                      <w:bottom w:val="single" w:color="auto" w:sz="4" w:space="0"/>
                    </w:tcBorders>
                    <w:vAlign w:val="center"/>
                  </w:tcPr>
                  <w:p>
                    <w:pPr>
                      <w:widowControl w:val="0"/>
                      <w:jc w:val="right"/>
                      <w:rPr>
                        <w:sz w:val="18"/>
                        <w:szCs w:val="18"/>
                      </w:rPr>
                    </w:pPr>
                    <w:r>
                      <w:rPr>
                        <w:sz w:val="18"/>
                        <w:szCs w:val="18"/>
                      </w:rPr>
                      <w:t>90.20</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21"/>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tcPr>
                  <w:p>
                    <w:pPr>
                      <w:widowControl w:val="0"/>
                      <w:jc w:val="both"/>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辅助材料</w:t>
                    </w:r>
                  </w:p>
                </w:tc>
                <w:tc>
                  <w:tcPr>
                    <w:tcW w:w="1843" w:type="dxa"/>
                    <w:gridSpan w:val="2"/>
                    <w:tcBorders>
                      <w:bottom w:val="single" w:color="auto" w:sz="4" w:space="0"/>
                    </w:tcBorders>
                    <w:vAlign w:val="center"/>
                  </w:tcPr>
                  <w:p>
                    <w:pPr>
                      <w:widowControl w:val="0"/>
                      <w:jc w:val="right"/>
                      <w:rPr>
                        <w:sz w:val="18"/>
                        <w:szCs w:val="18"/>
                      </w:rPr>
                    </w:pPr>
                    <w:r>
                      <w:rPr>
                        <w:sz w:val="18"/>
                        <w:szCs w:val="18"/>
                      </w:rPr>
                      <w:t>30,668,807.76</w:t>
                    </w:r>
                  </w:p>
                </w:tc>
                <w:tc>
                  <w:tcPr>
                    <w:tcW w:w="849" w:type="dxa"/>
                    <w:gridSpan w:val="2"/>
                    <w:tcBorders>
                      <w:bottom w:val="single" w:color="auto" w:sz="4" w:space="0"/>
                    </w:tcBorders>
                    <w:vAlign w:val="center"/>
                  </w:tcPr>
                  <w:p>
                    <w:pPr>
                      <w:widowControl w:val="0"/>
                      <w:jc w:val="right"/>
                      <w:rPr>
                        <w:sz w:val="18"/>
                        <w:szCs w:val="18"/>
                      </w:rPr>
                    </w:pPr>
                    <w:r>
                      <w:rPr>
                        <w:sz w:val="18"/>
                        <w:szCs w:val="18"/>
                      </w:rPr>
                      <w:t>1.05</w:t>
                    </w:r>
                  </w:p>
                </w:tc>
                <w:tc>
                  <w:tcPr>
                    <w:tcW w:w="1842" w:type="dxa"/>
                    <w:gridSpan w:val="2"/>
                    <w:tcBorders>
                      <w:bottom w:val="single" w:color="auto" w:sz="4" w:space="0"/>
                    </w:tcBorders>
                    <w:vAlign w:val="center"/>
                  </w:tcPr>
                  <w:p>
                    <w:pPr>
                      <w:widowControl w:val="0"/>
                      <w:jc w:val="right"/>
                      <w:rPr>
                        <w:sz w:val="18"/>
                        <w:szCs w:val="18"/>
                      </w:rPr>
                    </w:pPr>
                    <w:r>
                      <w:rPr>
                        <w:sz w:val="18"/>
                        <w:szCs w:val="18"/>
                      </w:rPr>
                      <w:t>30,700,300.37</w:t>
                    </w:r>
                  </w:p>
                </w:tc>
                <w:tc>
                  <w:tcPr>
                    <w:tcW w:w="993" w:type="dxa"/>
                    <w:gridSpan w:val="2"/>
                    <w:tcBorders>
                      <w:bottom w:val="single" w:color="auto" w:sz="4" w:space="0"/>
                    </w:tcBorders>
                    <w:vAlign w:val="center"/>
                  </w:tcPr>
                  <w:p>
                    <w:pPr>
                      <w:widowControl w:val="0"/>
                      <w:jc w:val="right"/>
                      <w:rPr>
                        <w:sz w:val="18"/>
                        <w:szCs w:val="18"/>
                      </w:rPr>
                    </w:pPr>
                    <w:r>
                      <w:rPr>
                        <w:sz w:val="18"/>
                        <w:szCs w:val="18"/>
                      </w:rPr>
                      <w:t>1.9</w:t>
                    </w:r>
                  </w:p>
                </w:tc>
                <w:tc>
                  <w:tcPr>
                    <w:tcW w:w="1132" w:type="dxa"/>
                    <w:gridSpan w:val="3"/>
                    <w:tcBorders>
                      <w:bottom w:val="single" w:color="auto" w:sz="4" w:space="0"/>
                    </w:tcBorders>
                    <w:vAlign w:val="center"/>
                  </w:tcPr>
                  <w:p>
                    <w:pPr>
                      <w:widowControl w:val="0"/>
                      <w:jc w:val="right"/>
                      <w:rPr>
                        <w:sz w:val="18"/>
                        <w:szCs w:val="18"/>
                      </w:rPr>
                    </w:pPr>
                    <w:r>
                      <w:rPr>
                        <w:sz w:val="18"/>
                        <w:szCs w:val="18"/>
                      </w:rPr>
                      <w:t>-0.10</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22"/>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tcPr>
                  <w:p>
                    <w:pPr>
                      <w:widowControl w:val="0"/>
                      <w:jc w:val="both"/>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燃料及动力</w:t>
                    </w:r>
                  </w:p>
                </w:tc>
                <w:tc>
                  <w:tcPr>
                    <w:tcW w:w="1843" w:type="dxa"/>
                    <w:gridSpan w:val="2"/>
                    <w:tcBorders>
                      <w:bottom w:val="single" w:color="auto" w:sz="4" w:space="0"/>
                    </w:tcBorders>
                    <w:vAlign w:val="center"/>
                  </w:tcPr>
                  <w:p>
                    <w:pPr>
                      <w:widowControl w:val="0"/>
                      <w:jc w:val="right"/>
                      <w:rPr>
                        <w:sz w:val="18"/>
                        <w:szCs w:val="18"/>
                      </w:rPr>
                    </w:pPr>
                    <w:r>
                      <w:rPr>
                        <w:sz w:val="18"/>
                        <w:szCs w:val="18"/>
                      </w:rPr>
                      <w:t>107,369,726.83</w:t>
                    </w:r>
                  </w:p>
                </w:tc>
                <w:tc>
                  <w:tcPr>
                    <w:tcW w:w="849" w:type="dxa"/>
                    <w:gridSpan w:val="2"/>
                    <w:tcBorders>
                      <w:bottom w:val="single" w:color="auto" w:sz="4" w:space="0"/>
                    </w:tcBorders>
                    <w:vAlign w:val="center"/>
                  </w:tcPr>
                  <w:p>
                    <w:pPr>
                      <w:widowControl w:val="0"/>
                      <w:jc w:val="right"/>
                      <w:rPr>
                        <w:sz w:val="18"/>
                        <w:szCs w:val="18"/>
                      </w:rPr>
                    </w:pPr>
                    <w:r>
                      <w:rPr>
                        <w:sz w:val="18"/>
                        <w:szCs w:val="18"/>
                      </w:rPr>
                      <w:t>3.67</w:t>
                    </w:r>
                  </w:p>
                </w:tc>
                <w:tc>
                  <w:tcPr>
                    <w:tcW w:w="1842" w:type="dxa"/>
                    <w:gridSpan w:val="2"/>
                    <w:tcBorders>
                      <w:bottom w:val="single" w:color="auto" w:sz="4" w:space="0"/>
                    </w:tcBorders>
                    <w:vAlign w:val="center"/>
                  </w:tcPr>
                  <w:p>
                    <w:pPr>
                      <w:widowControl w:val="0"/>
                      <w:jc w:val="right"/>
                      <w:rPr>
                        <w:sz w:val="18"/>
                        <w:szCs w:val="18"/>
                      </w:rPr>
                    </w:pPr>
                    <w:r>
                      <w:rPr>
                        <w:sz w:val="18"/>
                        <w:szCs w:val="18"/>
                      </w:rPr>
                      <w:t>100,070,007.11</w:t>
                    </w:r>
                  </w:p>
                </w:tc>
                <w:tc>
                  <w:tcPr>
                    <w:tcW w:w="993" w:type="dxa"/>
                    <w:gridSpan w:val="2"/>
                    <w:tcBorders>
                      <w:bottom w:val="single" w:color="auto" w:sz="4" w:space="0"/>
                    </w:tcBorders>
                    <w:vAlign w:val="center"/>
                  </w:tcPr>
                  <w:p>
                    <w:pPr>
                      <w:widowControl w:val="0"/>
                      <w:jc w:val="right"/>
                      <w:rPr>
                        <w:sz w:val="18"/>
                        <w:szCs w:val="18"/>
                      </w:rPr>
                    </w:pPr>
                    <w:r>
                      <w:rPr>
                        <w:sz w:val="18"/>
                        <w:szCs w:val="18"/>
                      </w:rPr>
                      <w:t>6.18</w:t>
                    </w:r>
                  </w:p>
                </w:tc>
                <w:tc>
                  <w:tcPr>
                    <w:tcW w:w="1132" w:type="dxa"/>
                    <w:gridSpan w:val="3"/>
                    <w:tcBorders>
                      <w:bottom w:val="single" w:color="auto" w:sz="4" w:space="0"/>
                    </w:tcBorders>
                    <w:vAlign w:val="center"/>
                  </w:tcPr>
                  <w:p>
                    <w:pPr>
                      <w:widowControl w:val="0"/>
                      <w:jc w:val="right"/>
                      <w:rPr>
                        <w:sz w:val="18"/>
                        <w:szCs w:val="18"/>
                      </w:rPr>
                    </w:pPr>
                    <w:r>
                      <w:rPr>
                        <w:sz w:val="18"/>
                        <w:szCs w:val="18"/>
                      </w:rPr>
                      <w:t>7.29</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23"/>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tcPr>
                  <w:p>
                    <w:pPr>
                      <w:widowControl w:val="0"/>
                      <w:jc w:val="both"/>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工资</w:t>
                    </w:r>
                  </w:p>
                </w:tc>
                <w:tc>
                  <w:tcPr>
                    <w:tcW w:w="1843" w:type="dxa"/>
                    <w:gridSpan w:val="2"/>
                    <w:tcBorders>
                      <w:bottom w:val="single" w:color="auto" w:sz="4" w:space="0"/>
                    </w:tcBorders>
                    <w:vAlign w:val="center"/>
                  </w:tcPr>
                  <w:p>
                    <w:pPr>
                      <w:widowControl w:val="0"/>
                      <w:jc w:val="right"/>
                      <w:rPr>
                        <w:sz w:val="18"/>
                        <w:szCs w:val="18"/>
                      </w:rPr>
                    </w:pPr>
                    <w:r>
                      <w:rPr>
                        <w:sz w:val="18"/>
                        <w:szCs w:val="18"/>
                      </w:rPr>
                      <w:t>7,989,019.05</w:t>
                    </w:r>
                  </w:p>
                </w:tc>
                <w:tc>
                  <w:tcPr>
                    <w:tcW w:w="849" w:type="dxa"/>
                    <w:gridSpan w:val="2"/>
                    <w:tcBorders>
                      <w:bottom w:val="single" w:color="auto" w:sz="4" w:space="0"/>
                    </w:tcBorders>
                    <w:vAlign w:val="center"/>
                  </w:tcPr>
                  <w:p>
                    <w:pPr>
                      <w:widowControl w:val="0"/>
                      <w:jc w:val="right"/>
                      <w:rPr>
                        <w:sz w:val="18"/>
                        <w:szCs w:val="18"/>
                      </w:rPr>
                    </w:pPr>
                    <w:r>
                      <w:rPr>
                        <w:sz w:val="18"/>
                        <w:szCs w:val="18"/>
                      </w:rPr>
                      <w:t>0.27</w:t>
                    </w:r>
                  </w:p>
                </w:tc>
                <w:tc>
                  <w:tcPr>
                    <w:tcW w:w="1842" w:type="dxa"/>
                    <w:gridSpan w:val="2"/>
                    <w:tcBorders>
                      <w:bottom w:val="single" w:color="auto" w:sz="4" w:space="0"/>
                    </w:tcBorders>
                    <w:vAlign w:val="center"/>
                  </w:tcPr>
                  <w:p>
                    <w:pPr>
                      <w:widowControl w:val="0"/>
                      <w:jc w:val="right"/>
                      <w:rPr>
                        <w:sz w:val="18"/>
                        <w:szCs w:val="18"/>
                      </w:rPr>
                    </w:pPr>
                    <w:r>
                      <w:rPr>
                        <w:sz w:val="18"/>
                        <w:szCs w:val="18"/>
                      </w:rPr>
                      <w:t>5,847,894.19</w:t>
                    </w:r>
                  </w:p>
                </w:tc>
                <w:tc>
                  <w:tcPr>
                    <w:tcW w:w="993" w:type="dxa"/>
                    <w:gridSpan w:val="2"/>
                    <w:tcBorders>
                      <w:bottom w:val="single" w:color="auto" w:sz="4" w:space="0"/>
                    </w:tcBorders>
                    <w:vAlign w:val="center"/>
                  </w:tcPr>
                  <w:p>
                    <w:pPr>
                      <w:widowControl w:val="0"/>
                      <w:jc w:val="right"/>
                      <w:rPr>
                        <w:sz w:val="18"/>
                        <w:szCs w:val="18"/>
                      </w:rPr>
                    </w:pPr>
                    <w:r>
                      <w:rPr>
                        <w:sz w:val="18"/>
                        <w:szCs w:val="18"/>
                      </w:rPr>
                      <w:t>0.36</w:t>
                    </w:r>
                  </w:p>
                </w:tc>
                <w:tc>
                  <w:tcPr>
                    <w:tcW w:w="1132" w:type="dxa"/>
                    <w:gridSpan w:val="3"/>
                    <w:tcBorders>
                      <w:bottom w:val="single" w:color="auto" w:sz="4" w:space="0"/>
                    </w:tcBorders>
                    <w:vAlign w:val="center"/>
                  </w:tcPr>
                  <w:p>
                    <w:pPr>
                      <w:widowControl w:val="0"/>
                      <w:jc w:val="right"/>
                      <w:rPr>
                        <w:sz w:val="18"/>
                        <w:szCs w:val="18"/>
                      </w:rPr>
                    </w:pPr>
                    <w:r>
                      <w:rPr>
                        <w:sz w:val="18"/>
                        <w:szCs w:val="18"/>
                      </w:rPr>
                      <w:t>36.61</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24"/>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tcPr>
                  <w:p>
                    <w:pPr>
                      <w:widowControl w:val="0"/>
                      <w:jc w:val="both"/>
                      <w:rPr>
                        <w:rFonts w:ascii="Calibri" w:hAnsi="Calibri"/>
                        <w:sz w:val="18"/>
                        <w:szCs w:val="18"/>
                      </w:rPr>
                    </w:pPr>
                  </w:p>
                </w:tc>
                <w:tc>
                  <w:tcPr>
                    <w:tcW w:w="1276" w:type="dxa"/>
                    <w:gridSpan w:val="2"/>
                    <w:tcBorders>
                      <w:bottom w:val="single" w:color="auto" w:sz="4" w:space="0"/>
                    </w:tcBorders>
                    <w:vAlign w:val="center"/>
                  </w:tcPr>
                  <w:p>
                    <w:pPr>
                      <w:widowControl w:val="0"/>
                      <w:jc w:val="both"/>
                      <w:rPr>
                        <w:sz w:val="18"/>
                        <w:szCs w:val="18"/>
                      </w:rPr>
                    </w:pPr>
                    <w:r>
                      <w:rPr>
                        <w:sz w:val="18"/>
                        <w:szCs w:val="18"/>
                      </w:rPr>
                      <w:t>折旧</w:t>
                    </w:r>
                  </w:p>
                </w:tc>
                <w:tc>
                  <w:tcPr>
                    <w:tcW w:w="1843" w:type="dxa"/>
                    <w:gridSpan w:val="2"/>
                    <w:tcBorders>
                      <w:bottom w:val="single" w:color="auto" w:sz="4" w:space="0"/>
                    </w:tcBorders>
                    <w:vAlign w:val="center"/>
                  </w:tcPr>
                  <w:p>
                    <w:pPr>
                      <w:widowControl w:val="0"/>
                      <w:jc w:val="right"/>
                      <w:rPr>
                        <w:sz w:val="18"/>
                        <w:szCs w:val="18"/>
                      </w:rPr>
                    </w:pPr>
                    <w:r>
                      <w:rPr>
                        <w:sz w:val="18"/>
                        <w:szCs w:val="18"/>
                      </w:rPr>
                      <w:t>8,159,223.36</w:t>
                    </w:r>
                  </w:p>
                </w:tc>
                <w:tc>
                  <w:tcPr>
                    <w:tcW w:w="849" w:type="dxa"/>
                    <w:gridSpan w:val="2"/>
                    <w:tcBorders>
                      <w:bottom w:val="single" w:color="auto" w:sz="4" w:space="0"/>
                    </w:tcBorders>
                    <w:vAlign w:val="center"/>
                  </w:tcPr>
                  <w:p>
                    <w:pPr>
                      <w:widowControl w:val="0"/>
                      <w:jc w:val="right"/>
                      <w:rPr>
                        <w:sz w:val="18"/>
                        <w:szCs w:val="18"/>
                      </w:rPr>
                    </w:pPr>
                    <w:r>
                      <w:rPr>
                        <w:sz w:val="18"/>
                        <w:szCs w:val="18"/>
                      </w:rPr>
                      <w:t>0.28</w:t>
                    </w:r>
                  </w:p>
                </w:tc>
                <w:tc>
                  <w:tcPr>
                    <w:tcW w:w="1842" w:type="dxa"/>
                    <w:gridSpan w:val="2"/>
                    <w:tcBorders>
                      <w:bottom w:val="single" w:color="auto" w:sz="4" w:space="0"/>
                    </w:tcBorders>
                    <w:vAlign w:val="center"/>
                  </w:tcPr>
                  <w:p>
                    <w:pPr>
                      <w:widowControl w:val="0"/>
                      <w:jc w:val="right"/>
                      <w:rPr>
                        <w:sz w:val="18"/>
                        <w:szCs w:val="18"/>
                      </w:rPr>
                    </w:pPr>
                    <w:r>
                      <w:rPr>
                        <w:sz w:val="18"/>
                        <w:szCs w:val="18"/>
                      </w:rPr>
                      <w:t>8,159,223.36</w:t>
                    </w:r>
                  </w:p>
                </w:tc>
                <w:tc>
                  <w:tcPr>
                    <w:tcW w:w="993" w:type="dxa"/>
                    <w:gridSpan w:val="2"/>
                    <w:tcBorders>
                      <w:bottom w:val="single" w:color="auto" w:sz="4" w:space="0"/>
                    </w:tcBorders>
                    <w:vAlign w:val="center"/>
                  </w:tcPr>
                  <w:p>
                    <w:pPr>
                      <w:widowControl w:val="0"/>
                      <w:jc w:val="right"/>
                      <w:rPr>
                        <w:sz w:val="18"/>
                        <w:szCs w:val="18"/>
                      </w:rPr>
                    </w:pPr>
                    <w:r>
                      <w:rPr>
                        <w:sz w:val="18"/>
                        <w:szCs w:val="18"/>
                      </w:rPr>
                      <w:t>0.5</w:t>
                    </w:r>
                  </w:p>
                </w:tc>
                <w:tc>
                  <w:tcPr>
                    <w:tcW w:w="1132" w:type="dxa"/>
                    <w:gridSpan w:val="3"/>
                    <w:tcBorders>
                      <w:bottom w:val="single" w:color="auto" w:sz="4" w:space="0"/>
                    </w:tcBorders>
                    <w:vAlign w:val="center"/>
                  </w:tcPr>
                  <w:p>
                    <w:pPr>
                      <w:widowControl w:val="0"/>
                      <w:jc w:val="right"/>
                      <w:rPr>
                        <w:sz w:val="18"/>
                        <w:szCs w:val="18"/>
                      </w:rPr>
                    </w:pPr>
                    <w:r>
                      <w:rPr>
                        <w:sz w:val="18"/>
                        <w:szCs w:val="18"/>
                      </w:rPr>
                      <w:t>     </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25"/>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tcPr>
                  <w:p>
                    <w:pPr>
                      <w:widowControl w:val="0"/>
                      <w:jc w:val="both"/>
                      <w:rPr>
                        <w:rFonts w:ascii="Calibri" w:hAnsi="Calibri"/>
                        <w:sz w:val="18"/>
                        <w:szCs w:val="18"/>
                      </w:rPr>
                    </w:pPr>
                  </w:p>
                </w:tc>
                <w:tc>
                  <w:tcPr>
                    <w:tcW w:w="1276" w:type="dxa"/>
                    <w:gridSpan w:val="2"/>
                    <w:tcBorders>
                      <w:bottom w:val="single" w:color="auto" w:sz="4" w:space="0"/>
                    </w:tcBorders>
                  </w:tcPr>
                  <w:p>
                    <w:pPr>
                      <w:widowControl w:val="0"/>
                      <w:jc w:val="both"/>
                      <w:rPr>
                        <w:sz w:val="18"/>
                        <w:szCs w:val="18"/>
                      </w:rPr>
                    </w:pPr>
                    <w:r>
                      <w:rPr>
                        <w:sz w:val="18"/>
                        <w:szCs w:val="18"/>
                      </w:rPr>
                      <w:t>其他</w:t>
                    </w:r>
                  </w:p>
                </w:tc>
                <w:tc>
                  <w:tcPr>
                    <w:tcW w:w="1843" w:type="dxa"/>
                    <w:gridSpan w:val="2"/>
                    <w:tcBorders>
                      <w:bottom w:val="single" w:color="auto" w:sz="4" w:space="0"/>
                    </w:tcBorders>
                    <w:vAlign w:val="center"/>
                  </w:tcPr>
                  <w:p>
                    <w:pPr>
                      <w:widowControl w:val="0"/>
                      <w:jc w:val="right"/>
                      <w:rPr>
                        <w:sz w:val="18"/>
                        <w:szCs w:val="18"/>
                      </w:rPr>
                    </w:pPr>
                    <w:r>
                      <w:rPr>
                        <w:sz w:val="18"/>
                        <w:szCs w:val="18"/>
                      </w:rPr>
                      <w:t>31,688,343.46</w:t>
                    </w:r>
                  </w:p>
                </w:tc>
                <w:tc>
                  <w:tcPr>
                    <w:tcW w:w="849" w:type="dxa"/>
                    <w:gridSpan w:val="2"/>
                    <w:tcBorders>
                      <w:bottom w:val="single" w:color="auto" w:sz="4" w:space="0"/>
                    </w:tcBorders>
                    <w:vAlign w:val="center"/>
                  </w:tcPr>
                  <w:p>
                    <w:pPr>
                      <w:widowControl w:val="0"/>
                      <w:jc w:val="right"/>
                      <w:rPr>
                        <w:sz w:val="18"/>
                        <w:szCs w:val="18"/>
                      </w:rPr>
                    </w:pPr>
                    <w:r>
                      <w:rPr>
                        <w:sz w:val="18"/>
                        <w:szCs w:val="18"/>
                      </w:rPr>
                      <w:t>1.08</w:t>
                    </w:r>
                  </w:p>
                </w:tc>
                <w:tc>
                  <w:tcPr>
                    <w:tcW w:w="1842" w:type="dxa"/>
                    <w:gridSpan w:val="2"/>
                    <w:tcBorders>
                      <w:bottom w:val="single" w:color="auto" w:sz="4" w:space="0"/>
                    </w:tcBorders>
                    <w:vAlign w:val="center"/>
                  </w:tcPr>
                  <w:p>
                    <w:pPr>
                      <w:widowControl w:val="0"/>
                      <w:jc w:val="right"/>
                      <w:rPr>
                        <w:sz w:val="18"/>
                        <w:szCs w:val="18"/>
                      </w:rPr>
                    </w:pPr>
                    <w:r>
                      <w:rPr>
                        <w:sz w:val="18"/>
                        <w:szCs w:val="18"/>
                      </w:rPr>
                      <w:t>33,820,814.90</w:t>
                    </w:r>
                  </w:p>
                </w:tc>
                <w:tc>
                  <w:tcPr>
                    <w:tcW w:w="993" w:type="dxa"/>
                    <w:gridSpan w:val="2"/>
                    <w:tcBorders>
                      <w:bottom w:val="single" w:color="auto" w:sz="4" w:space="0"/>
                    </w:tcBorders>
                    <w:vAlign w:val="center"/>
                  </w:tcPr>
                  <w:p>
                    <w:pPr>
                      <w:widowControl w:val="0"/>
                      <w:jc w:val="right"/>
                      <w:rPr>
                        <w:sz w:val="18"/>
                        <w:szCs w:val="18"/>
                      </w:rPr>
                    </w:pPr>
                    <w:r>
                      <w:rPr>
                        <w:sz w:val="18"/>
                        <w:szCs w:val="18"/>
                      </w:rPr>
                      <w:t>2.09</w:t>
                    </w:r>
                  </w:p>
                </w:tc>
                <w:tc>
                  <w:tcPr>
                    <w:tcW w:w="1132" w:type="dxa"/>
                    <w:gridSpan w:val="3"/>
                    <w:tcBorders>
                      <w:bottom w:val="single" w:color="auto" w:sz="4" w:space="0"/>
                    </w:tcBorders>
                    <w:vAlign w:val="center"/>
                  </w:tcPr>
                  <w:p>
                    <w:pPr>
                      <w:widowControl w:val="0"/>
                      <w:jc w:val="right"/>
                      <w:rPr>
                        <w:sz w:val="18"/>
                        <w:szCs w:val="18"/>
                      </w:rPr>
                    </w:pPr>
                    <w:r>
                      <w:rPr>
                        <w:sz w:val="18"/>
                        <w:szCs w:val="18"/>
                      </w:rPr>
                      <w:t>-6.31</w:t>
                    </w:r>
                  </w:p>
                </w:tc>
                <w:tc>
                  <w:tcPr>
                    <w:tcW w:w="567" w:type="dxa"/>
                    <w:tcBorders>
                      <w:bottom w:val="single" w:color="auto" w:sz="4" w:space="0"/>
                    </w:tcBorders>
                  </w:tcPr>
                  <w:p>
                    <w:pPr>
                      <w:widowControl w:val="0"/>
                      <w:jc w:val="both"/>
                      <w:rPr>
                        <w:szCs w:val="21"/>
                      </w:rPr>
                    </w:pPr>
                  </w:p>
                </w:tc>
              </w:tr>
            </w:sdtContent>
          </w:sdt>
          <w:sdt>
            <w:sdtPr>
              <w:rPr>
                <w:rFonts w:ascii="Calibri" w:hAnsi="Calibri"/>
                <w:sz w:val="18"/>
                <w:szCs w:val="18"/>
              </w:rPr>
              <w:alias w:val="分产品成本分析"/>
              <w:tag w:val="_TUP_a99457d0ffea4639b6d23dc0f965122f"/>
              <w:id w:val="6772726"/>
              <w:lock w:val="sdtLocked"/>
            </w:sdtPr>
            <w:sdtEndPr>
              <w:rPr>
                <w:rFonts w:ascii="Calibri" w:hAnsi="Calibri" w:eastAsiaTheme="minorEastAsia" w:cstheme="minorBidi"/>
                <w:kern w:val="2"/>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78" w:type="dxa"/>
                    <w:vMerge w:val="continue"/>
                    <w:tcBorders>
                      <w:bottom w:val="single" w:color="auto" w:sz="4" w:space="0"/>
                    </w:tcBorders>
                  </w:tcPr>
                  <w:p>
                    <w:pPr>
                      <w:widowControl w:val="0"/>
                      <w:jc w:val="both"/>
                      <w:rPr>
                        <w:rFonts w:ascii="Calibri" w:hAnsi="Calibri"/>
                        <w:sz w:val="18"/>
                        <w:szCs w:val="18"/>
                      </w:rPr>
                    </w:pPr>
                  </w:p>
                </w:tc>
                <w:tc>
                  <w:tcPr>
                    <w:tcW w:w="1276" w:type="dxa"/>
                    <w:gridSpan w:val="2"/>
                    <w:tcBorders>
                      <w:bottom w:val="single" w:color="auto" w:sz="4" w:space="0"/>
                    </w:tcBorders>
                  </w:tcPr>
                  <w:p>
                    <w:pPr>
                      <w:widowControl w:val="0"/>
                      <w:jc w:val="both"/>
                      <w:rPr>
                        <w:sz w:val="18"/>
                        <w:szCs w:val="18"/>
                      </w:rPr>
                    </w:pPr>
                    <w:r>
                      <w:rPr>
                        <w:sz w:val="18"/>
                        <w:szCs w:val="18"/>
                      </w:rPr>
                      <w:t>小计</w:t>
                    </w:r>
                  </w:p>
                </w:tc>
                <w:tc>
                  <w:tcPr>
                    <w:tcW w:w="1843" w:type="dxa"/>
                    <w:gridSpan w:val="2"/>
                    <w:tcBorders>
                      <w:bottom w:val="single" w:color="auto" w:sz="4" w:space="0"/>
                    </w:tcBorders>
                    <w:vAlign w:val="center"/>
                  </w:tcPr>
                  <w:p>
                    <w:pPr>
                      <w:widowControl w:val="0"/>
                      <w:jc w:val="right"/>
                      <w:rPr>
                        <w:sz w:val="18"/>
                        <w:szCs w:val="18"/>
                      </w:rPr>
                    </w:pPr>
                    <w:r>
                      <w:rPr>
                        <w:sz w:val="18"/>
                        <w:szCs w:val="18"/>
                      </w:rPr>
                      <w:t>2,924,623,619.68</w:t>
                    </w:r>
                  </w:p>
                </w:tc>
                <w:tc>
                  <w:tcPr>
                    <w:tcW w:w="849" w:type="dxa"/>
                    <w:gridSpan w:val="2"/>
                    <w:tcBorders>
                      <w:bottom w:val="single" w:color="auto" w:sz="4" w:space="0"/>
                    </w:tcBorders>
                    <w:vAlign w:val="center"/>
                  </w:tcPr>
                  <w:p>
                    <w:pPr>
                      <w:widowControl w:val="0"/>
                      <w:jc w:val="right"/>
                      <w:rPr>
                        <w:sz w:val="18"/>
                        <w:szCs w:val="18"/>
                      </w:rPr>
                    </w:pPr>
                    <w:r>
                      <w:rPr>
                        <w:sz w:val="18"/>
                        <w:szCs w:val="18"/>
                      </w:rPr>
                      <w:t>100.00</w:t>
                    </w:r>
                  </w:p>
                </w:tc>
                <w:tc>
                  <w:tcPr>
                    <w:tcW w:w="1842" w:type="dxa"/>
                    <w:gridSpan w:val="2"/>
                    <w:tcBorders>
                      <w:bottom w:val="single" w:color="auto" w:sz="4" w:space="0"/>
                    </w:tcBorders>
                    <w:vAlign w:val="center"/>
                  </w:tcPr>
                  <w:p>
                    <w:pPr>
                      <w:widowControl w:val="0"/>
                      <w:jc w:val="right"/>
                      <w:rPr>
                        <w:sz w:val="18"/>
                        <w:szCs w:val="18"/>
                      </w:rPr>
                    </w:pPr>
                    <w:r>
                      <w:rPr>
                        <w:sz w:val="18"/>
                        <w:szCs w:val="18"/>
                      </w:rPr>
                      <w:t>1,618,527,043.46</w:t>
                    </w:r>
                  </w:p>
                </w:tc>
                <w:tc>
                  <w:tcPr>
                    <w:tcW w:w="993" w:type="dxa"/>
                    <w:gridSpan w:val="2"/>
                    <w:tcBorders>
                      <w:bottom w:val="single" w:color="auto" w:sz="4" w:space="0"/>
                    </w:tcBorders>
                    <w:vAlign w:val="center"/>
                  </w:tcPr>
                  <w:p>
                    <w:pPr>
                      <w:widowControl w:val="0"/>
                      <w:jc w:val="right"/>
                      <w:rPr>
                        <w:sz w:val="18"/>
                        <w:szCs w:val="18"/>
                      </w:rPr>
                    </w:pPr>
                    <w:r>
                      <w:rPr>
                        <w:sz w:val="18"/>
                        <w:szCs w:val="18"/>
                      </w:rPr>
                      <w:t>100</w:t>
                    </w:r>
                  </w:p>
                </w:tc>
                <w:tc>
                  <w:tcPr>
                    <w:tcW w:w="1132" w:type="dxa"/>
                    <w:gridSpan w:val="3"/>
                    <w:tcBorders>
                      <w:bottom w:val="single" w:color="auto" w:sz="4" w:space="0"/>
                    </w:tcBorders>
                    <w:vAlign w:val="center"/>
                  </w:tcPr>
                  <w:p>
                    <w:pPr>
                      <w:widowControl w:val="0"/>
                      <w:jc w:val="right"/>
                      <w:rPr>
                        <w:sz w:val="18"/>
                        <w:szCs w:val="18"/>
                      </w:rPr>
                    </w:pPr>
                    <w:r>
                      <w:rPr>
                        <w:sz w:val="18"/>
                        <w:szCs w:val="18"/>
                      </w:rPr>
                      <w:t>80.70</w:t>
                    </w:r>
                  </w:p>
                </w:tc>
                <w:tc>
                  <w:tcPr>
                    <w:tcW w:w="567" w:type="dxa"/>
                    <w:tcBorders>
                      <w:bottom w:val="single" w:color="auto" w:sz="4" w:space="0"/>
                    </w:tcBorders>
                  </w:tcPr>
                  <w:p>
                    <w:pPr>
                      <w:widowControl w:val="0"/>
                      <w:jc w:val="both"/>
                      <w:rPr>
                        <w:szCs w:val="21"/>
                      </w:rPr>
                    </w:pPr>
                  </w:p>
                </w:tc>
              </w:tr>
            </w:sdtContent>
          </w:sdt>
        </w:tbl>
        <w:p>
          <w:pPr>
            <w:rPr>
              <w:szCs w:val="21"/>
            </w:rPr>
          </w:pPr>
          <w:r>
            <w:rPr>
              <w:rFonts w:hint="eastAsia"/>
              <w:szCs w:val="21"/>
            </w:rPr>
            <w:t>成本分析其他情况说明</w:t>
          </w:r>
        </w:p>
        <w:sdt>
          <w:sdtPr>
            <w:rPr>
              <w:szCs w:val="21"/>
            </w:rPr>
            <w:alias w:val="是否适用：成本分析其他情况说明[双击切换]"/>
            <w:tag w:val="_GBC_9ccfe4ae95b64af89a3801b64a824c89"/>
            <w:id w:val="6772727"/>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ascii="宋体" w:hAnsi="宋体" w:cs="宋体"/>
          <w:b w:val="0"/>
          <w:bCs w:val="0"/>
          <w:kern w:val="0"/>
          <w:szCs w:val="21"/>
        </w:rPr>
        <w:alias w:val="模块:主要销售客户及主要供应商情况 "/>
        <w:tag w:val="_SEC_3b2e2424b58e45d1b7ddf46a225a56b2"/>
        <w:id w:val="6772742"/>
        <w:lock w:val="sdtLocked"/>
        <w:placeholder>
          <w:docPart w:val="GBC22222222222222222222222222222"/>
        </w:placeholder>
      </w:sdtPr>
      <w:sdtEndPr>
        <w:rPr>
          <w:rFonts w:ascii="宋体" w:hAnsi="宋体" w:cs="宋体"/>
          <w:b w:val="0"/>
          <w:bCs w:val="0"/>
          <w:kern w:val="0"/>
          <w:szCs w:val="21"/>
        </w:rPr>
      </w:sdtEndPr>
      <w:sdtContent>
        <w:p>
          <w:pPr>
            <w:pStyle w:val="6"/>
            <w:numPr>
              <w:ilvl w:val="0"/>
              <w:numId w:val="11"/>
            </w:numPr>
            <w:tabs>
              <w:tab w:val="left" w:pos="567"/>
            </w:tabs>
            <w:ind w:left="0" w:firstLine="0"/>
            <w:rPr>
              <w:szCs w:val="21"/>
            </w:rPr>
          </w:pPr>
          <w:r>
            <w:rPr>
              <w:szCs w:val="21"/>
            </w:rPr>
            <w:t>主要销售客户及主要供应商情况</w:t>
          </w:r>
        </w:p>
        <w:sdt>
          <w:sdtPr>
            <w:rPr>
              <w:szCs w:val="21"/>
            </w:rPr>
            <w:alias w:val="是否适用：主要销售客户及主要供应商情况 [双击切换]"/>
            <w:tag w:val="_GBC_85b073dc3a604ae8aa8581d0aeda2ec2"/>
            <w:id w:val="6772729"/>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r>
            <w:rPr>
              <w:rFonts w:hint="eastAsia"/>
              <w:szCs w:val="21"/>
            </w:rPr>
            <w:t>前五名客户销售额</w:t>
          </w:r>
          <w:sdt>
            <w:sdtPr>
              <w:rPr>
                <w:rFonts w:hint="eastAsia"/>
                <w:szCs w:val="21"/>
              </w:rPr>
              <w:alias w:val="前五名客户销售额"/>
              <w:tag w:val="_GBC_e497000fdfbc4e548555b7f8ddf9780c"/>
              <w:id w:val="6772730"/>
              <w:lock w:val="sdtLocked"/>
              <w:placeholder>
                <w:docPart w:val="GBC22222222222222222222222222222"/>
              </w:placeholder>
            </w:sdtPr>
            <w:sdtEndPr>
              <w:rPr>
                <w:rFonts w:hint="eastAsia"/>
                <w:szCs w:val="21"/>
              </w:rPr>
            </w:sdtEndPr>
            <w:sdtContent>
              <w:r>
                <w:rPr>
                  <w:rFonts w:hint="eastAsia"/>
                  <w:szCs w:val="21"/>
                </w:rPr>
                <w:t>179.18</w:t>
              </w:r>
            </w:sdtContent>
          </w:sdt>
          <w:sdt>
            <w:sdtPr>
              <w:rPr>
                <w:rFonts w:hint="eastAsia"/>
                <w:szCs w:val="21"/>
              </w:rPr>
              <w:alias w:val="单位：前五名客户销售额"/>
              <w:tag w:val="_GBC_4bd6620b209a4bae8dc3404e8b89ea35"/>
              <w:id w:val="67727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亿元</w:t>
              </w:r>
            </w:sdtContent>
          </w:sdt>
          <w:r>
            <w:rPr>
              <w:szCs w:val="21"/>
            </w:rPr>
            <w:t>，占年度销售总额</w:t>
          </w:r>
          <w:sdt>
            <w:sdtPr>
              <w:rPr>
                <w:szCs w:val="21"/>
              </w:rPr>
              <w:alias w:val="前五名客户销售额占年度销售总额比例"/>
              <w:tag w:val="_GBC_68b3c8b493d04b6c9db16e7e475d7b35"/>
              <w:id w:val="6772732"/>
              <w:lock w:val="sdtLocked"/>
              <w:placeholder>
                <w:docPart w:val="GBC22222222222222222222222222222"/>
              </w:placeholder>
            </w:sdtPr>
            <w:sdtEndPr>
              <w:rPr>
                <w:szCs w:val="21"/>
              </w:rPr>
            </w:sdtEndPr>
            <w:sdtContent>
              <w:r>
                <w:rPr>
                  <w:rFonts w:hint="eastAsia"/>
                  <w:szCs w:val="21"/>
                </w:rPr>
                <w:t>43.12</w:t>
              </w:r>
            </w:sdtContent>
          </w:sdt>
          <w:r>
            <w:rPr>
              <w:szCs w:val="21"/>
            </w:rPr>
            <w:t>%；其中前五名客户销售额中关联方销售额</w:t>
          </w:r>
          <w:sdt>
            <w:sdtPr>
              <w:rPr>
                <w:szCs w:val="21"/>
              </w:rPr>
              <w:alias w:val="前五名客户销售额中关联方销售额"/>
              <w:tag w:val="_GBC_bfa0971257a44f65996f01cfb0497b07"/>
              <w:id w:val="6772733"/>
              <w:lock w:val="sdtLocked"/>
              <w:placeholder>
                <w:docPart w:val="GBC22222222222222222222222222222"/>
              </w:placeholder>
            </w:sdtPr>
            <w:sdtEndPr>
              <w:rPr>
                <w:szCs w:val="21"/>
              </w:rPr>
            </w:sdtEndPr>
            <w:sdtContent>
              <w:r>
                <w:rPr>
                  <w:rFonts w:hint="eastAsia"/>
                  <w:szCs w:val="21"/>
                </w:rPr>
                <w:t>145.38</w:t>
              </w:r>
            </w:sdtContent>
          </w:sdt>
          <w:sdt>
            <w:sdtPr>
              <w:rPr>
                <w:szCs w:val="21"/>
              </w:rPr>
              <w:alias w:val="单位：前五名客户销售额中关联方销售额"/>
              <w:tag w:val="_GBC_f3c03afc93a5429f9fa45fc25f9018ab"/>
              <w:id w:val="677273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szCs w:val="21"/>
              </w:rPr>
            </w:sdtEndPr>
            <w:sdtContent>
              <w:r>
                <w:rPr>
                  <w:rFonts w:hint="eastAsia"/>
                  <w:szCs w:val="21"/>
                </w:rPr>
                <w:t>亿元</w:t>
              </w:r>
            </w:sdtContent>
          </w:sdt>
          <w:r>
            <w:rPr>
              <w:szCs w:val="21"/>
            </w:rPr>
            <w:t>，占年度销售总额</w:t>
          </w:r>
          <w:sdt>
            <w:sdtPr>
              <w:rPr>
                <w:szCs w:val="21"/>
              </w:rPr>
              <w:alias w:val="前五名客户销售额中关联方销售额占年度销售总额比例"/>
              <w:tag w:val="_GBC_a84a9f2fd5cd467fa7226eab846a8fd4"/>
              <w:id w:val="6772735"/>
              <w:lock w:val="sdtLocked"/>
              <w:placeholder>
                <w:docPart w:val="GBC22222222222222222222222222222"/>
              </w:placeholder>
            </w:sdtPr>
            <w:sdtEndPr>
              <w:rPr>
                <w:szCs w:val="21"/>
              </w:rPr>
            </w:sdtEndPr>
            <w:sdtContent>
              <w:r>
                <w:rPr>
                  <w:rFonts w:hint="eastAsia"/>
                  <w:szCs w:val="21"/>
                </w:rPr>
                <w:t>34.98</w:t>
              </w:r>
            </w:sdtContent>
          </w:sdt>
          <w:r>
            <w:rPr>
              <w:szCs w:val="21"/>
            </w:rPr>
            <w:t xml:space="preserve"> %。</w:t>
          </w:r>
        </w:p>
        <w:p>
          <w:pPr>
            <w:rPr>
              <w:color w:val="FF0000"/>
              <w:szCs w:val="21"/>
            </w:rPr>
          </w:pPr>
        </w:p>
        <w:p>
          <w:pPr>
            <w:rPr>
              <w:szCs w:val="21"/>
            </w:rPr>
          </w:pPr>
          <w:r>
            <w:rPr>
              <w:rFonts w:hint="eastAsia"/>
              <w:szCs w:val="21"/>
            </w:rPr>
            <w:t>前五名供应商采购额</w:t>
          </w:r>
          <w:sdt>
            <w:sdtPr>
              <w:rPr>
                <w:rFonts w:hint="eastAsia"/>
                <w:szCs w:val="21"/>
              </w:rPr>
              <w:alias w:val="前五名供应商采购额"/>
              <w:tag w:val="_GBC_4552254972a04ec6983b359a0f18d4bf"/>
              <w:id w:val="-332997464"/>
              <w:lock w:val="sdtLocked"/>
            </w:sdtPr>
            <w:sdtEndPr>
              <w:rPr>
                <w:rFonts w:hint="eastAsia"/>
                <w:szCs w:val="21"/>
              </w:rPr>
            </w:sdtEndPr>
            <w:sdtContent>
              <w:r>
                <w:rPr>
                  <w:rFonts w:hint="eastAsia"/>
                  <w:szCs w:val="21"/>
                </w:rPr>
                <w:t>127.79</w:t>
              </w:r>
            </w:sdtContent>
          </w:sdt>
          <w:sdt>
            <w:sdtPr>
              <w:rPr>
                <w:rFonts w:hint="eastAsia"/>
                <w:szCs w:val="21"/>
              </w:rPr>
              <w:alias w:val="单位：前五名供应商采购额"/>
              <w:tag w:val="_GBC_418fcbdb1c1a4643afb7cce014bdeca2"/>
              <w:id w:val="165219670"/>
              <w:lock w:val="sdtLocked"/>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亿元</w:t>
              </w:r>
            </w:sdtContent>
          </w:sdt>
          <w:r>
            <w:rPr>
              <w:szCs w:val="21"/>
            </w:rPr>
            <w:t>，占年度采购总额</w:t>
          </w:r>
          <w:sdt>
            <w:sdtPr>
              <w:rPr>
                <w:szCs w:val="21"/>
              </w:rPr>
              <w:alias w:val="前五名供应商采购额占年度采购总额比例"/>
              <w:tag w:val="_GBC_f32c49f691154cc4b6ba587f4a582958"/>
              <w:id w:val="-921719189"/>
              <w:lock w:val="sdtLocked"/>
            </w:sdtPr>
            <w:sdtEndPr>
              <w:rPr>
                <w:szCs w:val="21"/>
              </w:rPr>
            </w:sdtEndPr>
            <w:sdtContent>
              <w:r>
                <w:rPr>
                  <w:rFonts w:hint="eastAsia"/>
                  <w:szCs w:val="21"/>
                </w:rPr>
                <w:t>37.3</w:t>
              </w:r>
            </w:sdtContent>
          </w:sdt>
          <w:r>
            <w:rPr>
              <w:szCs w:val="21"/>
            </w:rPr>
            <w:t>%；其中前五名供应商采购额中关联方采购额</w:t>
          </w:r>
          <w:sdt>
            <w:sdtPr>
              <w:rPr>
                <w:szCs w:val="21"/>
              </w:rPr>
              <w:alias w:val="前五名供应商采购额中关联方采购额"/>
              <w:tag w:val="_GBC_b4791060802442e186017fdd5f31805a"/>
              <w:id w:val="1722945362"/>
              <w:lock w:val="sdtLocked"/>
            </w:sdtPr>
            <w:sdtEndPr>
              <w:rPr>
                <w:szCs w:val="21"/>
              </w:rPr>
            </w:sdtEndPr>
            <w:sdtContent>
              <w:r>
                <w:rPr>
                  <w:rFonts w:hint="eastAsia"/>
                  <w:szCs w:val="21"/>
                </w:rPr>
                <w:t>109.1</w:t>
              </w:r>
            </w:sdtContent>
          </w:sdt>
          <w:sdt>
            <w:sdtPr>
              <w:rPr>
                <w:szCs w:val="21"/>
              </w:rPr>
              <w:alias w:val="单位：前五名供应商采购额中关联方采购额"/>
              <w:tag w:val="_GBC_bac6c3f63a9a4b0db685f5ee8e883818"/>
              <w:id w:val="-794374587"/>
              <w:lock w:val="sdtLocked"/>
              <w:comboBox>
                <w:listItem w:displayText="元" w:value="元"/>
                <w:listItem w:displayText="千元" w:value="千元"/>
                <w:listItem w:displayText="万元" w:value="万元"/>
                <w:listItem w:displayText="百万元" w:value="百万元"/>
                <w:listItem w:displayText="亿元" w:value="亿元"/>
              </w:comboBox>
            </w:sdtPr>
            <w:sdtEndPr>
              <w:rPr>
                <w:szCs w:val="21"/>
              </w:rPr>
            </w:sdtEndPr>
            <w:sdtContent>
              <w:r>
                <w:rPr>
                  <w:rFonts w:hint="eastAsia"/>
                  <w:szCs w:val="21"/>
                </w:rPr>
                <w:t>亿元</w:t>
              </w:r>
            </w:sdtContent>
          </w:sdt>
          <w:r>
            <w:rPr>
              <w:szCs w:val="21"/>
            </w:rPr>
            <w:t>，占年度采购总额</w:t>
          </w:r>
          <w:sdt>
            <w:sdtPr>
              <w:rPr>
                <w:szCs w:val="21"/>
              </w:rPr>
              <w:alias w:val="前五名供应商采购额中关联方采购额占年度采购总额比例"/>
              <w:tag w:val="_GBC_41b2f0a67a5743e1a4ccf8f427eec0a3"/>
              <w:id w:val="603621799"/>
              <w:lock w:val="sdtLocked"/>
            </w:sdtPr>
            <w:sdtEndPr>
              <w:rPr>
                <w:szCs w:val="21"/>
              </w:rPr>
            </w:sdtEndPr>
            <w:sdtContent>
              <w:r>
                <w:rPr>
                  <w:rFonts w:hint="eastAsia"/>
                  <w:szCs w:val="21"/>
                </w:rPr>
                <w:t>31.84</w:t>
              </w:r>
            </w:sdtContent>
          </w:sdt>
          <w:r>
            <w:rPr>
              <w:rFonts w:hint="eastAsia"/>
            </w:rPr>
            <w:t>%。</w:t>
          </w:r>
        </w:p>
        <w:p>
          <w:pPr>
            <w:rPr>
              <w:szCs w:val="21"/>
            </w:rPr>
          </w:pPr>
        </w:p>
      </w:sdtContent>
    </w:sdt>
    <w:sdt>
      <w:sdtPr>
        <w:rPr>
          <w:rFonts w:ascii="宋体" w:hAnsi="宋体" w:cs="宋体"/>
          <w:b w:val="0"/>
          <w:bCs w:val="0"/>
          <w:kern w:val="0"/>
          <w:szCs w:val="21"/>
        </w:rPr>
        <w:alias w:val="模块:费用"/>
        <w:tag w:val="_SEC_775a3421cf05469a8bf0b92a3e954a9d"/>
        <w:id w:val="6772745"/>
        <w:lock w:val="sdtLocked"/>
        <w:placeholder>
          <w:docPart w:val="GBC22222222222222222222222222222"/>
        </w:placeholder>
      </w:sdtPr>
      <w:sdtEndPr>
        <w:rPr>
          <w:rFonts w:ascii="Calibri" w:hAnsi="Calibri" w:cs="Times New Roman"/>
          <w:b w:val="0"/>
          <w:bCs w:val="0"/>
          <w:color w:val="000000" w:themeColor="text1"/>
          <w:kern w:val="2"/>
          <w:szCs w:val="22"/>
        </w:rPr>
      </w:sdtEndPr>
      <w:sdtContent>
        <w:p>
          <w:pPr>
            <w:pStyle w:val="5"/>
            <w:numPr>
              <w:ilvl w:val="0"/>
              <w:numId w:val="10"/>
            </w:numPr>
            <w:tabs>
              <w:tab w:val="left" w:pos="851"/>
            </w:tabs>
            <w:rPr>
              <w:szCs w:val="21"/>
            </w:rPr>
          </w:pPr>
          <w:r>
            <w:rPr>
              <w:rFonts w:hint="eastAsia"/>
              <w:szCs w:val="21"/>
            </w:rPr>
            <w:t>费用</w:t>
          </w:r>
        </w:p>
        <w:sdt>
          <w:sdtPr>
            <w:alias w:val="是否适用：费用[双击切换]"/>
            <w:tag w:val="_GBC_fa9cd5e43a8f426c8b793a737190d8db"/>
            <w:id w:val="677274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Calibri" w:hAnsi="Calibri" w:cs="Times New Roman"/>
              <w:kern w:val="2"/>
              <w:szCs w:val="21"/>
            </w:rPr>
            <w:alias w:val="费用情况说明"/>
            <w:tag w:val="_GBC_02a46af1e8d349d8b753768e17da35a1"/>
            <w:id w:val="6772744"/>
            <w:lock w:val="sdtLocked"/>
            <w:placeholder>
              <w:docPart w:val="GBC22222222222222222222222222222"/>
            </w:placeholder>
          </w:sdtPr>
          <w:sdtEndPr>
            <w:rPr>
              <w:rFonts w:hint="eastAsia" w:ascii="Calibri" w:hAnsi="Calibri" w:cs="Times New Roman"/>
              <w:color w:val="000000" w:themeColor="text1"/>
              <w:kern w:val="2"/>
              <w:szCs w:val="22"/>
            </w:rPr>
          </w:sdtEndPr>
          <w:sdtContent>
            <w:p>
              <w:pPr>
                <w:rPr>
                  <w:szCs w:val="21"/>
                </w:rPr>
              </w:pPr>
            </w:p>
            <w:tbl>
              <w:tblPr>
                <w:tblStyle w:val="83"/>
                <w:tblW w:w="8095" w:type="dxa"/>
                <w:tblInd w:w="93" w:type="dxa"/>
                <w:tblLayout w:type="fixed"/>
                <w:tblCellMar>
                  <w:top w:w="0" w:type="dxa"/>
                  <w:left w:w="108" w:type="dxa"/>
                  <w:bottom w:w="0" w:type="dxa"/>
                  <w:right w:w="108" w:type="dxa"/>
                </w:tblCellMar>
              </w:tblPr>
              <w:tblGrid>
                <w:gridCol w:w="2142"/>
                <w:gridCol w:w="2126"/>
                <w:gridCol w:w="2126"/>
                <w:gridCol w:w="1701"/>
              </w:tblGrid>
              <w:tr>
                <w:tblPrEx>
                  <w:tblLayout w:type="fixed"/>
                  <w:tblCellMar>
                    <w:top w:w="0" w:type="dxa"/>
                    <w:left w:w="108" w:type="dxa"/>
                    <w:bottom w:w="0" w:type="dxa"/>
                    <w:right w:w="108" w:type="dxa"/>
                  </w:tblCellMar>
                </w:tblPrEx>
                <w:trPr>
                  <w:trHeight w:val="270" w:hRule="atLeast"/>
                </w:trPr>
                <w:tc>
                  <w:tcPr>
                    <w:tcW w:w="214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Arial"/>
                        <w:color w:val="000000"/>
                        <w:szCs w:val="21"/>
                      </w:rPr>
                    </w:pPr>
                    <w:r>
                      <w:rPr>
                        <w:rFonts w:hint="eastAsia" w:cs="Arial"/>
                        <w:color w:val="000000"/>
                        <w:szCs w:val="21"/>
                      </w:rPr>
                      <w:t>项目</w:t>
                    </w:r>
                  </w:p>
                </w:tc>
                <w:tc>
                  <w:tcPr>
                    <w:tcW w:w="2126" w:type="dxa"/>
                    <w:tcBorders>
                      <w:top w:val="single" w:color="auto" w:sz="8" w:space="0"/>
                      <w:left w:val="nil"/>
                      <w:bottom w:val="single" w:color="auto" w:sz="8" w:space="0"/>
                      <w:right w:val="single" w:color="auto" w:sz="8" w:space="0"/>
                    </w:tcBorders>
                    <w:shd w:val="clear" w:color="auto" w:fill="auto"/>
                    <w:vAlign w:val="center"/>
                  </w:tcPr>
                  <w:p>
                    <w:pPr>
                      <w:jc w:val="center"/>
                      <w:rPr>
                        <w:rFonts w:cs="Arial"/>
                        <w:color w:val="000000"/>
                        <w:szCs w:val="21"/>
                      </w:rPr>
                    </w:pPr>
                    <w:r>
                      <w:rPr>
                        <w:rFonts w:hint="eastAsia" w:cs="Arial"/>
                        <w:color w:val="000000"/>
                        <w:szCs w:val="21"/>
                      </w:rPr>
                      <w:t>本期金额（元）</w:t>
                    </w:r>
                  </w:p>
                </w:tc>
                <w:tc>
                  <w:tcPr>
                    <w:tcW w:w="2126" w:type="dxa"/>
                    <w:tcBorders>
                      <w:top w:val="single" w:color="auto" w:sz="8" w:space="0"/>
                      <w:left w:val="nil"/>
                      <w:bottom w:val="single" w:color="auto" w:sz="8" w:space="0"/>
                      <w:right w:val="single" w:color="auto" w:sz="8" w:space="0"/>
                    </w:tcBorders>
                    <w:shd w:val="clear" w:color="auto" w:fill="auto"/>
                    <w:vAlign w:val="center"/>
                  </w:tcPr>
                  <w:p>
                    <w:pPr>
                      <w:jc w:val="center"/>
                      <w:rPr>
                        <w:rFonts w:cs="Arial"/>
                        <w:color w:val="000000"/>
                        <w:szCs w:val="21"/>
                      </w:rPr>
                    </w:pPr>
                    <w:r>
                      <w:rPr>
                        <w:rFonts w:hint="eastAsia" w:cs="Arial"/>
                        <w:color w:val="000000"/>
                        <w:szCs w:val="21"/>
                      </w:rPr>
                      <w:t>上期金额（元）</w:t>
                    </w:r>
                  </w:p>
                </w:tc>
                <w:tc>
                  <w:tcPr>
                    <w:tcW w:w="1701" w:type="dxa"/>
                    <w:tcBorders>
                      <w:top w:val="single" w:color="auto" w:sz="8" w:space="0"/>
                      <w:left w:val="nil"/>
                      <w:bottom w:val="single" w:color="auto" w:sz="8" w:space="0"/>
                      <w:right w:val="single" w:color="auto" w:sz="8" w:space="0"/>
                    </w:tcBorders>
                    <w:shd w:val="clear" w:color="auto" w:fill="auto"/>
                    <w:vAlign w:val="center"/>
                  </w:tcPr>
                  <w:p>
                    <w:pPr>
                      <w:jc w:val="center"/>
                      <w:rPr>
                        <w:rFonts w:cs="Arial"/>
                        <w:color w:val="000000"/>
                        <w:szCs w:val="21"/>
                      </w:rPr>
                    </w:pPr>
                    <w:r>
                      <w:rPr>
                        <w:rFonts w:hint="eastAsia" w:cs="Arial"/>
                        <w:color w:val="000000"/>
                        <w:szCs w:val="21"/>
                      </w:rPr>
                      <w:t>变动比例（%）</w:t>
                    </w:r>
                  </w:p>
                </w:tc>
              </w:tr>
              <w:tr>
                <w:tblPrEx>
                  <w:tblLayout w:type="fixed"/>
                  <w:tblCellMar>
                    <w:top w:w="0" w:type="dxa"/>
                    <w:left w:w="108" w:type="dxa"/>
                    <w:bottom w:w="0" w:type="dxa"/>
                    <w:right w:w="108" w:type="dxa"/>
                  </w:tblCellMar>
                </w:tblPrEx>
                <w:trPr>
                  <w:trHeight w:val="270" w:hRule="atLeast"/>
                </w:trPr>
                <w:tc>
                  <w:tcPr>
                    <w:tcW w:w="2142"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szCs w:val="21"/>
                      </w:rPr>
                    </w:pPr>
                    <w:r>
                      <w:rPr>
                        <w:rFonts w:hint="eastAsia" w:cs="Arial"/>
                        <w:color w:val="000000"/>
                        <w:szCs w:val="21"/>
                      </w:rPr>
                      <w:t>税金及附加</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170,863,230.89</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126,627,350.11</w:t>
                    </w:r>
                  </w:p>
                </w:tc>
                <w:tc>
                  <w:tcPr>
                    <w:tcW w:w="1701"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34.93%</w:t>
                    </w:r>
                  </w:p>
                </w:tc>
              </w:tr>
              <w:tr>
                <w:tblPrEx>
                  <w:tblLayout w:type="fixed"/>
                  <w:tblCellMar>
                    <w:top w:w="0" w:type="dxa"/>
                    <w:left w:w="108" w:type="dxa"/>
                    <w:bottom w:w="0" w:type="dxa"/>
                    <w:right w:w="108" w:type="dxa"/>
                  </w:tblCellMar>
                </w:tblPrEx>
                <w:trPr>
                  <w:trHeight w:val="270" w:hRule="atLeast"/>
                </w:trPr>
                <w:tc>
                  <w:tcPr>
                    <w:tcW w:w="2142"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szCs w:val="21"/>
                      </w:rPr>
                    </w:pPr>
                    <w:r>
                      <w:rPr>
                        <w:rFonts w:hint="eastAsia" w:cs="Arial"/>
                        <w:color w:val="000000"/>
                        <w:szCs w:val="21"/>
                      </w:rPr>
                      <w:t>销售费用</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43,146,653.01</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40,995,602.72</w:t>
                    </w:r>
                  </w:p>
                </w:tc>
                <w:tc>
                  <w:tcPr>
                    <w:tcW w:w="1701"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5.25%</w:t>
                    </w:r>
                  </w:p>
                </w:tc>
              </w:tr>
              <w:tr>
                <w:tblPrEx>
                  <w:tblLayout w:type="fixed"/>
                  <w:tblCellMar>
                    <w:top w:w="0" w:type="dxa"/>
                    <w:left w:w="108" w:type="dxa"/>
                    <w:bottom w:w="0" w:type="dxa"/>
                    <w:right w:w="108" w:type="dxa"/>
                  </w:tblCellMar>
                </w:tblPrEx>
                <w:trPr>
                  <w:trHeight w:val="270" w:hRule="atLeast"/>
                </w:trPr>
                <w:tc>
                  <w:tcPr>
                    <w:tcW w:w="2142"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szCs w:val="21"/>
                      </w:rPr>
                    </w:pPr>
                    <w:r>
                      <w:rPr>
                        <w:rFonts w:hint="eastAsia" w:cs="Arial"/>
                        <w:color w:val="000000"/>
                        <w:szCs w:val="21"/>
                      </w:rPr>
                      <w:t>管理费用</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405,066,845.23</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350,388,759.46</w:t>
                    </w:r>
                  </w:p>
                </w:tc>
                <w:tc>
                  <w:tcPr>
                    <w:tcW w:w="1701"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15.60%</w:t>
                    </w:r>
                  </w:p>
                </w:tc>
              </w:tr>
              <w:tr>
                <w:tblPrEx>
                  <w:tblLayout w:type="fixed"/>
                  <w:tblCellMar>
                    <w:top w:w="0" w:type="dxa"/>
                    <w:left w:w="108" w:type="dxa"/>
                    <w:bottom w:w="0" w:type="dxa"/>
                    <w:right w:w="108" w:type="dxa"/>
                  </w:tblCellMar>
                </w:tblPrEx>
                <w:trPr>
                  <w:trHeight w:val="270" w:hRule="atLeast"/>
                </w:trPr>
                <w:tc>
                  <w:tcPr>
                    <w:tcW w:w="2142"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szCs w:val="21"/>
                      </w:rPr>
                    </w:pPr>
                    <w:r>
                      <w:rPr>
                        <w:rFonts w:hint="eastAsia" w:cs="Arial"/>
                        <w:color w:val="000000"/>
                        <w:szCs w:val="21"/>
                      </w:rPr>
                      <w:t>财务费用</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119,797,663.72</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642,074,245.15</w:t>
                    </w:r>
                  </w:p>
                </w:tc>
                <w:tc>
                  <w:tcPr>
                    <w:tcW w:w="1701"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-81.34%</w:t>
                    </w:r>
                  </w:p>
                </w:tc>
              </w:tr>
              <w:tr>
                <w:tblPrEx>
                  <w:tblLayout w:type="fixed"/>
                  <w:tblCellMar>
                    <w:top w:w="0" w:type="dxa"/>
                    <w:left w:w="108" w:type="dxa"/>
                    <w:bottom w:w="0" w:type="dxa"/>
                    <w:right w:w="108" w:type="dxa"/>
                  </w:tblCellMar>
                </w:tblPrEx>
                <w:trPr>
                  <w:trHeight w:val="270" w:hRule="atLeast"/>
                </w:trPr>
                <w:tc>
                  <w:tcPr>
                    <w:tcW w:w="2142"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szCs w:val="21"/>
                      </w:rPr>
                    </w:pPr>
                    <w:r>
                      <w:rPr>
                        <w:rFonts w:hint="eastAsia" w:cs="Arial"/>
                        <w:color w:val="000000"/>
                        <w:szCs w:val="21"/>
                      </w:rPr>
                      <w:t>所得税费用</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389,732,629.82</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25,928,515.36</w:t>
                    </w:r>
                  </w:p>
                </w:tc>
                <w:tc>
                  <w:tcPr>
                    <w:tcW w:w="1701"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1403.10</w:t>
                    </w:r>
                  </w:p>
                </w:tc>
              </w:tr>
            </w:tbl>
            <w:p>
              <w:pPr>
                <w:pStyle w:val="53"/>
                <w:numPr>
                  <w:ilvl w:val="0"/>
                  <w:numId w:val="12"/>
                </w:numPr>
                <w:ind w:left="0" w:firstLine="0" w:firstLineChars="0"/>
                <w:rPr>
                  <w:szCs w:val="21"/>
                </w:rPr>
              </w:pPr>
              <w:r>
                <w:rPr>
                  <w:rFonts w:hint="eastAsia"/>
                  <w:szCs w:val="21"/>
                </w:rPr>
                <w:t>税金及附加：税金及附加同比增加34.93%，主要是本报告期营业收入同比增长55.93％，相应的税费也增加。</w:t>
              </w:r>
            </w:p>
            <w:p>
              <w:pPr>
                <w:pStyle w:val="53"/>
                <w:numPr>
                  <w:ilvl w:val="0"/>
                  <w:numId w:val="12"/>
                </w:numPr>
                <w:ind w:left="0" w:firstLine="0" w:firstLineChars="0"/>
                <w:rPr>
                  <w:color w:val="000000" w:themeColor="text1"/>
                  <w:szCs w:val="21"/>
                </w:rPr>
              </w:pPr>
              <w:r>
                <w:rPr>
                  <w:rFonts w:hint="eastAsia"/>
                  <w:szCs w:val="21"/>
                </w:rPr>
                <w:t>财务费用：财务费用同比减少81.34%，主要是本报告期汇兑净收益2.16亿元，上年同期为汇兑净损失2.04亿元</w:t>
              </w:r>
              <w:r>
                <w:rPr>
                  <w:rFonts w:hint="eastAsia"/>
                  <w:szCs w:val="21"/>
                  <w:lang w:eastAsia="zh-CN"/>
                </w:rPr>
                <w:t>，</w:t>
              </w:r>
              <w:r>
                <w:rPr>
                  <w:rFonts w:hint="eastAsia"/>
                  <w:color w:val="000000" w:themeColor="text1"/>
                  <w:szCs w:val="21"/>
                </w:rPr>
                <w:t>利息支出同比减少1.01亿元。</w:t>
              </w:r>
            </w:p>
            <w:p>
              <w:pPr>
                <w:pStyle w:val="53"/>
                <w:numPr>
                  <w:ilvl w:val="0"/>
                  <w:numId w:val="12"/>
                </w:numPr>
                <w:ind w:left="0" w:firstLine="0" w:firstLineChars="0"/>
                <w:rPr>
                  <w:color w:val="000000" w:themeColor="text1"/>
                  <w:szCs w:val="21"/>
                </w:rPr>
              </w:pPr>
              <w:r>
                <w:rPr>
                  <w:rFonts w:hint="eastAsia"/>
                  <w:color w:val="000000" w:themeColor="text1"/>
                  <w:szCs w:val="21"/>
                </w:rPr>
                <w:t>所得税费用：所得税费用同比增加1403.1%，主要是本报告期公司盈利大幅增加，利润总额30.36亿元，同比增长1265.27%。</w:t>
              </w:r>
            </w:p>
          </w:sdtContent>
        </w:sdt>
      </w:sdtContent>
    </w:sdt>
    <w:p>
      <w:pPr>
        <w:rPr>
          <w:szCs w:val="21"/>
        </w:rPr>
      </w:pPr>
    </w:p>
    <w:p>
      <w:pPr>
        <w:pStyle w:val="5"/>
        <w:numPr>
          <w:ilvl w:val="0"/>
          <w:numId w:val="10"/>
        </w:numPr>
        <w:tabs>
          <w:tab w:val="left" w:pos="851"/>
        </w:tabs>
        <w:rPr>
          <w:szCs w:val="21"/>
        </w:rPr>
      </w:pPr>
      <w:r>
        <w:rPr>
          <w:rFonts w:hint="eastAsia"/>
          <w:szCs w:val="21"/>
        </w:rPr>
        <w:t>研发投入</w:t>
      </w:r>
    </w:p>
    <w:sdt>
      <w:sdtPr>
        <w:rPr>
          <w:rStyle w:val="46"/>
          <w:szCs w:val="21"/>
        </w:rPr>
        <w:alias w:val="模块:研发投入情况表"/>
        <w:tag w:val="_SEC_7d98484d3b0a438487e1af19f740dceb"/>
        <w:id w:val="6772755"/>
        <w:lock w:val="sdtLocked"/>
        <w:placeholder>
          <w:docPart w:val="GBC22222222222222222222222222222"/>
        </w:placeholder>
      </w:sdtPr>
      <w:sdtEndPr>
        <w:rPr>
          <w:rStyle w:val="36"/>
          <w:rFonts w:hint="eastAsia"/>
          <w:b w:val="0"/>
          <w:bCs w:val="0"/>
          <w:kern w:val="0"/>
          <w:szCs w:val="24"/>
        </w:rPr>
      </w:sdtEndPr>
      <w:sdtContent>
        <w:p>
          <w:pPr>
            <w:spacing w:before="60" w:after="60"/>
            <w:rPr>
              <w:rStyle w:val="46"/>
              <w:szCs w:val="21"/>
            </w:rPr>
          </w:pPr>
          <w:r>
            <w:rPr>
              <w:rStyle w:val="46"/>
              <w:szCs w:val="21"/>
            </w:rPr>
            <w:t>研发</w:t>
          </w:r>
          <w:r>
            <w:rPr>
              <w:rStyle w:val="46"/>
              <w:rFonts w:hint="eastAsia"/>
              <w:szCs w:val="21"/>
            </w:rPr>
            <w:t>投入</w:t>
          </w:r>
          <w:r>
            <w:rPr>
              <w:rStyle w:val="46"/>
              <w:szCs w:val="21"/>
            </w:rPr>
            <w:t>情况表</w:t>
          </w:r>
        </w:p>
        <w:sdt>
          <w:sdtPr>
            <w:rPr>
              <w:rStyle w:val="46"/>
              <w:rFonts w:hint="eastAsia"/>
              <w:b w:val="0"/>
              <w:szCs w:val="21"/>
            </w:rPr>
            <w:alias w:val="是否适用：研发投入情况表[双击切换]"/>
            <w:tag w:val="_GBC_b745f9cad6de412690fcb0f363f3eadb"/>
            <w:id w:val="6772746"/>
            <w:lock w:val="sdtContentLocked"/>
            <w:placeholder>
              <w:docPart w:val="GBC22222222222222222222222222222"/>
            </w:placeholder>
          </w:sdtPr>
          <w:sdtEndPr>
            <w:rPr>
              <w:rStyle w:val="46"/>
              <w:rFonts w:hint="eastAsia"/>
              <w:b w:val="0"/>
              <w:szCs w:val="21"/>
            </w:rPr>
          </w:sdtEndPr>
          <w:sdtContent>
            <w:p>
              <w:pPr>
                <w:rPr>
                  <w:rStyle w:val="46"/>
                  <w:b w:val="0"/>
                  <w:szCs w:val="21"/>
                </w:rPr>
              </w:pPr>
              <w:r>
                <w:rPr>
                  <w:rStyle w:val="46"/>
                  <w:b w:val="0"/>
                  <w:szCs w:val="21"/>
                </w:rPr>
                <w:fldChar w:fldCharType="begin"/>
              </w:r>
              <w:r>
                <w:rPr>
                  <w:rStyle w:val="46"/>
                  <w:b w:val="0"/>
                  <w:szCs w:val="21"/>
                </w:rPr>
                <w:instrText xml:space="preserve"> MACROBUTTON  SnrToggleCheckbox √适用  </w:instrText>
              </w:r>
              <w:r>
                <w:rPr>
                  <w:rStyle w:val="46"/>
                  <w:b w:val="0"/>
                  <w:szCs w:val="21"/>
                </w:rPr>
                <w:fldChar w:fldCharType="end"/>
              </w:r>
              <w:r>
                <w:rPr>
                  <w:rStyle w:val="46"/>
                  <w:b w:val="0"/>
                  <w:szCs w:val="21"/>
                </w:rPr>
                <w:fldChar w:fldCharType="begin"/>
              </w:r>
              <w:r>
                <w:rPr>
                  <w:rStyle w:val="46"/>
                  <w:b w:val="0"/>
                  <w:szCs w:val="21"/>
                </w:rPr>
                <w:instrText xml:space="preserve"> MACROBUTTON  SnrToggleCheckbox □不适用 </w:instrText>
              </w:r>
              <w:r>
                <w:rPr>
                  <w:rStyle w:val="46"/>
                  <w:b w:val="0"/>
                  <w:szCs w:val="21"/>
                </w:rPr>
                <w:fldChar w:fldCharType="end"/>
              </w:r>
            </w:p>
          </w:sdtContent>
        </w:sdt>
        <w:p>
          <w:pPr>
            <w:jc w:val="right"/>
            <w:rPr>
              <w:rStyle w:val="46"/>
              <w:b w:val="0"/>
              <w:szCs w:val="21"/>
            </w:rPr>
          </w:pPr>
          <w:r>
            <w:rPr>
              <w:rFonts w:hint="eastAsia"/>
              <w:szCs w:val="21"/>
            </w:rPr>
            <w:t>单位：</w:t>
          </w:r>
          <w:sdt>
            <w:sdtPr>
              <w:rPr>
                <w:rFonts w:hint="eastAsia"/>
                <w:szCs w:val="21"/>
              </w:rPr>
              <w:alias w:val="单位：研发支出"/>
              <w:tag w:val="_GBC_74cd81424a3c41dd9b3b9f335eae8c21"/>
              <w:id w:val="677274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p>
        <w:tbl>
          <w:tblPr>
            <w:tblStyle w:val="8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5"/>
            <w:gridCol w:w="5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34e4faf6ae244cfbac1fd41757cfe96b"/>
                <w:id w:val="6772748"/>
                <w:lock w:val="sdtLocked"/>
              </w:sdtPr>
              <w:sdtContent>
                <w:tc>
                  <w:tcPr>
                    <w:tcW w:w="3795" w:type="dxa"/>
                  </w:tcPr>
                  <w:p>
                    <w:pPr>
                      <w:widowControl w:val="0"/>
                      <w:jc w:val="both"/>
                      <w:rPr>
                        <w:rStyle w:val="46"/>
                        <w:b w:val="0"/>
                        <w:bCs w:val="0"/>
                        <w:szCs w:val="21"/>
                      </w:rPr>
                    </w:pPr>
                    <w:r>
                      <w:rPr>
                        <w:szCs w:val="21"/>
                      </w:rPr>
                      <w:t>本期费用化研发</w:t>
                    </w:r>
                    <w:r>
                      <w:rPr>
                        <w:rFonts w:hint="eastAsia"/>
                        <w:szCs w:val="21"/>
                      </w:rPr>
                      <w:t>投入</w:t>
                    </w:r>
                  </w:p>
                </w:tc>
              </w:sdtContent>
            </w:sdt>
            <w:tc>
              <w:tcPr>
                <w:tcW w:w="5254" w:type="dxa"/>
              </w:tcPr>
              <w:p>
                <w:pPr>
                  <w:widowControl w:val="0"/>
                  <w:jc w:val="right"/>
                  <w:rPr>
                    <w:rStyle w:val="46"/>
                    <w:b w:val="0"/>
                    <w:szCs w:val="21"/>
                  </w:rPr>
                </w:pPr>
                <w:r>
                  <w:t>50,786,695.98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sdt>
              <w:sdtPr>
                <w:tag w:val="_PLD_20c161beca374b52aa10a0ce52fc5c8f"/>
                <w:id w:val="6772749"/>
                <w:lock w:val="sdtLocked"/>
              </w:sdtPr>
              <w:sdtContent>
                <w:tc>
                  <w:tcPr>
                    <w:tcW w:w="3795" w:type="dxa"/>
                  </w:tcPr>
                  <w:p>
                    <w:pPr>
                      <w:widowControl w:val="0"/>
                      <w:jc w:val="both"/>
                      <w:rPr>
                        <w:rStyle w:val="46"/>
                        <w:szCs w:val="21"/>
                      </w:rPr>
                    </w:pPr>
                    <w:r>
                      <w:rPr>
                        <w:szCs w:val="21"/>
                      </w:rPr>
                      <w:t>本期资本化研发</w:t>
                    </w:r>
                    <w:r>
                      <w:rPr>
                        <w:rFonts w:hint="eastAsia"/>
                        <w:szCs w:val="21"/>
                      </w:rPr>
                      <w:t>投入</w:t>
                    </w:r>
                  </w:p>
                </w:tc>
              </w:sdtContent>
            </w:sdt>
            <w:tc>
              <w:tcPr>
                <w:tcW w:w="5254" w:type="dxa"/>
              </w:tcPr>
              <w:p>
                <w:pPr>
                  <w:widowControl w:val="0"/>
                  <w:jc w:val="right"/>
                  <w:rPr>
                    <w:rStyle w:val="46"/>
                    <w:b w:val="0"/>
                    <w:szCs w:val="21"/>
                  </w:rPr>
                </w:pPr>
                <w:r>
                  <w:rPr>
                    <w:rStyle w:val="46"/>
                    <w:rFonts w:hint="eastAsia"/>
                    <w:b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sdt>
              <w:sdtPr>
                <w:tag w:val="_PLD_21956088f1024a23941f7c544fb04a97"/>
                <w:id w:val="6772750"/>
                <w:lock w:val="sdtLocked"/>
              </w:sdtPr>
              <w:sdtContent>
                <w:tc>
                  <w:tcPr>
                    <w:tcW w:w="3795" w:type="dxa"/>
                  </w:tcPr>
                  <w:p>
                    <w:pPr>
                      <w:widowControl w:val="0"/>
                      <w:jc w:val="both"/>
                      <w:rPr>
                        <w:rStyle w:val="46"/>
                        <w:szCs w:val="21"/>
                      </w:rPr>
                    </w:pPr>
                    <w:r>
                      <w:rPr>
                        <w:szCs w:val="21"/>
                      </w:rPr>
                      <w:t>研发</w:t>
                    </w:r>
                    <w:r>
                      <w:rPr>
                        <w:rFonts w:hint="eastAsia"/>
                        <w:szCs w:val="21"/>
                      </w:rPr>
                      <w:t>投入</w:t>
                    </w:r>
                    <w:r>
                      <w:rPr>
                        <w:szCs w:val="21"/>
                      </w:rPr>
                      <w:t>合计</w:t>
                    </w:r>
                  </w:p>
                </w:tc>
              </w:sdtContent>
            </w:sdt>
            <w:tc>
              <w:tcPr>
                <w:tcW w:w="5254" w:type="dxa"/>
              </w:tcPr>
              <w:p>
                <w:pPr>
                  <w:widowControl w:val="0"/>
                  <w:jc w:val="right"/>
                  <w:rPr>
                    <w:rStyle w:val="46"/>
                    <w:b w:val="0"/>
                    <w:szCs w:val="21"/>
                  </w:rPr>
                </w:pPr>
                <w:r>
                  <w:t>50,786,695.98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ab1307558a044f3da8f8f6293608de34"/>
                <w:id w:val="6772751"/>
                <w:lock w:val="sdtLocked"/>
              </w:sdtPr>
              <w:sdtContent>
                <w:tc>
                  <w:tcPr>
                    <w:tcW w:w="3795" w:type="dxa"/>
                  </w:tcPr>
                  <w:p>
                    <w:pPr>
                      <w:widowControl w:val="0"/>
                      <w:jc w:val="both"/>
                      <w:rPr>
                        <w:rStyle w:val="46"/>
                        <w:szCs w:val="21"/>
                      </w:rPr>
                    </w:pPr>
                    <w:r>
                      <w:rPr>
                        <w:szCs w:val="21"/>
                      </w:rPr>
                      <w:t>研发</w:t>
                    </w:r>
                    <w:r>
                      <w:rPr>
                        <w:rFonts w:hint="eastAsia"/>
                        <w:szCs w:val="21"/>
                      </w:rPr>
                      <w:t>投入</w:t>
                    </w:r>
                    <w:r>
                      <w:rPr>
                        <w:szCs w:val="21"/>
                      </w:rPr>
                      <w:t>总额占营业收入比例（%）</w:t>
                    </w:r>
                  </w:p>
                </w:tc>
              </w:sdtContent>
            </w:sdt>
            <w:tc>
              <w:tcPr>
                <w:tcW w:w="5254" w:type="dxa"/>
              </w:tcPr>
              <w:p>
                <w:pPr>
                  <w:widowControl w:val="0"/>
                  <w:jc w:val="right"/>
                  <w:rPr>
                    <w:rStyle w:val="46"/>
                    <w:b w:val="0"/>
                    <w:szCs w:val="21"/>
                  </w:rPr>
                </w:pPr>
                <w:r>
                  <w:rPr>
                    <w:rStyle w:val="46"/>
                    <w:rFonts w:hint="eastAsia"/>
                    <w:b w:val="0"/>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9d5b8f279cbc486bb9e16dffa6265806"/>
                <w:id w:val="6772752"/>
                <w:lock w:val="sdtLocked"/>
              </w:sdtPr>
              <w:sdtContent>
                <w:tc>
                  <w:tcPr>
                    <w:tcW w:w="3795" w:type="dxa"/>
                  </w:tcPr>
                  <w:p>
                    <w:pPr>
                      <w:widowControl w:val="0"/>
                      <w:jc w:val="both"/>
                      <w:rPr>
                        <w:szCs w:val="21"/>
                      </w:rPr>
                    </w:pPr>
                    <w:r>
                      <w:rPr>
                        <w:rFonts w:hint="eastAsia"/>
                        <w:szCs w:val="21"/>
                      </w:rPr>
                      <w:t>公司研发人员的数量</w:t>
                    </w:r>
                  </w:p>
                </w:tc>
              </w:sdtContent>
            </w:sdt>
            <w:tc>
              <w:tcPr>
                <w:tcW w:w="5254" w:type="dxa"/>
              </w:tcPr>
              <w:p>
                <w:pPr>
                  <w:widowControl w:val="0"/>
                  <w:jc w:val="right"/>
                  <w:rPr>
                    <w:szCs w:val="21"/>
                  </w:rPr>
                </w:pPr>
                <w: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b735cb0c54ab415b945634a8f0a92a81"/>
                <w:id w:val="6772753"/>
                <w:lock w:val="sdtLocked"/>
              </w:sdtPr>
              <w:sdtContent>
                <w:tc>
                  <w:tcPr>
                    <w:tcW w:w="3795" w:type="dxa"/>
                  </w:tcPr>
                  <w:p>
                    <w:pPr>
                      <w:widowControl w:val="0"/>
                      <w:jc w:val="both"/>
                      <w:rPr>
                        <w:szCs w:val="21"/>
                      </w:rPr>
                    </w:pPr>
                    <w:r>
                      <w:rPr>
                        <w:rFonts w:hint="eastAsia"/>
                        <w:szCs w:val="21"/>
                      </w:rPr>
                      <w:t>研发人员数量占公司总人数的比例</w:t>
                    </w:r>
                    <w:r>
                      <w:rPr>
                        <w:szCs w:val="21"/>
                      </w:rPr>
                      <w:t>（%）</w:t>
                    </w:r>
                  </w:p>
                </w:tc>
              </w:sdtContent>
            </w:sdt>
            <w:tc>
              <w:tcPr>
                <w:tcW w:w="5254" w:type="dxa"/>
              </w:tcPr>
              <w:p>
                <w:pPr>
                  <w:widowControl w:val="0"/>
                  <w:jc w:val="right"/>
                  <w:rPr>
                    <w:szCs w:val="21"/>
                  </w:rPr>
                </w:pPr>
                <w: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0d2db39633024627a1ba32892a5b2e60"/>
                <w:id w:val="6772754"/>
                <w:lock w:val="sdtLocked"/>
              </w:sdtPr>
              <w:sdtContent>
                <w:tc>
                  <w:tcPr>
                    <w:tcW w:w="3795" w:type="dxa"/>
                  </w:tcPr>
                  <w:p>
                    <w:pPr>
                      <w:widowControl w:val="0"/>
                      <w:jc w:val="both"/>
                      <w:rPr>
                        <w:szCs w:val="21"/>
                      </w:rPr>
                    </w:pPr>
                    <w:r>
                      <w:rPr>
                        <w:rFonts w:hint="eastAsia"/>
                        <w:szCs w:val="21"/>
                      </w:rPr>
                      <w:t>研发投入资本化的比重</w:t>
                    </w:r>
                    <w:r>
                      <w:rPr>
                        <w:szCs w:val="21"/>
                      </w:rPr>
                      <w:t>（%）</w:t>
                    </w:r>
                  </w:p>
                </w:tc>
              </w:sdtContent>
            </w:sdt>
            <w:tc>
              <w:tcPr>
                <w:tcW w:w="5254" w:type="dxa"/>
              </w:tcPr>
              <w:p>
                <w:pPr>
                  <w:widowControl w:val="0"/>
                  <w:jc w:val="right"/>
                  <w:rPr>
                    <w:szCs w:val="21"/>
                  </w:rPr>
                </w:pPr>
                <w:r>
                  <w:rPr>
                    <w:rFonts w:hint="eastAsia"/>
                    <w:szCs w:val="21"/>
                  </w:rPr>
                  <w:t>/</w:t>
                </w:r>
              </w:p>
            </w:tc>
          </w:tr>
        </w:tbl>
        <w:p/>
      </w:sdtContent>
    </w:sdt>
    <w:sdt>
      <w:sdtPr>
        <w:rPr>
          <w:rStyle w:val="46"/>
          <w:szCs w:val="21"/>
        </w:rPr>
        <w:alias w:val="模块:情况说明"/>
        <w:tag w:val="_SEC_0004b40963e14f23a54c541fda51ba2e"/>
        <w:id w:val="6772757"/>
        <w:lock w:val="sdtLocked"/>
        <w:placeholder>
          <w:docPart w:val="GBC22222222222222222222222222222"/>
        </w:placeholder>
      </w:sdtPr>
      <w:sdtEndPr>
        <w:rPr>
          <w:rStyle w:val="46"/>
          <w:rFonts w:hint="eastAsia"/>
          <w:b w:val="0"/>
          <w:szCs w:val="21"/>
        </w:rPr>
      </w:sdtEndPr>
      <w:sdtContent>
        <w:p>
          <w:pPr>
            <w:spacing w:before="60" w:after="60"/>
            <w:rPr>
              <w:rStyle w:val="46"/>
              <w:szCs w:val="21"/>
            </w:rPr>
          </w:pPr>
          <w:r>
            <w:rPr>
              <w:rStyle w:val="46"/>
              <w:szCs w:val="21"/>
            </w:rPr>
            <w:t>情况说明</w:t>
          </w:r>
        </w:p>
        <w:sdt>
          <w:sdtPr>
            <w:rPr>
              <w:rStyle w:val="46"/>
              <w:b w:val="0"/>
              <w:szCs w:val="21"/>
            </w:rPr>
            <w:alias w:val="是否适用：研发支出情况说明[双击切换]"/>
            <w:tag w:val="_GBC_b983f5c63407411d82434ca6547deae8"/>
            <w:id w:val="6772756"/>
            <w:lock w:val="sdtContentLocked"/>
            <w:placeholder>
              <w:docPart w:val="GBC22222222222222222222222222222"/>
            </w:placeholder>
          </w:sdtPr>
          <w:sdtEndPr>
            <w:rPr>
              <w:rStyle w:val="46"/>
              <w:b w:val="0"/>
              <w:szCs w:val="21"/>
            </w:rPr>
          </w:sdtEndPr>
          <w:sdtContent>
            <w:p>
              <w:pPr>
                <w:spacing w:before="60" w:after="60"/>
                <w:rPr>
                  <w:rStyle w:val="46"/>
                  <w:szCs w:val="21"/>
                </w:rPr>
              </w:pPr>
              <w:r>
                <w:rPr>
                  <w:rStyle w:val="46"/>
                  <w:b w:val="0"/>
                  <w:szCs w:val="21"/>
                </w:rPr>
                <w:fldChar w:fldCharType="begin"/>
              </w:r>
              <w:r>
                <w:rPr>
                  <w:rStyle w:val="46"/>
                  <w:b w:val="0"/>
                  <w:szCs w:val="21"/>
                </w:rPr>
                <w:instrText xml:space="preserve">MACROBUTTON  SnrToggleCheckbox □适用 </w:instrText>
              </w:r>
              <w:r>
                <w:rPr>
                  <w:rStyle w:val="46"/>
                  <w:b w:val="0"/>
                  <w:szCs w:val="21"/>
                </w:rPr>
                <w:fldChar w:fldCharType="end"/>
              </w:r>
              <w:r>
                <w:rPr>
                  <w:rStyle w:val="46"/>
                  <w:b w:val="0"/>
                  <w:szCs w:val="21"/>
                </w:rPr>
                <w:fldChar w:fldCharType="begin"/>
              </w:r>
              <w:r>
                <w:rPr>
                  <w:rStyle w:val="46"/>
                  <w:b w:val="0"/>
                  <w:szCs w:val="21"/>
                </w:rPr>
                <w:instrText xml:space="preserve"> MACROBUTTON  SnrToggleCheckbox √不适用 </w:instrText>
              </w:r>
              <w:r>
                <w:rPr>
                  <w:rStyle w:val="46"/>
                  <w:b w:val="0"/>
                  <w:szCs w:val="21"/>
                </w:rPr>
                <w:fldChar w:fldCharType="end"/>
              </w:r>
            </w:p>
          </w:sdtContent>
        </w:sdt>
      </w:sdtContent>
    </w:sdt>
    <w:p>
      <w:pPr>
        <w:rPr>
          <w:szCs w:val="21"/>
        </w:rPr>
      </w:pPr>
    </w:p>
    <w:sdt>
      <w:sdtPr>
        <w:rPr>
          <w:rFonts w:hint="eastAsia" w:ascii="宋体" w:hAnsi="宋体" w:cs="宋体"/>
          <w:b w:val="0"/>
          <w:bCs w:val="0"/>
          <w:kern w:val="0"/>
          <w:szCs w:val="21"/>
        </w:rPr>
        <w:alias w:val="模块:现金流"/>
        <w:tag w:val="_SEC_686d1eb4c39f48b6b19ee846f1749d81"/>
        <w:id w:val="6772760"/>
        <w:lock w:val="sdtLocked"/>
        <w:placeholder>
          <w:docPart w:val="GBC22222222222222222222222222222"/>
        </w:placeholder>
      </w:sdtPr>
      <w:sdtEndPr>
        <w:rPr>
          <w:rFonts w:hint="default" w:ascii="Calibri" w:hAnsi="Calibri" w:cs="Times New Roman"/>
          <w:b w:val="0"/>
          <w:bCs w:val="0"/>
          <w:color w:val="000000" w:themeColor="text1"/>
          <w:kern w:val="2"/>
          <w:szCs w:val="22"/>
        </w:rPr>
      </w:sdtEndPr>
      <w:sdtContent>
        <w:p>
          <w:pPr>
            <w:pStyle w:val="5"/>
            <w:numPr>
              <w:ilvl w:val="0"/>
              <w:numId w:val="10"/>
            </w:numPr>
            <w:tabs>
              <w:tab w:val="left" w:pos="851"/>
            </w:tabs>
            <w:rPr>
              <w:color w:val="FF0000"/>
              <w:szCs w:val="21"/>
            </w:rPr>
          </w:pPr>
          <w:r>
            <w:rPr>
              <w:rFonts w:hint="eastAsia"/>
              <w:color w:val="FF0000"/>
              <w:szCs w:val="21"/>
            </w:rPr>
            <w:t>现金流</w:t>
          </w:r>
        </w:p>
        <w:sdt>
          <w:sdtPr>
            <w:alias w:val="是否适用：现金流[双击切换]"/>
            <w:tag w:val="_GBC_3340f2fc4f854cc1882e18412cf992f6"/>
            <w:id w:val="677275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Calibri" w:hAnsi="Calibri" w:cs="Times New Roman"/>
              <w:kern w:val="2"/>
              <w:szCs w:val="21"/>
            </w:rPr>
            <w:alias w:val="现金流的影响分析"/>
            <w:tag w:val="_GBC_586311c345aa4f48bab3f8f8d5347f93"/>
            <w:id w:val="6772759"/>
            <w:lock w:val="sdtLocked"/>
            <w:placeholder>
              <w:docPart w:val="GBC22222222222222222222222222222"/>
            </w:placeholder>
          </w:sdtPr>
          <w:sdtEndPr>
            <w:rPr>
              <w:rFonts w:hint="eastAsia" w:ascii="Calibri" w:hAnsi="Calibri" w:cs="Times New Roman"/>
              <w:color w:val="000000" w:themeColor="text1"/>
              <w:kern w:val="2"/>
              <w:szCs w:val="22"/>
            </w:rPr>
          </w:sdtEndPr>
          <w:sdtContent>
            <w:p>
              <w:pPr>
                <w:rPr>
                  <w:szCs w:val="21"/>
                </w:rPr>
              </w:pPr>
            </w:p>
            <w:tbl>
              <w:tblPr>
                <w:tblStyle w:val="83"/>
                <w:tblW w:w="8956" w:type="dxa"/>
                <w:tblInd w:w="93" w:type="dxa"/>
                <w:tblLayout w:type="fixed"/>
                <w:tblCellMar>
                  <w:top w:w="0" w:type="dxa"/>
                  <w:left w:w="108" w:type="dxa"/>
                  <w:bottom w:w="0" w:type="dxa"/>
                  <w:right w:w="108" w:type="dxa"/>
                </w:tblCellMar>
              </w:tblPr>
              <w:tblGrid>
                <w:gridCol w:w="3134"/>
                <w:gridCol w:w="2110"/>
                <w:gridCol w:w="2001"/>
                <w:gridCol w:w="1711"/>
              </w:tblGrid>
              <w:tr>
                <w:tblPrEx>
                  <w:tblLayout w:type="fixed"/>
                  <w:tblCellMar>
                    <w:top w:w="0" w:type="dxa"/>
                    <w:left w:w="108" w:type="dxa"/>
                    <w:bottom w:w="0" w:type="dxa"/>
                    <w:right w:w="108" w:type="dxa"/>
                  </w:tblCellMar>
                </w:tblPrEx>
                <w:trPr>
                  <w:trHeight w:val="270" w:hRule="atLeast"/>
                </w:trPr>
                <w:tc>
                  <w:tcPr>
                    <w:tcW w:w="3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Arial"/>
                        <w:color w:val="000000"/>
                        <w:szCs w:val="21"/>
                      </w:rPr>
                    </w:pPr>
                    <w:r>
                      <w:rPr>
                        <w:rFonts w:hint="eastAsia" w:cs="Arial"/>
                        <w:color w:val="000000"/>
                        <w:szCs w:val="21"/>
                      </w:rPr>
                      <w:t>项目</w:t>
                    </w:r>
                  </w:p>
                </w:tc>
                <w:tc>
                  <w:tcPr>
                    <w:tcW w:w="2110" w:type="dxa"/>
                    <w:tcBorders>
                      <w:top w:val="single" w:color="auto" w:sz="8" w:space="0"/>
                      <w:left w:val="nil"/>
                      <w:bottom w:val="single" w:color="auto" w:sz="8" w:space="0"/>
                      <w:right w:val="single" w:color="auto" w:sz="8" w:space="0"/>
                    </w:tcBorders>
                    <w:shd w:val="clear" w:color="auto" w:fill="auto"/>
                    <w:vAlign w:val="center"/>
                  </w:tcPr>
                  <w:p>
                    <w:pPr>
                      <w:jc w:val="center"/>
                      <w:rPr>
                        <w:rFonts w:cs="Arial"/>
                        <w:color w:val="000000"/>
                        <w:szCs w:val="21"/>
                      </w:rPr>
                    </w:pPr>
                    <w:r>
                      <w:rPr>
                        <w:rFonts w:hint="eastAsia" w:cs="Arial"/>
                        <w:color w:val="000000"/>
                        <w:szCs w:val="21"/>
                      </w:rPr>
                      <w:t>本期金额（元）</w:t>
                    </w:r>
                  </w:p>
                </w:tc>
                <w:tc>
                  <w:tcPr>
                    <w:tcW w:w="2001" w:type="dxa"/>
                    <w:tcBorders>
                      <w:top w:val="single" w:color="auto" w:sz="8" w:space="0"/>
                      <w:left w:val="nil"/>
                      <w:bottom w:val="single" w:color="auto" w:sz="8" w:space="0"/>
                      <w:right w:val="single" w:color="auto" w:sz="8" w:space="0"/>
                    </w:tcBorders>
                    <w:shd w:val="clear" w:color="auto" w:fill="auto"/>
                    <w:vAlign w:val="center"/>
                  </w:tcPr>
                  <w:p>
                    <w:pPr>
                      <w:jc w:val="center"/>
                      <w:rPr>
                        <w:rFonts w:cs="Arial"/>
                        <w:color w:val="000000"/>
                        <w:szCs w:val="21"/>
                      </w:rPr>
                    </w:pPr>
                    <w:r>
                      <w:rPr>
                        <w:rFonts w:hint="eastAsia" w:cs="Arial"/>
                        <w:color w:val="000000"/>
                        <w:szCs w:val="21"/>
                      </w:rPr>
                      <w:t>上期金额（元）</w:t>
                    </w:r>
                  </w:p>
                </w:tc>
                <w:tc>
                  <w:tcPr>
                    <w:tcW w:w="1711" w:type="dxa"/>
                    <w:tcBorders>
                      <w:top w:val="single" w:color="auto" w:sz="8" w:space="0"/>
                      <w:left w:val="nil"/>
                      <w:bottom w:val="single" w:color="auto" w:sz="8" w:space="0"/>
                      <w:right w:val="single" w:color="auto" w:sz="8" w:space="0"/>
                    </w:tcBorders>
                  </w:tcPr>
                  <w:p>
                    <w:pPr>
                      <w:jc w:val="center"/>
                      <w:rPr>
                        <w:rFonts w:cs="Arial"/>
                        <w:color w:val="000000"/>
                        <w:szCs w:val="21"/>
                      </w:rPr>
                    </w:pPr>
                    <w:r>
                      <w:rPr>
                        <w:rFonts w:hint="eastAsia" w:cs="Arial"/>
                        <w:color w:val="000000"/>
                        <w:szCs w:val="21"/>
                      </w:rPr>
                      <w:t>同比变化（%）</w:t>
                    </w:r>
                  </w:p>
                </w:tc>
              </w:tr>
              <w:tr>
                <w:tblPrEx>
                  <w:tblLayout w:type="fixed"/>
                  <w:tblCellMar>
                    <w:top w:w="0" w:type="dxa"/>
                    <w:left w:w="108" w:type="dxa"/>
                    <w:bottom w:w="0" w:type="dxa"/>
                    <w:right w:w="108" w:type="dxa"/>
                  </w:tblCellMar>
                </w:tblPrEx>
                <w:trPr>
                  <w:trHeight w:val="270" w:hRule="atLeast"/>
                </w:trPr>
                <w:tc>
                  <w:tcPr>
                    <w:tcW w:w="3134" w:type="dxa"/>
                    <w:tcBorders>
                      <w:top w:val="nil"/>
                      <w:left w:val="single" w:color="auto" w:sz="8" w:space="0"/>
                      <w:bottom w:val="single" w:color="auto" w:sz="8" w:space="0"/>
                      <w:right w:val="single" w:color="auto" w:sz="8" w:space="0"/>
                    </w:tcBorders>
                    <w:shd w:val="clear" w:color="auto" w:fill="auto"/>
                    <w:vAlign w:val="center"/>
                  </w:tcPr>
                  <w:p>
                    <w:pPr>
                      <w:jc w:val="both"/>
                      <w:rPr>
                        <w:rFonts w:cs="Arial"/>
                        <w:szCs w:val="21"/>
                      </w:rPr>
                    </w:pPr>
                    <w:r>
                      <w:rPr>
                        <w:rFonts w:hint="eastAsia" w:cs="Arial"/>
                        <w:szCs w:val="21"/>
                      </w:rPr>
                      <w:t>经营活动产生的现金流量净额</w:t>
                    </w:r>
                  </w:p>
                </w:tc>
                <w:tc>
                  <w:tcPr>
                    <w:tcW w:w="2110"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cs="Arial"/>
                        <w:szCs w:val="21"/>
                      </w:rPr>
                      <w:t>4,612,592,644.16</w:t>
                    </w:r>
                  </w:p>
                </w:tc>
                <w:tc>
                  <w:tcPr>
                    <w:tcW w:w="2001" w:type="dxa"/>
                    <w:tcBorders>
                      <w:top w:val="nil"/>
                      <w:left w:val="nil"/>
                      <w:bottom w:val="single" w:color="auto" w:sz="8" w:space="0"/>
                      <w:right w:val="single" w:color="auto" w:sz="8" w:space="0"/>
                    </w:tcBorders>
                    <w:shd w:val="clear" w:color="auto" w:fill="auto"/>
                    <w:vAlign w:val="center"/>
                  </w:tcPr>
                  <w:p>
                    <w:pPr>
                      <w:jc w:val="right"/>
                      <w:rPr>
                        <w:rFonts w:cs="Arial"/>
                        <w:szCs w:val="21"/>
                      </w:rPr>
                    </w:pPr>
                    <w:r>
                      <w:rPr>
                        <w:rFonts w:hint="eastAsia" w:cs="Arial"/>
                        <w:szCs w:val="21"/>
                      </w:rPr>
                      <w:t>1,587,920,801.18</w:t>
                    </w:r>
                  </w:p>
                </w:tc>
                <w:tc>
                  <w:tcPr>
                    <w:tcW w:w="1711" w:type="dxa"/>
                    <w:tcBorders>
                      <w:top w:val="nil"/>
                      <w:left w:val="nil"/>
                      <w:bottom w:val="single" w:color="auto" w:sz="8" w:space="0"/>
                      <w:right w:val="single" w:color="auto" w:sz="8" w:space="0"/>
                    </w:tcBorders>
                  </w:tcPr>
                  <w:p>
                    <w:pPr>
                      <w:jc w:val="right"/>
                      <w:rPr>
                        <w:rFonts w:cs="Arial"/>
                        <w:szCs w:val="21"/>
                      </w:rPr>
                    </w:pPr>
                    <w:r>
                      <w:rPr>
                        <w:rFonts w:hint="eastAsia" w:cs="Arial"/>
                        <w:szCs w:val="21"/>
                      </w:rPr>
                      <w:t>190.48</w:t>
                    </w:r>
                  </w:p>
                </w:tc>
              </w:tr>
              <w:tr>
                <w:tblPrEx>
                  <w:tblLayout w:type="fixed"/>
                  <w:tblCellMar>
                    <w:top w:w="0" w:type="dxa"/>
                    <w:left w:w="108" w:type="dxa"/>
                    <w:bottom w:w="0" w:type="dxa"/>
                    <w:right w:w="108" w:type="dxa"/>
                  </w:tblCellMar>
                </w:tblPrEx>
                <w:trPr>
                  <w:trHeight w:val="270" w:hRule="atLeast"/>
                </w:trPr>
                <w:tc>
                  <w:tcPr>
                    <w:tcW w:w="3134" w:type="dxa"/>
                    <w:tcBorders>
                      <w:top w:val="nil"/>
                      <w:left w:val="single" w:color="auto" w:sz="8" w:space="0"/>
                      <w:bottom w:val="single" w:color="auto" w:sz="8" w:space="0"/>
                      <w:right w:val="single" w:color="auto" w:sz="8" w:space="0"/>
                    </w:tcBorders>
                    <w:shd w:val="clear" w:color="auto" w:fill="auto"/>
                    <w:vAlign w:val="center"/>
                  </w:tcPr>
                  <w:p>
                    <w:pPr>
                      <w:jc w:val="both"/>
                      <w:rPr>
                        <w:rFonts w:cs="Arial"/>
                        <w:color w:val="000000"/>
                        <w:szCs w:val="21"/>
                      </w:rPr>
                    </w:pPr>
                    <w:r>
                      <w:rPr>
                        <w:rFonts w:hint="eastAsia" w:cs="Arial"/>
                        <w:color w:val="000000"/>
                        <w:szCs w:val="21"/>
                      </w:rPr>
                      <w:t>投资活动产生的现金流量净额</w:t>
                    </w:r>
                  </w:p>
                </w:tc>
                <w:tc>
                  <w:tcPr>
                    <w:tcW w:w="2110" w:type="dxa"/>
                    <w:tcBorders>
                      <w:top w:val="nil"/>
                      <w:left w:val="nil"/>
                      <w:bottom w:val="single" w:color="auto" w:sz="8" w:space="0"/>
                      <w:right w:val="single" w:color="auto" w:sz="8" w:space="0"/>
                    </w:tcBorders>
                    <w:shd w:val="clear" w:color="auto" w:fill="auto"/>
                    <w:vAlign w:val="center"/>
                  </w:tcPr>
                  <w:p>
                    <w:pPr>
                      <w:jc w:val="right"/>
                      <w:rPr>
                        <w:rFonts w:cs="Arial"/>
                        <w:color w:val="000000"/>
                        <w:szCs w:val="21"/>
                      </w:rPr>
                    </w:pPr>
                    <w:r>
                      <w:rPr>
                        <w:rFonts w:hint="eastAsia" w:cs="Arial"/>
                        <w:color w:val="000000"/>
                        <w:szCs w:val="21"/>
                      </w:rPr>
                      <w:t>-181,050,752.63</w:t>
                    </w:r>
                  </w:p>
                </w:tc>
                <w:tc>
                  <w:tcPr>
                    <w:tcW w:w="2001" w:type="dxa"/>
                    <w:tcBorders>
                      <w:top w:val="nil"/>
                      <w:left w:val="nil"/>
                      <w:bottom w:val="single" w:color="auto" w:sz="8" w:space="0"/>
                      <w:right w:val="single" w:color="auto" w:sz="8" w:space="0"/>
                    </w:tcBorders>
                    <w:shd w:val="clear" w:color="auto" w:fill="auto"/>
                    <w:vAlign w:val="center"/>
                  </w:tcPr>
                  <w:p>
                    <w:pPr>
                      <w:jc w:val="right"/>
                      <w:rPr>
                        <w:rFonts w:cs="Arial"/>
                        <w:color w:val="000000"/>
                        <w:szCs w:val="21"/>
                      </w:rPr>
                    </w:pPr>
                    <w:r>
                      <w:rPr>
                        <w:rFonts w:hint="eastAsia" w:cs="Arial"/>
                        <w:color w:val="000000"/>
                        <w:szCs w:val="21"/>
                      </w:rPr>
                      <w:t>-7,228,506.73</w:t>
                    </w:r>
                  </w:p>
                </w:tc>
                <w:tc>
                  <w:tcPr>
                    <w:tcW w:w="1711" w:type="dxa"/>
                    <w:tcBorders>
                      <w:top w:val="nil"/>
                      <w:left w:val="nil"/>
                      <w:bottom w:val="single" w:color="auto" w:sz="8" w:space="0"/>
                      <w:right w:val="single" w:color="auto" w:sz="8" w:space="0"/>
                    </w:tcBorders>
                  </w:tcPr>
                  <w:p>
                    <w:pPr>
                      <w:jc w:val="right"/>
                      <w:rPr>
                        <w:rFonts w:cs="Arial"/>
                        <w:color w:val="FF0000"/>
                        <w:szCs w:val="21"/>
                      </w:rPr>
                    </w:pPr>
                    <w:r>
                      <w:rPr>
                        <w:rFonts w:hint="eastAsia" w:cs="Arial"/>
                        <w:color w:val="FF0000"/>
                        <w:szCs w:val="21"/>
                      </w:rPr>
                      <w:t>-2404.68</w:t>
                    </w:r>
                  </w:p>
                </w:tc>
              </w:tr>
              <w:tr>
                <w:tblPrEx>
                  <w:tblLayout w:type="fixed"/>
                  <w:tblCellMar>
                    <w:top w:w="0" w:type="dxa"/>
                    <w:left w:w="108" w:type="dxa"/>
                    <w:bottom w:w="0" w:type="dxa"/>
                    <w:right w:w="108" w:type="dxa"/>
                  </w:tblCellMar>
                </w:tblPrEx>
                <w:trPr>
                  <w:trHeight w:val="270" w:hRule="atLeast"/>
                </w:trPr>
                <w:tc>
                  <w:tcPr>
                    <w:tcW w:w="3134" w:type="dxa"/>
                    <w:tcBorders>
                      <w:top w:val="nil"/>
                      <w:left w:val="single" w:color="auto" w:sz="8" w:space="0"/>
                      <w:bottom w:val="single" w:color="auto" w:sz="8" w:space="0"/>
                      <w:right w:val="single" w:color="auto" w:sz="8" w:space="0"/>
                    </w:tcBorders>
                    <w:shd w:val="clear" w:color="auto" w:fill="auto"/>
                    <w:vAlign w:val="center"/>
                  </w:tcPr>
                  <w:p>
                    <w:pPr>
                      <w:jc w:val="both"/>
                      <w:rPr>
                        <w:rFonts w:cs="Arial"/>
                        <w:color w:val="000000"/>
                        <w:szCs w:val="21"/>
                      </w:rPr>
                    </w:pPr>
                    <w:r>
                      <w:rPr>
                        <w:rFonts w:hint="eastAsia" w:cs="Arial"/>
                        <w:color w:val="000000"/>
                        <w:szCs w:val="21"/>
                      </w:rPr>
                      <w:t>筹资活动产生的现金流量净额</w:t>
                    </w:r>
                  </w:p>
                </w:tc>
                <w:tc>
                  <w:tcPr>
                    <w:tcW w:w="2110" w:type="dxa"/>
                    <w:tcBorders>
                      <w:top w:val="nil"/>
                      <w:left w:val="nil"/>
                      <w:bottom w:val="single" w:color="auto" w:sz="8" w:space="0"/>
                      <w:right w:val="single" w:color="auto" w:sz="8" w:space="0"/>
                    </w:tcBorders>
                    <w:shd w:val="clear" w:color="auto" w:fill="auto"/>
                    <w:vAlign w:val="center"/>
                  </w:tcPr>
                  <w:p>
                    <w:pPr>
                      <w:jc w:val="right"/>
                      <w:rPr>
                        <w:rFonts w:cs="Arial"/>
                        <w:color w:val="000000"/>
                        <w:szCs w:val="21"/>
                      </w:rPr>
                    </w:pPr>
                    <w:r>
                      <w:rPr>
                        <w:rFonts w:cs="Arial"/>
                        <w:color w:val="000000"/>
                        <w:szCs w:val="21"/>
                      </w:rPr>
                      <w:t>-2,634,248,904.16</w:t>
                    </w:r>
                  </w:p>
                </w:tc>
                <w:tc>
                  <w:tcPr>
                    <w:tcW w:w="2001" w:type="dxa"/>
                    <w:tcBorders>
                      <w:top w:val="nil"/>
                      <w:left w:val="nil"/>
                      <w:bottom w:val="single" w:color="auto" w:sz="8" w:space="0"/>
                      <w:right w:val="single" w:color="auto" w:sz="8" w:space="0"/>
                    </w:tcBorders>
                    <w:shd w:val="clear" w:color="auto" w:fill="auto"/>
                    <w:vAlign w:val="center"/>
                  </w:tcPr>
                  <w:p>
                    <w:pPr>
                      <w:jc w:val="right"/>
                      <w:rPr>
                        <w:rFonts w:cs="Arial"/>
                        <w:color w:val="000000"/>
                        <w:szCs w:val="21"/>
                      </w:rPr>
                    </w:pPr>
                    <w:r>
                      <w:rPr>
                        <w:rFonts w:hint="eastAsia" w:cs="Arial"/>
                        <w:color w:val="000000"/>
                        <w:szCs w:val="21"/>
                      </w:rPr>
                      <w:t>-4,286,345,168.54</w:t>
                    </w:r>
                  </w:p>
                </w:tc>
                <w:tc>
                  <w:tcPr>
                    <w:tcW w:w="1711" w:type="dxa"/>
                    <w:tcBorders>
                      <w:top w:val="nil"/>
                      <w:left w:val="nil"/>
                      <w:bottom w:val="single" w:color="auto" w:sz="8" w:space="0"/>
                      <w:right w:val="single" w:color="auto" w:sz="8" w:space="0"/>
                    </w:tcBorders>
                  </w:tcPr>
                  <w:p>
                    <w:pPr>
                      <w:jc w:val="right"/>
                      <w:rPr>
                        <w:rFonts w:cs="Arial"/>
                        <w:color w:val="FF0000"/>
                        <w:szCs w:val="21"/>
                      </w:rPr>
                    </w:pPr>
                    <w:r>
                      <w:rPr>
                        <w:rFonts w:hint="eastAsia" w:cs="Arial"/>
                        <w:color w:val="FF0000"/>
                        <w:szCs w:val="21"/>
                      </w:rPr>
                      <w:t>38.54</w:t>
                    </w:r>
                  </w:p>
                </w:tc>
              </w:tr>
            </w:tbl>
            <w:p>
              <w:pPr>
                <w:pStyle w:val="53"/>
                <w:numPr>
                  <w:ilvl w:val="0"/>
                  <w:numId w:val="13"/>
                </w:numPr>
                <w:ind w:left="0" w:firstLine="0" w:firstLineChars="0"/>
                <w:rPr>
                  <w:szCs w:val="21"/>
                </w:rPr>
              </w:pPr>
              <w:r>
                <w:rPr>
                  <w:rFonts w:hint="eastAsia"/>
                  <w:szCs w:val="21"/>
                </w:rPr>
                <w:t>经营活动产生的现金净流入同比增加190.48%，筹资活动产生的现金净流出同比减少16.52亿元，主要是本报告期公司产品销售势头良好，货款回笼同比大幅增加，同时为优化负债结构，降低公司资产负债率，适当减少了融资规模。</w:t>
              </w:r>
            </w:p>
            <w:p>
              <w:pPr>
                <w:pStyle w:val="53"/>
                <w:numPr>
                  <w:ilvl w:val="0"/>
                  <w:numId w:val="13"/>
                </w:numPr>
                <w:ind w:left="0" w:firstLine="0" w:firstLineChars="0"/>
                <w:rPr>
                  <w:color w:val="000000" w:themeColor="text1"/>
                  <w:szCs w:val="21"/>
                </w:rPr>
              </w:pPr>
              <w:r>
                <w:rPr>
                  <w:rFonts w:hint="eastAsia"/>
                  <w:szCs w:val="21"/>
                </w:rPr>
                <w:t>投资活动产生的现金净流出1.81亿元，同比增加1.74亿</w:t>
              </w:r>
              <w:r>
                <w:rPr>
                  <w:rFonts w:hint="eastAsia"/>
                  <w:color w:val="000000" w:themeColor="text1"/>
                  <w:szCs w:val="21"/>
                </w:rPr>
                <w:t>元，增长25倍，主要是公司生产设备技术改造投入同比增加1.61亿元影响。</w:t>
              </w:r>
            </w:p>
          </w:sdtContent>
        </w:sdt>
      </w:sdtContent>
    </w:sdt>
    <w:p>
      <w:pPr>
        <w:rPr>
          <w:szCs w:val="21"/>
        </w:rPr>
      </w:pPr>
    </w:p>
    <w:sdt>
      <w:sdtPr>
        <w:rPr>
          <w:rFonts w:hint="eastAsia" w:ascii="宋体" w:hAnsi="宋体" w:cs="宋体"/>
          <w:b w:val="0"/>
          <w:bCs w:val="0"/>
          <w:kern w:val="0"/>
          <w:szCs w:val="21"/>
        </w:rPr>
        <w:alias w:val="模块:非主营业务来源分析"/>
        <w:tag w:val="_SEC_b0e1a8f55b6e4b79a965887836132040"/>
        <w:id w:val="6772762"/>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9"/>
            </w:numPr>
            <w:ind w:left="368" w:hanging="367" w:hangingChars="175"/>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6772761"/>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color w:val="FF0000"/>
          <w:szCs w:val="21"/>
        </w:rPr>
      </w:pPr>
    </w:p>
    <w:p>
      <w:pPr>
        <w:pStyle w:val="4"/>
        <w:numPr>
          <w:ilvl w:val="0"/>
          <w:numId w:val="9"/>
        </w:numPr>
        <w:rPr>
          <w:szCs w:val="21"/>
        </w:rPr>
      </w:pPr>
      <w:r>
        <w:rPr>
          <w:szCs w:val="21"/>
        </w:rPr>
        <w:t>资产、负债情况分析</w:t>
      </w:r>
    </w:p>
    <w:p>
      <w:sdt>
        <w:sdtPr>
          <w:rPr>
            <w:rFonts w:hint="eastAsia"/>
          </w:rPr>
          <w:alias w:val="是否适用：资产、负债情况分析[双击切换]"/>
          <w:tag w:val="_GBC_73f72b786f764d01bef1bb70d2d6e5c6"/>
          <w:id w:val="6772763"/>
          <w:lock w:val="sdtContentLocked"/>
          <w:placeholder>
            <w:docPart w:val="GBC22222222222222222222222222222"/>
          </w:placeholder>
        </w:sdtPr>
        <w:sdtEndPr>
          <w:rPr>
            <w:rFonts w:hint="eastAsia"/>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
      <w:sdtPr>
        <w:rPr>
          <w:rFonts w:ascii="宋体" w:hAnsi="宋体" w:cs="宋体"/>
          <w:b w:val="0"/>
          <w:bCs w:val="0"/>
          <w:kern w:val="0"/>
          <w:szCs w:val="21"/>
        </w:rPr>
        <w:alias w:val="模块:资产负债情况分析表"/>
        <w:tag w:val="_SEC_4a3163af8aaf45ec8cbbe30e595b76d7"/>
        <w:id w:val="6772795"/>
        <w:lock w:val="sdtLocked"/>
        <w:placeholder>
          <w:docPart w:val="GBC22222222222222222222222222222"/>
        </w:placeholder>
      </w:sdtPr>
      <w:sdtEndPr>
        <w:rPr>
          <w:rFonts w:ascii="宋体" w:hAnsi="宋体" w:cs="宋体"/>
          <w:b w:val="0"/>
          <w:bCs w:val="0"/>
          <w:kern w:val="0"/>
          <w:szCs w:val="21"/>
        </w:rPr>
      </w:sdtEndPr>
      <w:sdtContent>
        <w:p>
          <w:pPr>
            <w:pStyle w:val="5"/>
            <w:numPr>
              <w:ilvl w:val="0"/>
              <w:numId w:val="14"/>
            </w:numPr>
            <w:rPr>
              <w:b w:val="0"/>
            </w:rPr>
          </w:pPr>
          <w:r>
            <w:t>资产</w:t>
          </w:r>
          <w:r>
            <w:rPr>
              <w:rFonts w:hint="eastAsia"/>
            </w:rPr>
            <w:t>及</w:t>
          </w:r>
          <w:r>
            <w:t>负债</w:t>
          </w:r>
          <w:r>
            <w:rPr>
              <w:rFonts w:hint="eastAsia"/>
              <w:szCs w:val="21"/>
            </w:rPr>
            <w:t>状</w:t>
          </w:r>
          <w:r>
            <w:rPr>
              <w:szCs w:val="21"/>
            </w:rPr>
            <w:t>况</w:t>
          </w:r>
        </w:p>
        <w:p>
          <w:pPr>
            <w:jc w:val="right"/>
            <w:rPr>
              <w:color w:val="FF0000"/>
              <w:szCs w:val="21"/>
            </w:rPr>
          </w:pPr>
          <w:r>
            <w:rPr>
              <w:rFonts w:hint="eastAsia"/>
              <w:color w:val="000000" w:themeColor="text1"/>
              <w:szCs w:val="21"/>
            </w:rPr>
            <w:t>单位：</w:t>
          </w:r>
          <w:sdt>
            <w:sdtPr>
              <w:rPr>
                <w:rFonts w:hint="eastAsia"/>
                <w:color w:val="000000" w:themeColor="text1"/>
                <w:szCs w:val="21"/>
              </w:rPr>
              <w:alias w:val="单位：资产负债状况分析"/>
              <w:tag w:val="_GBC_f016c1cffd884dd784e4fb134fd0d4df"/>
              <w:id w:val="677276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color w:val="000000" w:themeColor="text1"/>
                <w:szCs w:val="21"/>
              </w:rPr>
            </w:sdtEndPr>
            <w:sdtContent>
              <w:r>
                <w:rPr>
                  <w:rFonts w:hint="eastAsia"/>
                  <w:color w:val="000000" w:themeColor="text1"/>
                  <w:szCs w:val="21"/>
                </w:rPr>
                <w:t>万元</w:t>
              </w:r>
            </w:sdtContent>
          </w:sdt>
        </w:p>
        <w:tbl>
          <w:tblPr>
            <w:tblStyle w:val="81"/>
            <w:tblW w:w="979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35"/>
            <w:gridCol w:w="930"/>
            <w:gridCol w:w="1197"/>
            <w:gridCol w:w="991"/>
            <w:gridCol w:w="1275"/>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sdt>
              <w:sdtPr>
                <w:tag w:val="_PLD_8f1f37d9a09f4bf3a8f4c407297e58ed"/>
                <w:id w:val="-115763758"/>
                <w:lock w:val="sdtLocked"/>
              </w:sdtPr>
              <w:sdtContent>
                <w:tc>
                  <w:tcPr>
                    <w:tcW w:w="1701" w:type="dxa"/>
                    <w:vAlign w:val="center"/>
                  </w:tcPr>
                  <w:p>
                    <w:pPr>
                      <w:widowControl w:val="0"/>
                      <w:jc w:val="center"/>
                      <w:rPr>
                        <w:rStyle w:val="46"/>
                        <w:szCs w:val="21"/>
                      </w:rPr>
                    </w:pPr>
                    <w:r>
                      <w:rPr>
                        <w:szCs w:val="21"/>
                      </w:rPr>
                      <w:t>项目名称</w:t>
                    </w:r>
                  </w:p>
                </w:tc>
              </w:sdtContent>
            </w:sdt>
            <w:sdt>
              <w:sdtPr>
                <w:tag w:val="_PLD_a4c00a3d0d0a42e28bc6a14dd6d26320"/>
                <w:id w:val="43264643"/>
                <w:lock w:val="sdtLocked"/>
              </w:sdtPr>
              <w:sdtContent>
                <w:tc>
                  <w:tcPr>
                    <w:tcW w:w="1135" w:type="dxa"/>
                    <w:vAlign w:val="center"/>
                  </w:tcPr>
                  <w:p>
                    <w:pPr>
                      <w:widowControl w:val="0"/>
                      <w:jc w:val="center"/>
                      <w:rPr>
                        <w:rStyle w:val="46"/>
                        <w:szCs w:val="21"/>
                      </w:rPr>
                    </w:pPr>
                    <w:r>
                      <w:rPr>
                        <w:szCs w:val="21"/>
                      </w:rPr>
                      <w:t>本期期末数</w:t>
                    </w:r>
                  </w:p>
                </w:tc>
              </w:sdtContent>
            </w:sdt>
            <w:sdt>
              <w:sdtPr>
                <w:tag w:val="_PLD_17de20223ad64b528b824744807b0036"/>
                <w:id w:val="890691021"/>
                <w:lock w:val="sdtLocked"/>
              </w:sdtPr>
              <w:sdtContent>
                <w:tc>
                  <w:tcPr>
                    <w:tcW w:w="930" w:type="dxa"/>
                    <w:vAlign w:val="center"/>
                  </w:tcPr>
                  <w:p>
                    <w:pPr>
                      <w:widowControl w:val="0"/>
                      <w:jc w:val="center"/>
                      <w:rPr>
                        <w:rStyle w:val="46"/>
                        <w:szCs w:val="21"/>
                      </w:rPr>
                    </w:pPr>
                    <w:r>
                      <w:rPr>
                        <w:szCs w:val="21"/>
                      </w:rPr>
                      <w:t>本期期末数占总资产的比例（%）</w:t>
                    </w:r>
                  </w:p>
                </w:tc>
              </w:sdtContent>
            </w:sdt>
            <w:sdt>
              <w:sdtPr>
                <w:tag w:val="_PLD_d1b9e9483c3a41358f877758b5adb0fb"/>
                <w:id w:val="2032133215"/>
                <w:lock w:val="sdtLocked"/>
              </w:sdtPr>
              <w:sdtContent>
                <w:tc>
                  <w:tcPr>
                    <w:tcW w:w="1197" w:type="dxa"/>
                    <w:vAlign w:val="center"/>
                  </w:tcPr>
                  <w:p>
                    <w:pPr>
                      <w:widowControl w:val="0"/>
                      <w:jc w:val="center"/>
                      <w:rPr>
                        <w:rStyle w:val="46"/>
                        <w:szCs w:val="21"/>
                      </w:rPr>
                    </w:pPr>
                    <w:r>
                      <w:rPr>
                        <w:szCs w:val="21"/>
                      </w:rPr>
                      <w:t>上期期末数</w:t>
                    </w:r>
                  </w:p>
                </w:tc>
              </w:sdtContent>
            </w:sdt>
            <w:sdt>
              <w:sdtPr>
                <w:tag w:val="_PLD_3a8a8577e1a84f26856a900f7202f9a8"/>
                <w:id w:val="-1984844317"/>
                <w:lock w:val="sdtLocked"/>
              </w:sdtPr>
              <w:sdtContent>
                <w:tc>
                  <w:tcPr>
                    <w:tcW w:w="991" w:type="dxa"/>
                    <w:vAlign w:val="center"/>
                  </w:tcPr>
                  <w:p>
                    <w:pPr>
                      <w:widowControl w:val="0"/>
                      <w:jc w:val="center"/>
                      <w:rPr>
                        <w:rStyle w:val="46"/>
                        <w:szCs w:val="21"/>
                      </w:rPr>
                    </w:pPr>
                    <w:r>
                      <w:rPr>
                        <w:szCs w:val="21"/>
                      </w:rPr>
                      <w:t>上期期末数占总资产的比例（%）</w:t>
                    </w:r>
                  </w:p>
                </w:tc>
              </w:sdtContent>
            </w:sdt>
            <w:sdt>
              <w:sdtPr>
                <w:tag w:val="_PLD_8af1894621b84d44aec1deba51e3a7da"/>
                <w:id w:val="1089428485"/>
                <w:lock w:val="sdtLocked"/>
              </w:sdtPr>
              <w:sdtContent>
                <w:tc>
                  <w:tcPr>
                    <w:tcW w:w="1275" w:type="dxa"/>
                    <w:vAlign w:val="center"/>
                  </w:tcPr>
                  <w:p>
                    <w:pPr>
                      <w:widowControl w:val="0"/>
                      <w:jc w:val="center"/>
                      <w:rPr>
                        <w:rStyle w:val="46"/>
                        <w:szCs w:val="21"/>
                      </w:rPr>
                    </w:pPr>
                    <w:r>
                      <w:rPr>
                        <w:szCs w:val="21"/>
                      </w:rPr>
                      <w:t>本期期末金额较上期期末变动比例（%）</w:t>
                    </w:r>
                  </w:p>
                </w:tc>
              </w:sdtContent>
            </w:sdt>
            <w:sdt>
              <w:sdtPr>
                <w:tag w:val="_PLD_495436d1d45e4a9391194459a895631e"/>
                <w:id w:val="-2126374100"/>
                <w:lock w:val="sdtLocked"/>
              </w:sdtPr>
              <w:sdtContent>
                <w:tc>
                  <w:tcPr>
                    <w:tcW w:w="2564" w:type="dxa"/>
                    <w:vAlign w:val="center"/>
                  </w:tcPr>
                  <w:p>
                    <w:pPr>
                      <w:widowControl w:val="0"/>
                      <w:jc w:val="center"/>
                      <w:rPr>
                        <w:rStyle w:val="46"/>
                        <w:szCs w:val="21"/>
                      </w:rPr>
                    </w:pPr>
                    <w:r>
                      <w:rPr>
                        <w:szCs w:val="21"/>
                      </w:rPr>
                      <w:t>情况说明</w:t>
                    </w:r>
                  </w:p>
                </w:tc>
              </w:sdtContent>
            </w:sdt>
          </w:tr>
          <w:sdt>
            <w:sdtPr>
              <w:rPr>
                <w:rStyle w:val="46"/>
                <w:rFonts w:hint="eastAsia"/>
                <w:b w:val="0"/>
                <w:sz w:val="18"/>
                <w:szCs w:val="18"/>
              </w:rPr>
              <w:alias w:val="资产负债状况分析"/>
              <w:tag w:val="_TUP_815ebab5da7a4ba88d97b27a17b235f3"/>
              <w:id w:val="-1214575751"/>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货币资金</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311,464.14</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13.50</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129,700.88</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6.23</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140.14</w:t>
                    </w:r>
                  </w:p>
                </w:tc>
                <w:tc>
                  <w:tcPr>
                    <w:tcW w:w="2564" w:type="dxa"/>
                    <w:vMerge w:val="restart"/>
                    <w:vAlign w:val="center"/>
                  </w:tcPr>
                  <w:p>
                    <w:pPr>
                      <w:widowControl w:val="0"/>
                      <w:jc w:val="both"/>
                      <w:rPr>
                        <w:rStyle w:val="46"/>
                        <w:b w:val="0"/>
                        <w:sz w:val="18"/>
                        <w:szCs w:val="18"/>
                      </w:rPr>
                    </w:pPr>
                    <w:r>
                      <w:rPr>
                        <w:rStyle w:val="46"/>
                        <w:rFonts w:hint="eastAsia"/>
                        <w:b w:val="0"/>
                        <w:sz w:val="18"/>
                        <w:szCs w:val="18"/>
                      </w:rPr>
                      <w:t>主要是钢材市场回暖，产品销售收入同比增加。</w:t>
                    </w:r>
                  </w:p>
                </w:tc>
              </w:tr>
            </w:sdtContent>
          </w:sdt>
          <w:sdt>
            <w:sdtPr>
              <w:rPr>
                <w:rStyle w:val="46"/>
                <w:rFonts w:hint="eastAsia"/>
                <w:b w:val="0"/>
                <w:sz w:val="18"/>
                <w:szCs w:val="18"/>
              </w:rPr>
              <w:alias w:val="资产负债状况分析"/>
              <w:tag w:val="_TUP_815ebab5da7a4ba88d97b27a17b235f3"/>
              <w:id w:val="1622114925"/>
              <w:lock w:val="sdtLocked"/>
            </w:sdtPr>
            <w:sdtEndPr>
              <w:rPr>
                <w:rStyle w:val="36"/>
                <w:rFonts w:hint="default" w:ascii="Arial Narrow" w:hAnsi="Arial Narrow" w:eastAsiaTheme="minorEastAsia" w:cstheme="minorBidi"/>
                <w:b w:val="0"/>
                <w:bCs w:val="0"/>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应收票据</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392,918.54</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17.03</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212,182.70</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10.20</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85.18</w:t>
                    </w:r>
                  </w:p>
                </w:tc>
                <w:tc>
                  <w:tcPr>
                    <w:tcW w:w="2564" w:type="dxa"/>
                    <w:vMerge w:val="continue"/>
                  </w:tcPr>
                  <w:p>
                    <w:pPr>
                      <w:widowControl w:val="0"/>
                      <w:jc w:val="both"/>
                      <w:rPr>
                        <w:rStyle w:val="46"/>
                        <w:b w:val="0"/>
                        <w:sz w:val="18"/>
                        <w:szCs w:val="18"/>
                      </w:rPr>
                    </w:pPr>
                  </w:p>
                </w:tc>
              </w:tr>
            </w:sdtContent>
          </w:sdt>
          <w:sdt>
            <w:sdtPr>
              <w:rPr>
                <w:rStyle w:val="46"/>
                <w:rFonts w:hint="eastAsia"/>
                <w:b w:val="0"/>
                <w:sz w:val="18"/>
                <w:szCs w:val="18"/>
              </w:rPr>
              <w:alias w:val="资产负债状况分析"/>
              <w:tag w:val="_TUP_815ebab5da7a4ba88d97b27a17b235f3"/>
              <w:id w:val="-437602506"/>
              <w:lock w:val="sdtLocked"/>
            </w:sdtPr>
            <w:sdtEndPr>
              <w:rPr>
                <w:rStyle w:val="36"/>
                <w:rFonts w:hint="default" w:ascii="Arial Narrow" w:hAnsi="Arial Narrow" w:eastAsiaTheme="minorEastAsia" w:cstheme="minorBidi"/>
                <w:b w:val="0"/>
                <w:bCs w:val="0"/>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应收账款</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23,863.18</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1.03</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17,948.88</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0.86</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32.95</w:t>
                    </w:r>
                  </w:p>
                </w:tc>
                <w:tc>
                  <w:tcPr>
                    <w:tcW w:w="2564" w:type="dxa"/>
                    <w:vMerge w:val="continue"/>
                  </w:tcPr>
                  <w:p>
                    <w:pPr>
                      <w:widowControl w:val="0"/>
                      <w:jc w:val="both"/>
                      <w:rPr>
                        <w:rStyle w:val="46"/>
                        <w:b w:val="0"/>
                        <w:sz w:val="18"/>
                        <w:szCs w:val="18"/>
                      </w:rPr>
                    </w:pPr>
                  </w:p>
                </w:tc>
              </w:tr>
            </w:sdtContent>
          </w:sdt>
          <w:sdt>
            <w:sdtPr>
              <w:rPr>
                <w:rStyle w:val="46"/>
                <w:rFonts w:hint="eastAsia"/>
                <w:b w:val="0"/>
                <w:sz w:val="18"/>
                <w:szCs w:val="18"/>
              </w:rPr>
              <w:alias w:val="资产负债状况分析"/>
              <w:tag w:val="_TUP_815ebab5da7a4ba88d97b27a17b235f3"/>
              <w:id w:val="-56558593"/>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预付款项</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74,504.33</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3.23</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132,162.23</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6.35</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-43.63</w:t>
                    </w:r>
                  </w:p>
                </w:tc>
                <w:tc>
                  <w:tcPr>
                    <w:tcW w:w="2564" w:type="dxa"/>
                  </w:tcPr>
                  <w:p>
                    <w:pPr>
                      <w:widowControl w:val="0"/>
                      <w:jc w:val="both"/>
                      <w:rPr>
                        <w:rStyle w:val="46"/>
                        <w:b w:val="0"/>
                        <w:sz w:val="18"/>
                        <w:szCs w:val="18"/>
                      </w:rPr>
                    </w:pPr>
                    <w:r>
                      <w:rPr>
                        <w:rStyle w:val="46"/>
                        <w:rFonts w:hint="eastAsia"/>
                        <w:b w:val="0"/>
                        <w:sz w:val="18"/>
                        <w:szCs w:val="18"/>
                      </w:rPr>
                      <w:t>同比减幅43.63%，主要是公司合理控制采购付款节奏。</w:t>
                    </w:r>
                  </w:p>
                </w:tc>
              </w:tr>
            </w:sdtContent>
          </w:sdt>
          <w:sdt>
            <w:sdtPr>
              <w:rPr>
                <w:rStyle w:val="46"/>
                <w:rFonts w:hint="eastAsia"/>
                <w:b w:val="0"/>
                <w:sz w:val="18"/>
                <w:szCs w:val="18"/>
              </w:rPr>
              <w:alias w:val="资产负债状况分析"/>
              <w:tag w:val="_TUP_815ebab5da7a4ba88d97b27a17b235f3"/>
              <w:id w:val="-503899395"/>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其他应收款</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1,041.41</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0.05</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2,355.24</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0.11</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-55.78</w:t>
                    </w:r>
                  </w:p>
                </w:tc>
                <w:tc>
                  <w:tcPr>
                    <w:tcW w:w="2564" w:type="dxa"/>
                  </w:tcPr>
                  <w:p>
                    <w:pPr>
                      <w:widowControl w:val="0"/>
                      <w:jc w:val="both"/>
                      <w:rPr>
                        <w:rStyle w:val="46"/>
                        <w:b w:val="0"/>
                        <w:sz w:val="18"/>
                        <w:szCs w:val="18"/>
                      </w:rPr>
                    </w:pPr>
                    <w:r>
                      <w:rPr>
                        <w:sz w:val="18"/>
                        <w:szCs w:val="18"/>
                      </w:rPr>
                      <w:t>同比减幅55.78%，主要是代垫铁路运费等减少。 </w:t>
                    </w:r>
                  </w:p>
                </w:tc>
              </w:tr>
            </w:sdtContent>
          </w:sdt>
          <w:sdt>
            <w:sdtPr>
              <w:rPr>
                <w:rStyle w:val="46"/>
                <w:rFonts w:hint="eastAsia"/>
                <w:b w:val="0"/>
                <w:sz w:val="18"/>
                <w:szCs w:val="18"/>
              </w:rPr>
              <w:alias w:val="资产负债状况分析"/>
              <w:tag w:val="_TUP_815ebab5da7a4ba88d97b27a17b235f3"/>
              <w:id w:val="-1423257208"/>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存货</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476,940.54</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20.67</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530,808.47</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25.51</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-10.15</w:t>
                    </w:r>
                  </w:p>
                </w:tc>
                <w:tc>
                  <w:tcPr>
                    <w:tcW w:w="2564" w:type="dxa"/>
                  </w:tcPr>
                  <w:p>
                    <w:pPr>
                      <w:widowControl w:val="0"/>
                      <w:jc w:val="both"/>
                      <w:rPr>
                        <w:rStyle w:val="46"/>
                        <w:b w:val="0"/>
                        <w:sz w:val="18"/>
                        <w:szCs w:val="18"/>
                      </w:rPr>
                    </w:pPr>
                    <w:r>
                      <w:rPr>
                        <w:sz w:val="18"/>
                        <w:szCs w:val="18"/>
                      </w:rPr>
                      <w:t>　</w:t>
                    </w:r>
                  </w:p>
                </w:tc>
              </w:tr>
            </w:sdtContent>
          </w:sdt>
          <w:sdt>
            <w:sdtPr>
              <w:rPr>
                <w:rStyle w:val="46"/>
                <w:rFonts w:hint="eastAsia"/>
                <w:b w:val="0"/>
                <w:sz w:val="18"/>
                <w:szCs w:val="18"/>
              </w:rPr>
              <w:alias w:val="资产负债状况分析"/>
              <w:tag w:val="_TUP_815ebab5da7a4ba88d97b27a17b235f3"/>
              <w:id w:val="-1216267818"/>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其他流动资产</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20.50</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             -  </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2,688.57</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0.13</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-99.24</w:t>
                    </w:r>
                  </w:p>
                </w:tc>
                <w:tc>
                  <w:tcPr>
                    <w:tcW w:w="2564" w:type="dxa"/>
                  </w:tcPr>
                  <w:p>
                    <w:pPr>
                      <w:widowControl w:val="0"/>
                      <w:jc w:val="both"/>
                      <w:rPr>
                        <w:rStyle w:val="46"/>
                        <w:b w:val="0"/>
                        <w:sz w:val="18"/>
                        <w:szCs w:val="18"/>
                      </w:rPr>
                    </w:pPr>
                    <w:r>
                      <w:rPr>
                        <w:sz w:val="18"/>
                        <w:szCs w:val="18"/>
                      </w:rPr>
                      <w:t>同比减幅99.24%，主要是留抵增值税额同比减少。</w:t>
                    </w:r>
                  </w:p>
                </w:tc>
              </w:tr>
            </w:sdtContent>
          </w:sdt>
          <w:sdt>
            <w:sdtPr>
              <w:rPr>
                <w:rStyle w:val="46"/>
                <w:rFonts w:hint="eastAsia"/>
                <w:b w:val="0"/>
                <w:sz w:val="18"/>
                <w:szCs w:val="18"/>
              </w:rPr>
              <w:alias w:val="资产负债状况分析"/>
              <w:tag w:val="_TUP_815ebab5da7a4ba88d97b27a17b235f3"/>
              <w:id w:val="283707145"/>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固定资产</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977,504.86</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42.36</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1,008,964.18</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48.48</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-3.12</w:t>
                    </w:r>
                  </w:p>
                </w:tc>
                <w:tc>
                  <w:tcPr>
                    <w:tcW w:w="2564" w:type="dxa"/>
                  </w:tcPr>
                  <w:p>
                    <w:pPr>
                      <w:widowControl w:val="0"/>
                      <w:jc w:val="both"/>
                      <w:rPr>
                        <w:rStyle w:val="46"/>
                        <w:b w:val="0"/>
                        <w:sz w:val="18"/>
                        <w:szCs w:val="18"/>
                      </w:rPr>
                    </w:pPr>
                    <w:r>
                      <w:rPr>
                        <w:sz w:val="18"/>
                        <w:szCs w:val="18"/>
                      </w:rPr>
                      <w:t>　</w:t>
                    </w:r>
                  </w:p>
                </w:tc>
              </w:tr>
            </w:sdtContent>
          </w:sdt>
          <w:sdt>
            <w:sdtPr>
              <w:rPr>
                <w:rStyle w:val="46"/>
                <w:rFonts w:hint="eastAsia"/>
                <w:b w:val="0"/>
                <w:sz w:val="18"/>
                <w:szCs w:val="18"/>
              </w:rPr>
              <w:alias w:val="资产负债状况分析"/>
              <w:tag w:val="_TUP_815ebab5da7a4ba88d97b27a17b235f3"/>
              <w:id w:val="947590012"/>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在建工程</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38,287.33</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1.66</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24,464.42</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1.18</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56.50</w:t>
                    </w:r>
                  </w:p>
                </w:tc>
                <w:tc>
                  <w:tcPr>
                    <w:tcW w:w="2564" w:type="dxa"/>
                  </w:tcPr>
                  <w:p>
                    <w:pPr>
                      <w:widowControl w:val="0"/>
                      <w:jc w:val="both"/>
                      <w:rPr>
                        <w:rStyle w:val="46"/>
                        <w:b w:val="0"/>
                        <w:sz w:val="18"/>
                        <w:szCs w:val="18"/>
                      </w:rPr>
                    </w:pPr>
                    <w:r>
                      <w:rPr>
                        <w:sz w:val="18"/>
                        <w:szCs w:val="18"/>
                      </w:rPr>
                      <w:t>同比增幅56.5%，主要是2017年公司加大生产设备技术改造投入</w:t>
                    </w:r>
                  </w:p>
                </w:tc>
              </w:tr>
            </w:sdtContent>
          </w:sdt>
          <w:sdt>
            <w:sdtPr>
              <w:rPr>
                <w:rStyle w:val="46"/>
                <w:rFonts w:hint="eastAsia"/>
                <w:b w:val="0"/>
                <w:sz w:val="18"/>
                <w:szCs w:val="18"/>
              </w:rPr>
              <w:alias w:val="资产负债状况分析"/>
              <w:tag w:val="_TUP_815ebab5da7a4ba88d97b27a17b235f3"/>
              <w:id w:val="-834690680"/>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递延所得税资产</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5,339.43</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0.23</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14,471.15</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0.70</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-63.10</w:t>
                    </w:r>
                  </w:p>
                </w:tc>
                <w:tc>
                  <w:tcPr>
                    <w:tcW w:w="2564" w:type="dxa"/>
                  </w:tcPr>
                  <w:p>
                    <w:pPr>
                      <w:widowControl w:val="0"/>
                      <w:jc w:val="both"/>
                      <w:rPr>
                        <w:rStyle w:val="46"/>
                        <w:b w:val="0"/>
                        <w:sz w:val="18"/>
                        <w:szCs w:val="18"/>
                      </w:rPr>
                    </w:pPr>
                    <w:r>
                      <w:rPr>
                        <w:sz w:val="18"/>
                        <w:szCs w:val="18"/>
                      </w:rPr>
                      <w:t>同比减幅63.1%，主要是转回前期确认的可弥补亏损递延所得税资产</w:t>
                    </w:r>
                  </w:p>
                </w:tc>
              </w:tr>
            </w:sdtContent>
          </w:sdt>
          <w:sdt>
            <w:sdtPr>
              <w:rPr>
                <w:rStyle w:val="46"/>
                <w:rFonts w:hint="eastAsia"/>
                <w:b w:val="0"/>
                <w:sz w:val="18"/>
                <w:szCs w:val="18"/>
              </w:rPr>
              <w:alias w:val="资产负债状况分析"/>
              <w:tag w:val="_TUP_815ebab5da7a4ba88d97b27a17b235f3"/>
              <w:id w:val="1307595913"/>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短期借款</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672,087.59</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29.13</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883,154.48</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42.44</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-23.90</w:t>
                    </w:r>
                  </w:p>
                </w:tc>
                <w:tc>
                  <w:tcPr>
                    <w:tcW w:w="2564" w:type="dxa"/>
                  </w:tcPr>
                  <w:p>
                    <w:pPr>
                      <w:widowControl w:val="0"/>
                      <w:jc w:val="both"/>
                      <w:rPr>
                        <w:rStyle w:val="46"/>
                        <w:b w:val="0"/>
                        <w:sz w:val="18"/>
                        <w:szCs w:val="18"/>
                      </w:rPr>
                    </w:pPr>
                    <w:r>
                      <w:rPr>
                        <w:sz w:val="18"/>
                        <w:szCs w:val="18"/>
                      </w:rPr>
                      <w:t>　</w:t>
                    </w:r>
                  </w:p>
                </w:tc>
              </w:tr>
            </w:sdtContent>
          </w:sdt>
          <w:sdt>
            <w:sdtPr>
              <w:rPr>
                <w:rStyle w:val="46"/>
                <w:rFonts w:hint="eastAsia"/>
                <w:b w:val="0"/>
                <w:sz w:val="18"/>
                <w:szCs w:val="18"/>
              </w:rPr>
              <w:alias w:val="资产负债状况分析"/>
              <w:tag w:val="_TUP_815ebab5da7a4ba88d97b27a17b235f3"/>
              <w:id w:val="1788540326"/>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应付票据</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237,620.00</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10.30</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117,079.00</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5.63</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102.96</w:t>
                    </w:r>
                  </w:p>
                </w:tc>
                <w:tc>
                  <w:tcPr>
                    <w:tcW w:w="2564" w:type="dxa"/>
                  </w:tcPr>
                  <w:p>
                    <w:pPr>
                      <w:widowControl w:val="0"/>
                      <w:jc w:val="both"/>
                      <w:rPr>
                        <w:rStyle w:val="46"/>
                        <w:b w:val="0"/>
                        <w:sz w:val="18"/>
                        <w:szCs w:val="18"/>
                      </w:rPr>
                    </w:pPr>
                    <w:r>
                      <w:rPr>
                        <w:rFonts w:hint="eastAsia"/>
                        <w:sz w:val="18"/>
                        <w:szCs w:val="18"/>
                      </w:rPr>
                      <w:t>主要是为降低资金成本，公司加大采购使用承兑汇票力度</w:t>
                    </w:r>
                  </w:p>
                </w:tc>
              </w:tr>
            </w:sdtContent>
          </w:sdt>
          <w:sdt>
            <w:sdtPr>
              <w:rPr>
                <w:rStyle w:val="46"/>
                <w:rFonts w:hint="eastAsia"/>
                <w:b w:val="0"/>
                <w:sz w:val="18"/>
                <w:szCs w:val="18"/>
              </w:rPr>
              <w:alias w:val="资产负债状况分析"/>
              <w:tag w:val="_TUP_815ebab5da7a4ba88d97b27a17b235f3"/>
              <w:id w:val="1294179368"/>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应付账款</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325,152.56</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14.09</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358,681.84</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17.23</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-9.35</w:t>
                    </w:r>
                  </w:p>
                </w:tc>
                <w:tc>
                  <w:tcPr>
                    <w:tcW w:w="2564" w:type="dxa"/>
                  </w:tcPr>
                  <w:p>
                    <w:pPr>
                      <w:widowControl w:val="0"/>
                      <w:jc w:val="both"/>
                      <w:rPr>
                        <w:rStyle w:val="46"/>
                        <w:b w:val="0"/>
                        <w:sz w:val="18"/>
                        <w:szCs w:val="18"/>
                      </w:rPr>
                    </w:pPr>
                    <w:r>
                      <w:rPr>
                        <w:sz w:val="18"/>
                        <w:szCs w:val="18"/>
                      </w:rPr>
                      <w:t>　</w:t>
                    </w:r>
                  </w:p>
                </w:tc>
              </w:tr>
            </w:sdtContent>
          </w:sdt>
          <w:sdt>
            <w:sdtPr>
              <w:rPr>
                <w:rStyle w:val="46"/>
                <w:rFonts w:hint="eastAsia"/>
                <w:b w:val="0"/>
                <w:sz w:val="18"/>
                <w:szCs w:val="18"/>
              </w:rPr>
              <w:alias w:val="资产负债状况分析"/>
              <w:tag w:val="_TUP_815ebab5da7a4ba88d97b27a17b235f3"/>
              <w:id w:val="487903861"/>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预收款项</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111,760.12</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4.84</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49,932.85</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2.40</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123.82</w:t>
                    </w:r>
                  </w:p>
                </w:tc>
                <w:tc>
                  <w:tcPr>
                    <w:tcW w:w="2564" w:type="dxa"/>
                  </w:tcPr>
                  <w:p>
                    <w:pPr>
                      <w:widowControl w:val="0"/>
                      <w:jc w:val="both"/>
                      <w:rPr>
                        <w:rStyle w:val="46"/>
                        <w:b w:val="0"/>
                        <w:sz w:val="18"/>
                        <w:szCs w:val="18"/>
                      </w:rPr>
                    </w:pPr>
                    <w:r>
                      <w:rPr>
                        <w:sz w:val="18"/>
                        <w:szCs w:val="18"/>
                      </w:rPr>
                      <w:t>同比增幅123.82%，主要是公司钢材销售较好，客户预付货款增加</w:t>
                    </w:r>
                  </w:p>
                </w:tc>
              </w:tr>
            </w:sdtContent>
          </w:sdt>
          <w:sdt>
            <w:sdtPr>
              <w:rPr>
                <w:rStyle w:val="46"/>
                <w:rFonts w:hint="eastAsia"/>
                <w:b w:val="0"/>
                <w:sz w:val="18"/>
                <w:szCs w:val="18"/>
              </w:rPr>
              <w:alias w:val="资产负债状况分析"/>
              <w:tag w:val="_TUP_815ebab5da7a4ba88d97b27a17b235f3"/>
              <w:id w:val="801037276"/>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应付职工薪酬</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8,285.08</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0.36</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7,759.53</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0.37</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6.77</w:t>
                    </w:r>
                  </w:p>
                </w:tc>
                <w:tc>
                  <w:tcPr>
                    <w:tcW w:w="2564" w:type="dxa"/>
                  </w:tcPr>
                  <w:p>
                    <w:pPr>
                      <w:widowControl w:val="0"/>
                      <w:jc w:val="both"/>
                      <w:rPr>
                        <w:rStyle w:val="46"/>
                        <w:b w:val="0"/>
                        <w:sz w:val="18"/>
                        <w:szCs w:val="18"/>
                      </w:rPr>
                    </w:pPr>
                    <w:r>
                      <w:rPr>
                        <w:sz w:val="18"/>
                        <w:szCs w:val="18"/>
                      </w:rPr>
                      <w:t>　</w:t>
                    </w:r>
                  </w:p>
                </w:tc>
              </w:tr>
            </w:sdtContent>
          </w:sdt>
          <w:sdt>
            <w:sdtPr>
              <w:rPr>
                <w:rStyle w:val="46"/>
                <w:rFonts w:hint="eastAsia"/>
                <w:b w:val="0"/>
                <w:sz w:val="18"/>
                <w:szCs w:val="18"/>
              </w:rPr>
              <w:alias w:val="资产负债状况分析"/>
              <w:tag w:val="_TUP_815ebab5da7a4ba88d97b27a17b235f3"/>
              <w:id w:val="-112831247"/>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应交税费</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51,032.43</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2.21</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13,248.54</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0.64</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285.19</w:t>
                    </w:r>
                  </w:p>
                </w:tc>
                <w:tc>
                  <w:tcPr>
                    <w:tcW w:w="2564" w:type="dxa"/>
                  </w:tcPr>
                  <w:p>
                    <w:pPr>
                      <w:widowControl w:val="0"/>
                      <w:jc w:val="both"/>
                      <w:rPr>
                        <w:rStyle w:val="46"/>
                        <w:b w:val="0"/>
                        <w:sz w:val="18"/>
                        <w:szCs w:val="18"/>
                      </w:rPr>
                    </w:pPr>
                    <w:r>
                      <w:rPr>
                        <w:sz w:val="18"/>
                        <w:szCs w:val="18"/>
                      </w:rPr>
                      <w:t>同比增幅</w:t>
                    </w:r>
                    <w:r>
                      <w:rPr>
                        <w:rFonts w:hint="eastAsia"/>
                        <w:sz w:val="18"/>
                        <w:szCs w:val="18"/>
                      </w:rPr>
                      <w:t>285.19</w:t>
                    </w:r>
                    <w:r>
                      <w:rPr>
                        <w:sz w:val="18"/>
                        <w:szCs w:val="18"/>
                      </w:rPr>
                      <w:t>%，主要是应交企业所得税增加。</w:t>
                    </w:r>
                  </w:p>
                </w:tc>
              </w:tr>
            </w:sdtContent>
          </w:sdt>
          <w:sdt>
            <w:sdtPr>
              <w:rPr>
                <w:rStyle w:val="46"/>
                <w:rFonts w:hint="eastAsia"/>
                <w:b w:val="0"/>
                <w:sz w:val="18"/>
                <w:szCs w:val="18"/>
              </w:rPr>
              <w:alias w:val="资产负债状况分析"/>
              <w:tag w:val="_TUP_815ebab5da7a4ba88d97b27a17b235f3"/>
              <w:id w:val="112024397"/>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应付利息</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2,695.48</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0.12</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2,907.96</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0.14</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-7.31</w:t>
                    </w:r>
                  </w:p>
                </w:tc>
                <w:tc>
                  <w:tcPr>
                    <w:tcW w:w="2564" w:type="dxa"/>
                  </w:tcPr>
                  <w:p>
                    <w:pPr>
                      <w:widowControl w:val="0"/>
                      <w:jc w:val="both"/>
                      <w:rPr>
                        <w:rStyle w:val="46"/>
                        <w:b w:val="0"/>
                        <w:sz w:val="18"/>
                        <w:szCs w:val="18"/>
                      </w:rPr>
                    </w:pPr>
                    <w:r>
                      <w:rPr>
                        <w:sz w:val="18"/>
                        <w:szCs w:val="18"/>
                      </w:rPr>
                      <w:t>　</w:t>
                    </w:r>
                  </w:p>
                </w:tc>
              </w:tr>
            </w:sdtContent>
          </w:sdt>
          <w:sdt>
            <w:sdtPr>
              <w:rPr>
                <w:rStyle w:val="46"/>
                <w:rFonts w:hint="eastAsia"/>
                <w:b w:val="0"/>
                <w:sz w:val="18"/>
                <w:szCs w:val="18"/>
              </w:rPr>
              <w:alias w:val="资产负债状况分析"/>
              <w:tag w:val="_TUP_815ebab5da7a4ba88d97b27a17b235f3"/>
              <w:id w:val="-30349859"/>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一年内到期的非流动负债</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109,100.48</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4.73</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6,700.00</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0.32</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1,528.37</w:t>
                    </w:r>
                  </w:p>
                </w:tc>
                <w:tc>
                  <w:tcPr>
                    <w:tcW w:w="2564" w:type="dxa"/>
                    <w:vMerge w:val="restart"/>
                    <w:vAlign w:val="center"/>
                  </w:tcPr>
                  <w:p>
                    <w:pPr>
                      <w:widowControl w:val="0"/>
                      <w:jc w:val="both"/>
                      <w:rPr>
                        <w:rStyle w:val="46"/>
                        <w:b w:val="0"/>
                        <w:sz w:val="18"/>
                        <w:szCs w:val="18"/>
                      </w:rPr>
                    </w:pPr>
                    <w:r>
                      <w:rPr>
                        <w:sz w:val="18"/>
                        <w:szCs w:val="18"/>
                      </w:rPr>
                      <w:t>期末长期借款全部转为一年内到期的非流动负债</w:t>
                    </w:r>
                  </w:p>
                </w:tc>
              </w:tr>
            </w:sdtContent>
          </w:sdt>
          <w:sdt>
            <w:sdtPr>
              <w:rPr>
                <w:rStyle w:val="46"/>
                <w:rFonts w:hint="eastAsia"/>
                <w:b w:val="0"/>
                <w:sz w:val="18"/>
                <w:szCs w:val="18"/>
              </w:rPr>
              <w:alias w:val="资产负债状况分析"/>
              <w:tag w:val="_TUP_815ebab5da7a4ba88d97b27a17b235f3"/>
              <w:id w:val="-1437975401"/>
              <w:lock w:val="sdtLocked"/>
            </w:sdtPr>
            <w:sdtEndPr>
              <w:rPr>
                <w:rStyle w:val="36"/>
                <w:rFonts w:hint="default" w:ascii="Arial Narrow" w:hAnsi="Arial Narrow" w:eastAsiaTheme="minorEastAsia" w:cstheme="minorBidi"/>
                <w:b w:val="0"/>
                <w:bCs w:val="0"/>
                <w:kern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长期借款</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0.00</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             -  </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111,672.80</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5.37</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-100.00</w:t>
                    </w:r>
                  </w:p>
                </w:tc>
                <w:tc>
                  <w:tcPr>
                    <w:tcW w:w="2564" w:type="dxa"/>
                    <w:vMerge w:val="continue"/>
                  </w:tcPr>
                  <w:p>
                    <w:pPr>
                      <w:widowControl w:val="0"/>
                      <w:jc w:val="both"/>
                      <w:rPr>
                        <w:rStyle w:val="46"/>
                        <w:b w:val="0"/>
                        <w:sz w:val="18"/>
                        <w:szCs w:val="18"/>
                      </w:rPr>
                    </w:pPr>
                  </w:p>
                </w:tc>
              </w:tr>
            </w:sdtContent>
          </w:sdt>
          <w:sdt>
            <w:sdtPr>
              <w:rPr>
                <w:rStyle w:val="46"/>
                <w:rFonts w:hint="eastAsia"/>
                <w:b w:val="0"/>
                <w:sz w:val="18"/>
                <w:szCs w:val="18"/>
              </w:rPr>
              <w:alias w:val="资产负债状况分析"/>
              <w:tag w:val="_TUP_815ebab5da7a4ba88d97b27a17b235f3"/>
              <w:id w:val="-1112663616"/>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应付债券</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42,405.74</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1.84</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42,307.54</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2.03</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0.23</w:t>
                    </w:r>
                  </w:p>
                </w:tc>
                <w:tc>
                  <w:tcPr>
                    <w:tcW w:w="2564" w:type="dxa"/>
                  </w:tcPr>
                  <w:p>
                    <w:pPr>
                      <w:widowControl w:val="0"/>
                      <w:jc w:val="both"/>
                      <w:rPr>
                        <w:rStyle w:val="46"/>
                        <w:b w:val="0"/>
                        <w:sz w:val="18"/>
                        <w:szCs w:val="18"/>
                      </w:rPr>
                    </w:pPr>
                  </w:p>
                </w:tc>
              </w:tr>
            </w:sdtContent>
          </w:sdt>
          <w:sdt>
            <w:sdtPr>
              <w:rPr>
                <w:rStyle w:val="46"/>
                <w:rFonts w:hint="eastAsia"/>
                <w:b w:val="0"/>
                <w:sz w:val="18"/>
                <w:szCs w:val="18"/>
              </w:rPr>
              <w:alias w:val="资产负债状况分析"/>
              <w:tag w:val="_TUP_815ebab5da7a4ba88d97b27a17b235f3"/>
              <w:id w:val="390474946"/>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股本</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256,279.32</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11.11</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256,279.32</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12.31</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              </w:t>
                    </w:r>
                  </w:p>
                </w:tc>
                <w:tc>
                  <w:tcPr>
                    <w:tcW w:w="2564" w:type="dxa"/>
                  </w:tcPr>
                  <w:p>
                    <w:pPr>
                      <w:widowControl w:val="0"/>
                      <w:jc w:val="both"/>
                      <w:rPr>
                        <w:rStyle w:val="46"/>
                        <w:b w:val="0"/>
                        <w:sz w:val="18"/>
                        <w:szCs w:val="18"/>
                      </w:rPr>
                    </w:pPr>
                  </w:p>
                </w:tc>
              </w:tr>
            </w:sdtContent>
          </w:sdt>
          <w:sdt>
            <w:sdtPr>
              <w:rPr>
                <w:rStyle w:val="46"/>
                <w:rFonts w:hint="eastAsia"/>
                <w:b w:val="0"/>
                <w:sz w:val="18"/>
                <w:szCs w:val="18"/>
              </w:rPr>
              <w:alias w:val="资产负债状况分析"/>
              <w:tag w:val="_TUP_815ebab5da7a4ba88d97b27a17b235f3"/>
              <w:id w:val="1845275158"/>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盈余公积</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123,705.93</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5.36</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97,244.17</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4.67</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27.21</w:t>
                    </w:r>
                  </w:p>
                </w:tc>
                <w:tc>
                  <w:tcPr>
                    <w:tcW w:w="2564" w:type="dxa"/>
                  </w:tcPr>
                  <w:p>
                    <w:pPr>
                      <w:widowControl w:val="0"/>
                      <w:jc w:val="both"/>
                      <w:rPr>
                        <w:rStyle w:val="46"/>
                        <w:b w:val="0"/>
                        <w:sz w:val="18"/>
                        <w:szCs w:val="18"/>
                      </w:rPr>
                    </w:pPr>
                  </w:p>
                </w:tc>
              </w:tr>
            </w:sdtContent>
          </w:sdt>
          <w:sdt>
            <w:sdtPr>
              <w:rPr>
                <w:rStyle w:val="46"/>
                <w:rFonts w:hint="eastAsia"/>
                <w:b w:val="0"/>
                <w:sz w:val="18"/>
                <w:szCs w:val="18"/>
              </w:rPr>
              <w:alias w:val="资产负债状况分析"/>
              <w:tag w:val="_TUP_815ebab5da7a4ba88d97b27a17b235f3"/>
              <w:id w:val="1702829881"/>
              <w:lock w:val="sdtLocked"/>
            </w:sdtPr>
            <w:sdtEndPr>
              <w:rPr>
                <w:rStyle w:val="46"/>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701" w:type="dxa"/>
                    <w:vAlign w:val="center"/>
                  </w:tcPr>
                  <w:p>
                    <w:pPr>
                      <w:widowControl w:val="0"/>
                      <w:jc w:val="both"/>
                      <w:rPr>
                        <w:rStyle w:val="46"/>
                        <w:b w:val="0"/>
                        <w:sz w:val="18"/>
                        <w:szCs w:val="18"/>
                      </w:rPr>
                    </w:pPr>
                    <w:r>
                      <w:rPr>
                        <w:sz w:val="18"/>
                        <w:szCs w:val="18"/>
                      </w:rPr>
                      <w:t>未分配利润</w:t>
                    </w:r>
                  </w:p>
                </w:tc>
                <w:tc>
                  <w:tcPr>
                    <w:tcW w:w="1135" w:type="dxa"/>
                    <w:vAlign w:val="center"/>
                  </w:tcPr>
                  <w:p>
                    <w:pPr>
                      <w:widowControl w:val="0"/>
                      <w:jc w:val="right"/>
                      <w:rPr>
                        <w:rStyle w:val="46"/>
                        <w:rFonts w:ascii="Arial Narrow" w:hAnsi="Arial Narrow"/>
                        <w:b w:val="0"/>
                        <w:sz w:val="18"/>
                        <w:szCs w:val="18"/>
                      </w:rPr>
                    </w:pPr>
                    <w:r>
                      <w:rPr>
                        <w:rFonts w:ascii="Arial Narrow" w:hAnsi="Arial Narrow"/>
                        <w:sz w:val="18"/>
                        <w:szCs w:val="18"/>
                      </w:rPr>
                      <w:t>318,980.53</w:t>
                    </w:r>
                  </w:p>
                </w:tc>
                <w:tc>
                  <w:tcPr>
                    <w:tcW w:w="930" w:type="dxa"/>
                    <w:vAlign w:val="center"/>
                  </w:tcPr>
                  <w:p>
                    <w:pPr>
                      <w:widowControl w:val="0"/>
                      <w:jc w:val="right"/>
                      <w:rPr>
                        <w:rStyle w:val="46"/>
                        <w:rFonts w:ascii="Arial Narrow" w:hAnsi="Arial Narrow"/>
                        <w:b w:val="0"/>
                        <w:sz w:val="18"/>
                        <w:szCs w:val="18"/>
                      </w:rPr>
                    </w:pPr>
                    <w:r>
                      <w:rPr>
                        <w:rFonts w:ascii="Arial Narrow" w:hAnsi="Arial Narrow"/>
                        <w:sz w:val="18"/>
                        <w:szCs w:val="18"/>
                      </w:rPr>
                      <w:t>13.82</w:t>
                    </w:r>
                  </w:p>
                </w:tc>
                <w:tc>
                  <w:tcPr>
                    <w:tcW w:w="1197" w:type="dxa"/>
                    <w:vAlign w:val="center"/>
                  </w:tcPr>
                  <w:p>
                    <w:pPr>
                      <w:widowControl w:val="0"/>
                      <w:jc w:val="right"/>
                      <w:rPr>
                        <w:rStyle w:val="46"/>
                        <w:rFonts w:ascii="Arial Narrow" w:hAnsi="Arial Narrow"/>
                        <w:b w:val="0"/>
                        <w:sz w:val="18"/>
                        <w:szCs w:val="18"/>
                      </w:rPr>
                    </w:pPr>
                    <w:r>
                      <w:rPr>
                        <w:rFonts w:ascii="Arial Narrow" w:hAnsi="Arial Narrow"/>
                        <w:sz w:val="18"/>
                        <w:szCs w:val="18"/>
                      </w:rPr>
                      <w:t>88,513.04</w:t>
                    </w:r>
                  </w:p>
                </w:tc>
                <w:tc>
                  <w:tcPr>
                    <w:tcW w:w="991" w:type="dxa"/>
                    <w:vAlign w:val="center"/>
                  </w:tcPr>
                  <w:p>
                    <w:pPr>
                      <w:widowControl w:val="0"/>
                      <w:jc w:val="right"/>
                      <w:rPr>
                        <w:rStyle w:val="46"/>
                        <w:rFonts w:ascii="Arial Narrow" w:hAnsi="Arial Narrow"/>
                        <w:b w:val="0"/>
                        <w:sz w:val="18"/>
                        <w:szCs w:val="18"/>
                      </w:rPr>
                    </w:pPr>
                    <w:r>
                      <w:rPr>
                        <w:rFonts w:ascii="Arial Narrow" w:hAnsi="Arial Narrow"/>
                        <w:sz w:val="18"/>
                        <w:szCs w:val="18"/>
                      </w:rPr>
                      <w:t>4.25</w:t>
                    </w:r>
                  </w:p>
                </w:tc>
                <w:tc>
                  <w:tcPr>
                    <w:tcW w:w="1275" w:type="dxa"/>
                    <w:vAlign w:val="center"/>
                  </w:tcPr>
                  <w:p>
                    <w:pPr>
                      <w:widowControl w:val="0"/>
                      <w:jc w:val="right"/>
                      <w:rPr>
                        <w:rStyle w:val="46"/>
                        <w:rFonts w:ascii="Arial Narrow" w:hAnsi="Arial Narrow"/>
                        <w:b w:val="0"/>
                        <w:sz w:val="18"/>
                        <w:szCs w:val="18"/>
                      </w:rPr>
                    </w:pPr>
                    <w:r>
                      <w:rPr>
                        <w:rFonts w:ascii="Arial Narrow" w:hAnsi="Arial Narrow"/>
                        <w:sz w:val="18"/>
                        <w:szCs w:val="18"/>
                      </w:rPr>
                      <w:t>260.38</w:t>
                    </w:r>
                  </w:p>
                </w:tc>
                <w:tc>
                  <w:tcPr>
                    <w:tcW w:w="2564" w:type="dxa"/>
                  </w:tcPr>
                  <w:p>
                    <w:pPr>
                      <w:widowControl w:val="0"/>
                      <w:jc w:val="both"/>
                      <w:rPr>
                        <w:rStyle w:val="46"/>
                        <w:b w:val="0"/>
                        <w:sz w:val="18"/>
                        <w:szCs w:val="18"/>
                      </w:rPr>
                    </w:pPr>
                  </w:p>
                </w:tc>
              </w:tr>
            </w:sdtContent>
          </w:sdt>
        </w:tbl>
        <w:p/>
      </w:sdtContent>
    </w:sdt>
    <w:sdt>
      <w:sdtPr>
        <w:rPr>
          <w:rFonts w:ascii="宋体" w:hAnsi="宋体" w:cs="宋体"/>
          <w:b w:val="0"/>
          <w:bCs w:val="0"/>
          <w:kern w:val="0"/>
          <w:szCs w:val="21"/>
        </w:rPr>
        <w:alias w:val="模块:截至报告期末主要资产受限情"/>
        <w:tag w:val="_SEC_cd146e80d2e14aa4aac1142579c4c36a"/>
        <w:id w:val="6772798"/>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14"/>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01311ee451194f52a953344cf249b1b9"/>
            <w:id w:val="677279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主要资产受限情况"/>
            <w:tag w:val="_GBC_cb7fe3db517742e2a0cff2593f270f8e"/>
            <w:id w:val="6772797"/>
            <w:lock w:val="sdtLocked"/>
            <w:placeholder>
              <w:docPart w:val="GBC22222222222222222222222222222"/>
            </w:placeholder>
          </w:sdtPr>
          <w:sdtEndPr>
            <w:rPr>
              <w:szCs w:val="21"/>
            </w:rPr>
          </w:sdtEndPr>
          <w:sdtContent>
            <w:p>
              <w:pPr>
                <w:rPr>
                  <w:szCs w:val="21"/>
                </w:rPr>
              </w:pPr>
            </w:p>
            <w:tbl>
              <w:tblPr>
                <w:tblStyle w:val="83"/>
                <w:tblW w:w="90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86"/>
                <w:gridCol w:w="184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586" w:type="dxa"/>
                  </w:tcPr>
                  <w:p>
                    <w:pPr>
                      <w:jc w:val="center"/>
                      <w:rPr>
                        <w:rFonts w:ascii="Arial Narrow" w:hAnsi="Arial Narrow" w:cs="Arial Narrow"/>
                      </w:rPr>
                    </w:pPr>
                    <w:r>
                      <w:rPr>
                        <w:rFonts w:hint="eastAsia" w:ascii="Arial Narrow" w:hAnsi="Arial Narrow"/>
                      </w:rPr>
                      <w:t>项目</w:t>
                    </w:r>
                  </w:p>
                </w:tc>
                <w:tc>
                  <w:tcPr>
                    <w:tcW w:w="1842" w:type="dxa"/>
                  </w:tcPr>
                  <w:p>
                    <w:pPr>
                      <w:jc w:val="center"/>
                      <w:rPr>
                        <w:rFonts w:ascii="Arial Narrow" w:hAnsi="Arial Narrow" w:cs="Arial Narrow"/>
                      </w:rPr>
                    </w:pPr>
                    <w:r>
                      <w:rPr>
                        <w:rFonts w:hint="eastAsia" w:ascii="Arial Narrow" w:hAnsi="Arial Narrow"/>
                      </w:rPr>
                      <w:t>期末账面价值（元）</w:t>
                    </w:r>
                  </w:p>
                </w:tc>
                <w:tc>
                  <w:tcPr>
                    <w:tcW w:w="5670" w:type="dxa"/>
                  </w:tcPr>
                  <w:p>
                    <w:pPr>
                      <w:jc w:val="center"/>
                      <w:rPr>
                        <w:rFonts w:ascii="Arial Narrow" w:hAnsi="Arial Narrow" w:cs="Arial Narrow"/>
                      </w:rPr>
                    </w:pPr>
                    <w:r>
                      <w:rPr>
                        <w:rFonts w:hint="eastAsia" w:ascii="Arial Narrow" w:hAnsi="Arial Narrow"/>
                      </w:rPr>
                      <w:t>受限原因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586" w:type="dxa"/>
                  </w:tcPr>
                  <w:p>
                    <w:pPr>
                      <w:rPr>
                        <w:rFonts w:ascii="Arial Narrow" w:hAnsi="Arial Narrow" w:cs="Arial Narrow"/>
                      </w:rPr>
                    </w:pPr>
                    <w:r>
                      <w:rPr>
                        <w:rFonts w:hint="eastAsia" w:ascii="Arial Narrow" w:hAnsi="Arial Narrow"/>
                      </w:rPr>
                      <w:t>货币资金</w:t>
                    </w:r>
                  </w:p>
                </w:tc>
                <w:tc>
                  <w:tcPr>
                    <w:tcW w:w="1842" w:type="dxa"/>
                    <w:vAlign w:val="center"/>
                  </w:tcPr>
                  <w:p>
                    <w:pPr>
                      <w:jc w:val="right"/>
                      <w:rPr>
                        <w:rFonts w:ascii="Arial Narrow" w:hAnsi="Arial Narrow"/>
                      </w:rPr>
                    </w:pPr>
                    <w:r>
                      <w:rPr>
                        <w:rFonts w:ascii="Arial Narrow" w:hAnsi="Arial Narrow"/>
                      </w:rPr>
                      <w:t>277,623,343.41</w:t>
                    </w:r>
                  </w:p>
                </w:tc>
                <w:tc>
                  <w:tcPr>
                    <w:tcW w:w="5670" w:type="dxa"/>
                    <w:vAlign w:val="center"/>
                  </w:tcPr>
                  <w:p>
                    <w:pPr>
                      <w:rPr>
                        <w:rFonts w:ascii="Arial Narrow" w:hAnsi="Arial Narrow"/>
                        <w:color w:val="000000" w:themeColor="text1"/>
                        <w:sz w:val="18"/>
                        <w:szCs w:val="18"/>
                      </w:rPr>
                    </w:pPr>
                    <w:r>
                      <w:rPr>
                        <w:rFonts w:ascii="Arial Narrow" w:hAnsi="Arial Narrow"/>
                        <w:color w:val="000000" w:themeColor="text1"/>
                        <w:sz w:val="18"/>
                        <w:szCs w:val="18"/>
                      </w:rPr>
                      <w:t>信用证保证金、银行承兑汇票保证金</w:t>
                    </w:r>
                    <w:r>
                      <w:rPr>
                        <w:rFonts w:hint="eastAsia" w:ascii="Arial Narrow" w:hAnsi="Arial Narrow"/>
                        <w:color w:val="000000" w:themeColor="text1"/>
                        <w:sz w:val="18"/>
                        <w:szCs w:val="18"/>
                      </w:rPr>
                      <w:t>、贷款保证金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586" w:type="dxa"/>
                  </w:tcPr>
                  <w:p>
                    <w:pPr>
                      <w:rPr>
                        <w:rFonts w:ascii="Arial Narrow" w:hAnsi="Arial Narrow" w:cs="Arial Narrow"/>
                      </w:rPr>
                    </w:pPr>
                    <w:r>
                      <w:rPr>
                        <w:rFonts w:hint="eastAsia" w:ascii="Arial Narrow" w:hAnsi="Arial Narrow"/>
                      </w:rPr>
                      <w:t>应收票据</w:t>
                    </w:r>
                  </w:p>
                </w:tc>
                <w:tc>
                  <w:tcPr>
                    <w:tcW w:w="1842" w:type="dxa"/>
                    <w:vAlign w:val="center"/>
                  </w:tcPr>
                  <w:p>
                    <w:pPr>
                      <w:jc w:val="right"/>
                      <w:rPr>
                        <w:rFonts w:ascii="Arial Narrow" w:hAnsi="Arial Narrow"/>
                      </w:rPr>
                    </w:pPr>
                    <w:r>
                      <w:rPr>
                        <w:rFonts w:ascii="Arial Narrow" w:hAnsi="Arial Narrow"/>
                      </w:rPr>
                      <w:t>205,130,000.00</w:t>
                    </w:r>
                  </w:p>
                </w:tc>
                <w:tc>
                  <w:tcPr>
                    <w:tcW w:w="5670" w:type="dxa"/>
                  </w:tcPr>
                  <w:p>
                    <w:pPr>
                      <w:rPr>
                        <w:rFonts w:ascii="Arial Narrow" w:hAnsi="Arial Narrow"/>
                      </w:rPr>
                    </w:pPr>
                    <w:r>
                      <w:rPr>
                        <w:rFonts w:hint="eastAsia" w:ascii="Arial Narrow" w:hAnsi="Arial Narrow"/>
                      </w:rPr>
                      <w:t>签发票据质押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586" w:type="dxa"/>
                  </w:tcPr>
                  <w:p>
                    <w:pPr>
                      <w:rPr>
                        <w:rFonts w:ascii="Arial Narrow" w:hAnsi="Arial Narrow" w:cs="Arial Narrow"/>
                      </w:rPr>
                    </w:pPr>
                    <w:r>
                      <w:rPr>
                        <w:rFonts w:hint="eastAsia" w:ascii="Arial Narrow" w:hAnsi="Arial Narrow"/>
                      </w:rPr>
                      <w:t>固定资产</w:t>
                    </w:r>
                  </w:p>
                </w:tc>
                <w:tc>
                  <w:tcPr>
                    <w:tcW w:w="1842" w:type="dxa"/>
                    <w:vAlign w:val="center"/>
                  </w:tcPr>
                  <w:p>
                    <w:pPr>
                      <w:jc w:val="right"/>
                      <w:rPr>
                        <w:rFonts w:ascii="Arial Narrow" w:hAnsi="Arial Narrow"/>
                      </w:rPr>
                    </w:pPr>
                    <w:r>
                      <w:rPr>
                        <w:rFonts w:ascii="Arial Narrow" w:hAnsi="Arial Narrow"/>
                      </w:rPr>
                      <w:t>690,404,562.60</w:t>
                    </w:r>
                  </w:p>
                </w:tc>
                <w:tc>
                  <w:tcPr>
                    <w:tcW w:w="5670" w:type="dxa"/>
                  </w:tcPr>
                  <w:p>
                    <w:pPr>
                      <w:rPr>
                        <w:rFonts w:ascii="Arial Narrow" w:hAnsi="Arial Narrow"/>
                      </w:rPr>
                    </w:pPr>
                    <w:r>
                      <w:rPr>
                        <w:rFonts w:ascii="Arial Narrow" w:hAnsi="Arial Narrow"/>
                      </w:rPr>
                      <w:t>借款抵押的固定资产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1586" w:type="dxa"/>
                    <w:vAlign w:val="center"/>
                  </w:tcPr>
                  <w:p>
                    <w:pPr>
                      <w:jc w:val="center"/>
                      <w:rPr>
                        <w:rFonts w:ascii="Arial Narrow" w:hAnsi="Arial Narrow" w:cs="Arial Narrow"/>
                      </w:rPr>
                    </w:pPr>
                    <w:r>
                      <w:rPr>
                        <w:rFonts w:hint="eastAsia" w:ascii="Arial Narrow" w:hAnsi="Arial Narrow"/>
                      </w:rPr>
                      <w:t>合计</w:t>
                    </w:r>
                  </w:p>
                </w:tc>
                <w:tc>
                  <w:tcPr>
                    <w:tcW w:w="1842" w:type="dxa"/>
                    <w:vAlign w:val="center"/>
                  </w:tcPr>
                  <w:p>
                    <w:pPr>
                      <w:jc w:val="right"/>
                      <w:rPr>
                        <w:rFonts w:ascii="Arial Narrow" w:hAnsi="Arial Narrow"/>
                      </w:rPr>
                    </w:pPr>
                    <w:r>
                      <w:rPr>
                        <w:rFonts w:hint="eastAsia" w:ascii="Arial Narrow" w:hAnsi="Arial Narrow"/>
                      </w:rPr>
                      <w:t>1,173,157,906.01</w:t>
                    </w:r>
                  </w:p>
                </w:tc>
                <w:tc>
                  <w:tcPr>
                    <w:tcW w:w="5670" w:type="dxa"/>
                  </w:tcPr>
                  <w:p>
                    <w:pPr>
                      <w:jc w:val="center"/>
                      <w:rPr>
                        <w:rFonts w:ascii="Calibri" w:hAnsi="Calibri"/>
                        <w:sz w:val="20"/>
                      </w:rPr>
                    </w:pPr>
                    <w:r>
                      <w:rPr>
                        <w:rFonts w:hint="eastAsia" w:ascii="Calibri" w:hAnsi="Calibri"/>
                        <w:sz w:val="20"/>
                      </w:rPr>
                      <w:t>/</w:t>
                    </w:r>
                  </w:p>
                </w:tc>
              </w:tr>
            </w:tbl>
            <w:p>
              <w:pPr>
                <w:rPr>
                  <w:szCs w:val="21"/>
                </w:rPr>
              </w:pPr>
            </w:p>
          </w:sdtContent>
        </w:sdt>
      </w:sdtContent>
    </w:sdt>
    <w:p>
      <w:pPr>
        <w:rPr>
          <w:szCs w:val="21"/>
        </w:rPr>
      </w:pPr>
    </w:p>
    <w:sdt>
      <w:sdtPr>
        <w:rPr>
          <w:rFonts w:ascii="宋体" w:hAnsi="宋体" w:cs="宋体"/>
          <w:b w:val="0"/>
          <w:bCs w:val="0"/>
          <w:kern w:val="0"/>
          <w:szCs w:val="21"/>
        </w:rPr>
        <w:alias w:val="模块:其他说明"/>
        <w:tag w:val="_SEC_0a5a7a92c0314a60b3f3d11562efe5d4"/>
        <w:id w:val="6772800"/>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14"/>
            </w:numPr>
            <w:rPr>
              <w:szCs w:val="21"/>
            </w:rPr>
          </w:pPr>
          <w:r>
            <w:rPr>
              <w:szCs w:val="21"/>
            </w:rPr>
            <w:t>其他说明</w:t>
          </w:r>
        </w:p>
        <w:sdt>
          <w:sdtPr>
            <w:rPr>
              <w:rFonts w:hint="eastAsia"/>
              <w:szCs w:val="21"/>
            </w:rPr>
            <w:alias w:val="是否适用：资产及负债状况的其他说明[双击切换]"/>
            <w:tag w:val="_GBC_364e24c8cf1a4469ba88a4ae16e0417f"/>
            <w:id w:val="677279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1"/>
        </w:rPr>
        <w:alias w:val="模块:行业经营性信息分析"/>
        <w:tag w:val="_SEC_5860c602a88b4fa29c583d556917cd48"/>
        <w:id w:val="6772803"/>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9"/>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6772801"/>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行业经营性信息分析"/>
            <w:tag w:val="_GBC_e16bc1aa6d5e4cdd94278d9bb9b9d44b"/>
            <w:id w:val="6772802"/>
            <w:lock w:val="sdtLocked"/>
            <w:placeholder>
              <w:docPart w:val="GBC22222222222222222222222222222"/>
            </w:placeholder>
          </w:sdtPr>
          <w:sdtEndPr>
            <w:rPr>
              <w:rFonts w:hint="eastAsia"/>
              <w:szCs w:val="21"/>
            </w:rPr>
          </w:sdtEndPr>
          <w:sdtContent>
            <w:p>
              <w:pPr>
                <w:rPr>
                  <w:szCs w:val="21"/>
                </w:rPr>
              </w:pPr>
              <w:r>
                <w:rPr>
                  <w:rFonts w:hint="eastAsia"/>
                  <w:szCs w:val="21"/>
                </w:rPr>
                <w:t>详见“第四节 经营情况讨论与分析”中的“（一）2017年钢铁行业运行情况”。</w:t>
              </w:r>
            </w:p>
          </w:sdtContent>
        </w:sdt>
        <w:p>
          <w:pPr>
            <w:rPr>
              <w:szCs w:val="21"/>
            </w:rPr>
          </w:pPr>
        </w:p>
      </w:sdtContent>
    </w:sdt>
    <w:sdt>
      <w:sdtPr>
        <w:rPr>
          <w:rFonts w:hint="eastAsia" w:ascii="Calibri" w:hAnsi="Calibri" w:cs="宋体"/>
          <w:b w:val="0"/>
          <w:bCs w:val="0"/>
          <w:kern w:val="0"/>
          <w:szCs w:val="21"/>
        </w:rPr>
        <w:alias w:val="模块:按加工工艺分类的钢材制造和销售情况"/>
        <w:tag w:val="_SEC_5eb2a038a1364806b39e481ba9b968de"/>
        <w:id w:val="6772824"/>
        <w:lock w:val="sdtLocked"/>
        <w:placeholder>
          <w:docPart w:val="GBC22222222222222222222222222222"/>
        </w:placeholder>
      </w:sdtPr>
      <w:sdtEndPr>
        <w:rPr>
          <w:rFonts w:hint="default" w:ascii="宋体" w:hAnsi="宋体" w:cs="宋体"/>
          <w:b w:val="0"/>
          <w:bCs w:val="0"/>
          <w:kern w:val="0"/>
          <w:szCs w:val="24"/>
        </w:rPr>
      </w:sdtEndPr>
      <w:sdtContent>
        <w:p>
          <w:pPr>
            <w:pStyle w:val="5"/>
            <w:rPr>
              <w:rFonts w:ascii="Calibri" w:hAnsi="Calibri"/>
              <w:bCs w:val="0"/>
              <w:szCs w:val="21"/>
            </w:rPr>
          </w:pPr>
          <w:r>
            <w:rPr>
              <w:rFonts w:hint="eastAsia"/>
            </w:rPr>
            <w:t>钢铁</w:t>
          </w:r>
          <w:r>
            <w:rPr>
              <w:rFonts w:hint="eastAsia" w:ascii="宋体" w:hAnsi="宋体" w:cs="宋体"/>
              <w:bCs w:val="0"/>
              <w:kern w:val="0"/>
              <w:szCs w:val="24"/>
            </w:rPr>
            <w:t>行业经营性信息分析</w:t>
          </w:r>
        </w:p>
        <w:p>
          <w:pPr>
            <w:pStyle w:val="6"/>
            <w:numPr>
              <w:ilvl w:val="0"/>
              <w:numId w:val="15"/>
            </w:numPr>
          </w:pPr>
          <w:r>
            <w:rPr>
              <w:rFonts w:hint="eastAsia"/>
            </w:rPr>
            <w:t>按加工工艺分类的钢材制造和销售情况</w:t>
          </w:r>
        </w:p>
        <w:sdt>
          <w:sdtPr>
            <w:rPr>
              <w:rFonts w:hint="eastAsia"/>
            </w:rPr>
            <w:alias w:val="是否适用：按加工工艺分类的钢材制造和销售情况[双击切换]"/>
            <w:tag w:val="_GBC_cc7950b41e274e878e06084299f40f13"/>
            <w:id w:val="6772804"/>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wordWrap w:val="0"/>
            <w:jc w:val="right"/>
          </w:pPr>
          <w:r>
            <w:rPr>
              <w:rFonts w:hint="eastAsia"/>
            </w:rPr>
            <w:t>单位：</w:t>
          </w:r>
          <w:sdt>
            <w:sdtPr>
              <w:rPr>
                <w:rFonts w:hint="eastAsia"/>
              </w:rPr>
              <w:alias w:val="单位：按加工工艺分类的钢材制造和销售情况"/>
              <w:tag w:val="_GBC_052eb11c9fa745318006669215325726"/>
              <w:id w:val="677280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万元</w:t>
              </w:r>
            </w:sdtContent>
          </w:sdt>
          <w:r>
            <w:rPr>
              <w:rFonts w:hint="eastAsia"/>
            </w:rPr>
            <w:t xml:space="preserve">  币种：</w:t>
          </w:r>
          <w:sdt>
            <w:sdtPr>
              <w:rPr>
                <w:rFonts w:hint="eastAsia"/>
              </w:rPr>
              <w:alias w:val="币种：按加工工艺分类的钢材制造和销售情况"/>
              <w:tag w:val="_GBC_5d799a3c82004da2a7491f55a0d610fe"/>
              <w:id w:val="67728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77"/>
            <w:gridCol w:w="787"/>
            <w:gridCol w:w="769"/>
            <w:gridCol w:w="776"/>
            <w:gridCol w:w="767"/>
            <w:gridCol w:w="787"/>
            <w:gridCol w:w="796"/>
            <w:gridCol w:w="822"/>
            <w:gridCol w:w="66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59311695897447299b03db5e8724ed13"/>
                <w:id w:val="6772807"/>
                <w:lock w:val="sdtLocked"/>
              </w:sdtPr>
              <w:sdtContent>
                <w:tc>
                  <w:tcPr>
                    <w:tcW w:w="13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pPr>
                    <w:r>
                      <w:rPr>
                        <w:rFonts w:hint="eastAsia"/>
                      </w:rPr>
                      <w:t>按加工工艺区分的种类</w:t>
                    </w:r>
                  </w:p>
                </w:tc>
              </w:sdtContent>
            </w:sdt>
            <w:sdt>
              <w:sdtPr>
                <w:tag w:val="_PLD_ad49bb4b79c94404a0bec8dbc687ae8a"/>
                <w:id w:val="6772808"/>
                <w:lock w:val="sdtLocked"/>
              </w:sdtPr>
              <w:sdtContent>
                <w:tc>
                  <w:tcPr>
                    <w:tcW w:w="15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产量（吨）</w:t>
                    </w:r>
                  </w:p>
                </w:tc>
              </w:sdtContent>
            </w:sdt>
            <w:sdt>
              <w:sdtPr>
                <w:tag w:val="_PLD_84aef83e9cfa4d3d85390abd33c83729"/>
                <w:id w:val="6772809"/>
                <w:lock w:val="sdtLocked"/>
              </w:sdtPr>
              <w:sdtContent>
                <w:tc>
                  <w:tcPr>
                    <w:tcW w:w="15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销量（吨）</w:t>
                    </w:r>
                  </w:p>
                </w:tc>
              </w:sdtContent>
            </w:sdt>
            <w:sdt>
              <w:sdtPr>
                <w:tag w:val="_PLD_5f579d5e6fb14041a74c222fdd4f418f"/>
                <w:id w:val="6772810"/>
                <w:lock w:val="sdtLocked"/>
              </w:sdtPr>
              <w:sdtContent>
                <w:tc>
                  <w:tcPr>
                    <w:tcW w:w="155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营业收入</w:t>
                    </w:r>
                  </w:p>
                </w:tc>
              </w:sdtContent>
            </w:sdt>
            <w:sdt>
              <w:sdtPr>
                <w:tag w:val="_PLD_9b6206aca0414630beedc580d480fc44"/>
                <w:id w:val="6772811"/>
                <w:lock w:val="sdtLocked"/>
              </w:sdtPr>
              <w:sdtContent>
                <w:tc>
                  <w:tcPr>
                    <w:tcW w:w="16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营业成本</w:t>
                    </w:r>
                  </w:p>
                </w:tc>
              </w:sdtContent>
            </w:sdt>
            <w:sdt>
              <w:sdtPr>
                <w:tag w:val="_PLD_a4bd37dbc54d451aaf1dc41816eed093"/>
                <w:id w:val="6772812"/>
                <w:lock w:val="sdtLocked"/>
              </w:sdtPr>
              <w:sdtContent>
                <w:tc>
                  <w:tcPr>
                    <w:tcW w:w="14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毛利率（%）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sdt>
              <w:sdtPr>
                <w:tag w:val="_PLD_a9c9187810894730ac4aff28c2c5af0c"/>
                <w:id w:val="6772813"/>
                <w:lock w:val="sdtLocked"/>
              </w:sdtPr>
              <w:sdtContent>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6aa7b7addeae403a93fd3cdd3b76d318"/>
                <w:id w:val="6772814"/>
                <w:lock w:val="sdtLocked"/>
              </w:sdtPr>
              <w:sdtContent>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3b5764969dee49e7bd508342a60cb5fb"/>
                <w:id w:val="6772815"/>
                <w:lock w:val="sdtLocked"/>
              </w:sdtPr>
              <w:sdtContent>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27589f9115114e41976638412ffeee35"/>
                <w:id w:val="6772816"/>
                <w:lock w:val="sdtLocked"/>
              </w:sdtPr>
              <w:sdtContent>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984c194396af4a66bffee4fe9dbc83ae"/>
                <w:id w:val="6772817"/>
                <w:lock w:val="sdtLocked"/>
              </w:sdtPr>
              <w:sdtContent>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237c94a0e6b0412f9be3ea36311ab5ae"/>
                <w:id w:val="6772818"/>
                <w:lock w:val="sdtLocked"/>
              </w:sdtPr>
              <w:sdtContent>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942c001c2b6947df982b55cc033d36b5"/>
                <w:id w:val="6772819"/>
                <w:lock w:val="sdtLocked"/>
              </w:sdtPr>
              <w:sdtContent>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eb5c58787b3d4cf9b2094f5ce2c6c0f1"/>
                <w:id w:val="6772820"/>
                <w:lock w:val="sdtLocked"/>
              </w:sdtPr>
              <w:sdtContent>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295fcbe64f4842e3b4aa99309bf75f1c"/>
                <w:id w:val="6772821"/>
                <w:lock w:val="sdtLocked"/>
              </w:sdtPr>
              <w:sdtContent>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91c0e1f787b74f4e81c73cf457508484"/>
                <w:id w:val="6772822"/>
                <w:lock w:val="sdtLocked"/>
              </w:sdtPr>
              <w:sdtContent>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rPr>
                  <w:sz w:val="18"/>
                  <w:szCs w:val="18"/>
                </w:rPr>
                <w:tag w:val="_PLD_6e3705755c3948fc92c712b3a529cb39"/>
                <w:id w:val="6772823"/>
                <w:lock w:val="sdtLocked"/>
              </w:sdtPr>
              <w:sdtEndPr>
                <w:rPr>
                  <w:sz w:val="18"/>
                  <w:szCs w:val="18"/>
                </w:rPr>
              </w:sdtEndPr>
              <w:sdtContent>
                <w:tc>
                  <w:tcPr>
                    <w:tcW w:w="1340" w:type="dxa"/>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r>
                      <w:rPr>
                        <w:rFonts w:hint="eastAsia"/>
                        <w:sz w:val="18"/>
                        <w:szCs w:val="18"/>
                      </w:rPr>
                      <w:t>热轧钢材</w:t>
                    </w:r>
                  </w:p>
                </w:tc>
              </w:sdtContent>
            </w:sdt>
            <w:tc>
              <w:tcPr>
                <w:tcW w:w="77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7,223,981</w:t>
                </w:r>
              </w:p>
            </w:tc>
            <w:tc>
              <w:tcPr>
                <w:tcW w:w="78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5,449,307</w:t>
                </w:r>
              </w:p>
            </w:tc>
            <w:tc>
              <w:tcPr>
                <w:tcW w:w="76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7,152,212</w:t>
                </w:r>
              </w:p>
            </w:tc>
            <w:tc>
              <w:tcPr>
                <w:tcW w:w="776"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5,490,531</w:t>
                </w:r>
              </w:p>
            </w:tc>
            <w:tc>
              <w:tcPr>
                <w:tcW w:w="76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2,351,739</w:t>
                </w:r>
              </w:p>
            </w:tc>
            <w:tc>
              <w:tcPr>
                <w:tcW w:w="78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1,177,529</w:t>
                </w:r>
              </w:p>
            </w:tc>
            <w:tc>
              <w:tcPr>
                <w:tcW w:w="796"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1,915,219</w:t>
                </w:r>
              </w:p>
            </w:tc>
            <w:tc>
              <w:tcPr>
                <w:tcW w:w="82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1,102,929</w:t>
                </w:r>
              </w:p>
            </w:tc>
            <w:tc>
              <w:tcPr>
                <w:tcW w:w="66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18.56</w:t>
                </w:r>
              </w:p>
            </w:tc>
            <w:tc>
              <w:tcPr>
                <w:tcW w:w="766"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6.34</w:t>
                </w:r>
              </w:p>
            </w:tc>
          </w:tr>
        </w:tbl>
        <w:p/>
        <w:p/>
      </w:sdtContent>
    </w:sdt>
    <w:sdt>
      <w:sdtPr>
        <w:rPr>
          <w:rFonts w:hint="eastAsia" w:ascii="宋体" w:hAnsi="宋体" w:cs="宋体"/>
          <w:b w:val="0"/>
          <w:bCs w:val="0"/>
          <w:kern w:val="0"/>
          <w:szCs w:val="21"/>
        </w:rPr>
        <w:alias w:val="模块:按成品形态分类的钢材制造和销售情况"/>
        <w:tag w:val="_SEC_8585a3d577314e8e9129d345f2b24b8c"/>
        <w:id w:val="6772848"/>
        <w:lock w:val="sdtLocked"/>
        <w:placeholder>
          <w:docPart w:val="GBC22222222222222222222222222222"/>
        </w:placeholder>
      </w:sdtPr>
      <w:sdtEndPr>
        <w:rPr>
          <w:rFonts w:hint="default" w:ascii="宋体" w:hAnsi="宋体" w:cs="宋体"/>
          <w:b w:val="0"/>
          <w:bCs w:val="0"/>
          <w:kern w:val="0"/>
          <w:szCs w:val="24"/>
        </w:rPr>
      </w:sdtEndPr>
      <w:sdtContent>
        <w:p>
          <w:pPr>
            <w:pStyle w:val="6"/>
            <w:numPr>
              <w:ilvl w:val="0"/>
              <w:numId w:val="15"/>
            </w:numPr>
            <w:rPr>
              <w:bCs w:val="0"/>
              <w:szCs w:val="21"/>
            </w:rPr>
          </w:pPr>
          <w:r>
            <w:rPr>
              <w:rFonts w:hint="eastAsia"/>
              <w:bCs w:val="0"/>
              <w:szCs w:val="21"/>
            </w:rPr>
            <w:t>按成品形态分类的钢材制造和销售情况</w:t>
          </w:r>
        </w:p>
        <w:sdt>
          <w:sdtPr>
            <w:rPr>
              <w:rFonts w:hint="eastAsia"/>
            </w:rPr>
            <w:alias w:val="是否适用：按成品形态分类的钢材制造和销售情况[双击切换]"/>
            <w:tag w:val="_GBC_05668711417544f9b3ce7083b909a747"/>
            <w:id w:val="6772825"/>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wordWrap w:val="0"/>
            <w:jc w:val="right"/>
          </w:pPr>
          <w:r>
            <w:rPr>
              <w:rFonts w:hint="eastAsia"/>
            </w:rPr>
            <w:t>单位：</w:t>
          </w:r>
          <w:sdt>
            <w:sdtPr>
              <w:rPr>
                <w:rFonts w:hint="eastAsia"/>
              </w:rPr>
              <w:alias w:val="单位：按成品形态分类的钢材制造和销售情况"/>
              <w:tag w:val="_GBC_7dddd71cfb4b45c3b237b90cd36f56ff"/>
              <w:id w:val="677282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万元</w:t>
              </w:r>
            </w:sdtContent>
          </w:sdt>
          <w:r>
            <w:rPr>
              <w:rFonts w:hint="eastAsia"/>
            </w:rPr>
            <w:t xml:space="preserve">  币种：</w:t>
          </w:r>
          <w:sdt>
            <w:sdtPr>
              <w:rPr>
                <w:rFonts w:hint="eastAsia"/>
              </w:rPr>
              <w:alias w:val="币种：按成品形态分类的钢材制造和销售情况"/>
              <w:tag w:val="_GBC_d1488f3b50c242d68be68c8887f5d28f"/>
              <w:id w:val="67728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225"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804"/>
            <w:gridCol w:w="825"/>
            <w:gridCol w:w="825"/>
            <w:gridCol w:w="827"/>
            <w:gridCol w:w="814"/>
            <w:gridCol w:w="839"/>
            <w:gridCol w:w="825"/>
            <w:gridCol w:w="825"/>
            <w:gridCol w:w="84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sdt>
              <w:sdtPr>
                <w:tag w:val="_PLD_0f56032d0d7f466dac418471eb329f16"/>
                <w:id w:val="6772828"/>
                <w:lock w:val="sdtLocked"/>
              </w:sdtPr>
              <w:sdtContent>
                <w:tc>
                  <w:tcPr>
                    <w:tcW w:w="99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按成品形态区分的种类</w:t>
                    </w:r>
                  </w:p>
                </w:tc>
              </w:sdtContent>
            </w:sdt>
            <w:sdt>
              <w:sdtPr>
                <w:tag w:val="_PLD_b3b112bcf51b4e3e85cb0f73661bc7ed"/>
                <w:id w:val="6772829"/>
                <w:lock w:val="sdtLocked"/>
              </w:sdtPr>
              <w:sdtContent>
                <w:tc>
                  <w:tcPr>
                    <w:tcW w:w="16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产量（吨）</w:t>
                    </w:r>
                  </w:p>
                </w:tc>
              </w:sdtContent>
            </w:sdt>
            <w:sdt>
              <w:sdtPr>
                <w:tag w:val="_PLD_d308c95d73f74dc3afb95d0918c7993b"/>
                <w:id w:val="6772830"/>
                <w:lock w:val="sdtLocked"/>
              </w:sdtPr>
              <w:sdtContent>
                <w:tc>
                  <w:tcPr>
                    <w:tcW w:w="16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销量（吨）</w:t>
                    </w:r>
                  </w:p>
                </w:tc>
              </w:sdtContent>
            </w:sdt>
            <w:sdt>
              <w:sdtPr>
                <w:tag w:val="_PLD_cf8df25baf13469d8ebc530c310c9033"/>
                <w:id w:val="6772831"/>
                <w:lock w:val="sdtLocked"/>
              </w:sdtPr>
              <w:sdtContent>
                <w:tc>
                  <w:tcPr>
                    <w:tcW w:w="16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营业收入</w:t>
                    </w:r>
                  </w:p>
                </w:tc>
              </w:sdtContent>
            </w:sdt>
            <w:sdt>
              <w:sdtPr>
                <w:tag w:val="_PLD_a7cb0b0c7bed4b7c8d689da3bdc851a8"/>
                <w:id w:val="6772832"/>
                <w:lock w:val="sdtLocked"/>
              </w:sdtPr>
              <w:sdtContent>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营业成本</w:t>
                    </w:r>
                  </w:p>
                </w:tc>
              </w:sdtContent>
            </w:sdt>
            <w:sdt>
              <w:sdtPr>
                <w:tag w:val="_PLD_582aea3634244b8892571e5e7b93eb76"/>
                <w:id w:val="6772833"/>
                <w:lock w:val="sdtLocked"/>
              </w:sdtPr>
              <w:sdtContent>
                <w:tc>
                  <w:tcPr>
                    <w:tcW w:w="164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毛利率（%）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tc>
            <w:sdt>
              <w:sdtPr>
                <w:tag w:val="_PLD_6a06be1bcebd452f9d4fd8f914f66411"/>
                <w:id w:val="6772834"/>
                <w:lock w:val="sdtLocked"/>
              </w:sdtPr>
              <w:sdtContent>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ccdc08c45f7147e3ba15593ca070c80e"/>
                <w:id w:val="6772835"/>
                <w:lock w:val="sdtLocked"/>
              </w:sdtPr>
              <w:sdtContent>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30cf73c2a3514f74b68af68a427a63af"/>
                <w:id w:val="6772836"/>
                <w:lock w:val="sdtLocked"/>
              </w:sdtPr>
              <w:sdtContent>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8bf85b00e07746b6878c43024e95c7f2"/>
                <w:id w:val="6772837"/>
                <w:lock w:val="sdtLocked"/>
              </w:sdtPr>
              <w:sdtContent>
                <w:tc>
                  <w:tcPr>
                    <w:tcW w:w="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775c2e8565a6481890c7f48fee816eb3"/>
                <w:id w:val="6772838"/>
                <w:lock w:val="sdtLocked"/>
              </w:sdtPr>
              <w:sdtContent>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9237fdba2b9e45c6be2c1091ff2e3cdd"/>
                <w:id w:val="6772839"/>
                <w:lock w:val="sdtLocked"/>
              </w:sdtPr>
              <w:sdtContent>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5b0af7bbb3da4bcbb79006fe302fed62"/>
                <w:id w:val="6772840"/>
                <w:lock w:val="sdtLocked"/>
              </w:sdtPr>
              <w:sdtContent>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cc3a8769754145cf9c57bda20e8a0b59"/>
                <w:id w:val="6772841"/>
                <w:lock w:val="sdtLocked"/>
              </w:sdtPr>
              <w:sdtContent>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6e2a2207164945c4aa12b77a469ef3ff"/>
                <w:id w:val="6772842"/>
                <w:lock w:val="sdtLocked"/>
              </w:sdtPr>
              <w:sdtContent>
                <w:tc>
                  <w:tcPr>
                    <w:tcW w:w="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846eebc920fe45a7927c6001fe2daa34"/>
                <w:id w:val="6772843"/>
                <w:lock w:val="sdtLocked"/>
              </w:sdtPr>
              <w:sdtContent>
                <w:tc>
                  <w:tcPr>
                    <w:tcW w:w="8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eab3c695bb5342a38e1e2aaa703a2617"/>
                <w:id w:val="6772844"/>
                <w:lock w:val="sdtLocked"/>
              </w:sdtPr>
              <w:sdtContent>
                <w:tc>
                  <w:tcPr>
                    <w:tcW w:w="992" w:type="dxa"/>
                    <w:tcBorders>
                      <w:top w:val="single" w:color="auto" w:sz="4" w:space="0"/>
                      <w:left w:val="single" w:color="auto" w:sz="4" w:space="0"/>
                      <w:bottom w:val="single" w:color="auto" w:sz="4" w:space="0"/>
                      <w:right w:val="single" w:color="auto" w:sz="4" w:space="0"/>
                    </w:tcBorders>
                  </w:tcPr>
                  <w:p>
                    <w:pPr>
                      <w:adjustRightInd w:val="0"/>
                      <w:snapToGrid w:val="0"/>
                    </w:pPr>
                    <w:r>
                      <w:rPr>
                        <w:rFonts w:hint="eastAsia"/>
                      </w:rPr>
                      <w:t>型材</w:t>
                    </w:r>
                  </w:p>
                </w:tc>
              </w:sdtContent>
            </w:sdt>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6,575,906</w:t>
                </w:r>
              </w:p>
            </w:tc>
            <w:tc>
              <w:tcPr>
                <w:tcW w:w="8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4,658,749</w:t>
                </w:r>
              </w:p>
            </w:tc>
            <w:tc>
              <w:tcPr>
                <w:tcW w:w="8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6,505,596</w:t>
                </w:r>
              </w:p>
            </w:tc>
            <w:tc>
              <w:tcPr>
                <w:tcW w:w="82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4,669,148</w:t>
                </w:r>
              </w:p>
            </w:tc>
            <w:tc>
              <w:tcPr>
                <w:tcW w:w="81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2,143,488</w:t>
                </w:r>
              </w:p>
            </w:tc>
            <w:tc>
              <w:tcPr>
                <w:tcW w:w="83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1,003,921</w:t>
                </w:r>
              </w:p>
            </w:tc>
            <w:tc>
              <w:tcPr>
                <w:tcW w:w="8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1,720,563</w:t>
                </w:r>
              </w:p>
            </w:tc>
            <w:tc>
              <w:tcPr>
                <w:tcW w:w="8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928,282</w:t>
                </w:r>
              </w:p>
            </w:tc>
            <w:tc>
              <w:tcPr>
                <w:tcW w:w="84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19.73</w:t>
                </w:r>
              </w:p>
            </w:tc>
            <w:tc>
              <w:tcPr>
                <w:tcW w:w="80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86ba6d8285bc47798bddccdd3da8b843"/>
                <w:id w:val="6772845"/>
                <w:lock w:val="sdtLocked"/>
              </w:sdtPr>
              <w:sdtContent>
                <w:tc>
                  <w:tcPr>
                    <w:tcW w:w="992" w:type="dxa"/>
                    <w:tcBorders>
                      <w:top w:val="single" w:color="auto" w:sz="4" w:space="0"/>
                      <w:left w:val="single" w:color="auto" w:sz="4" w:space="0"/>
                      <w:bottom w:val="single" w:color="auto" w:sz="4" w:space="0"/>
                      <w:right w:val="single" w:color="auto" w:sz="4" w:space="0"/>
                    </w:tcBorders>
                  </w:tcPr>
                  <w:p>
                    <w:pPr>
                      <w:adjustRightInd w:val="0"/>
                      <w:snapToGrid w:val="0"/>
                    </w:pPr>
                    <w:r>
                      <w:rPr>
                        <w:rFonts w:hint="eastAsia"/>
                      </w:rPr>
                      <w:t>板带材</w:t>
                    </w:r>
                  </w:p>
                </w:tc>
              </w:sdtContent>
            </w:sdt>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648,075</w:t>
                </w:r>
              </w:p>
            </w:tc>
            <w:tc>
              <w:tcPr>
                <w:tcW w:w="8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790,558</w:t>
                </w:r>
              </w:p>
            </w:tc>
            <w:tc>
              <w:tcPr>
                <w:tcW w:w="8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646,616</w:t>
                </w:r>
              </w:p>
            </w:tc>
            <w:tc>
              <w:tcPr>
                <w:tcW w:w="82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821,383</w:t>
                </w:r>
              </w:p>
            </w:tc>
            <w:tc>
              <w:tcPr>
                <w:tcW w:w="81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208,251</w:t>
                </w:r>
              </w:p>
            </w:tc>
            <w:tc>
              <w:tcPr>
                <w:tcW w:w="83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173,608</w:t>
                </w:r>
              </w:p>
            </w:tc>
            <w:tc>
              <w:tcPr>
                <w:tcW w:w="8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194,656</w:t>
                </w:r>
              </w:p>
            </w:tc>
            <w:tc>
              <w:tcPr>
                <w:tcW w:w="8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174,647</w:t>
                </w:r>
              </w:p>
            </w:tc>
            <w:tc>
              <w:tcPr>
                <w:tcW w:w="84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6.53</w:t>
                </w:r>
              </w:p>
            </w:tc>
            <w:tc>
              <w:tcPr>
                <w:tcW w:w="80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5"/>
                    <w:szCs w:val="15"/>
                  </w:rPr>
                </w:pPr>
                <w:r>
                  <w:rPr>
                    <w:rFonts w:ascii="Arial Narrow" w:hAnsi="Arial Narrow"/>
                    <w:sz w:val="15"/>
                    <w:szCs w:val="15"/>
                  </w:rPr>
                  <w:t>-0.6</w:t>
                </w:r>
              </w:p>
            </w:tc>
          </w:tr>
        </w:tbl>
        <w:p/>
      </w:sdtContent>
    </w:sdt>
    <w:sdt>
      <w:sdtPr>
        <w:rPr>
          <w:rFonts w:hint="eastAsia" w:ascii="宋体" w:hAnsi="宋体" w:cs="宋体"/>
          <w:b w:val="0"/>
          <w:bCs w:val="0"/>
          <w:kern w:val="0"/>
          <w:szCs w:val="21"/>
        </w:rPr>
        <w:alias w:val="模块:按销售渠道分类的钢材销售情况"/>
        <w:tag w:val="_SEC_062d6bf867ec4def9c52af65255d9d1f"/>
        <w:id w:val="6772861"/>
        <w:lock w:val="sdtLocked"/>
        <w:placeholder>
          <w:docPart w:val="GBC22222222222222222222222222222"/>
        </w:placeholder>
      </w:sdtPr>
      <w:sdtEndPr>
        <w:rPr>
          <w:rFonts w:hint="default" w:ascii="宋体" w:hAnsi="宋体" w:cs="宋体"/>
          <w:b w:val="0"/>
          <w:bCs w:val="0"/>
          <w:kern w:val="0"/>
          <w:szCs w:val="24"/>
        </w:rPr>
      </w:sdtEndPr>
      <w:sdtContent>
        <w:p>
          <w:pPr>
            <w:pStyle w:val="6"/>
            <w:numPr>
              <w:ilvl w:val="0"/>
              <w:numId w:val="15"/>
            </w:numPr>
            <w:rPr>
              <w:bCs w:val="0"/>
              <w:szCs w:val="21"/>
            </w:rPr>
          </w:pPr>
          <w:r>
            <w:rPr>
              <w:rFonts w:hint="eastAsia"/>
              <w:bCs w:val="0"/>
              <w:szCs w:val="21"/>
            </w:rPr>
            <w:t>按销售渠道分类的钢材销售情况</w:t>
          </w:r>
        </w:p>
        <w:sdt>
          <w:sdtPr>
            <w:rPr>
              <w:rFonts w:hint="eastAsia"/>
            </w:rPr>
            <w:alias w:val="是否适用：按销售渠道分类的钢材销售情况[双击切换]"/>
            <w:tag w:val="_GBC_e005391142e146af9117f93cb7c4c136"/>
            <w:id w:val="6772849"/>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wordWrap w:val="0"/>
            <w:jc w:val="right"/>
          </w:pPr>
          <w:r>
            <w:rPr>
              <w:rFonts w:hint="eastAsia"/>
            </w:rPr>
            <w:t>单位：</w:t>
          </w:r>
          <w:sdt>
            <w:sdtPr>
              <w:rPr>
                <w:rFonts w:hint="eastAsia"/>
              </w:rPr>
              <w:alias w:val="单位：按销售渠道分类的钢材销售情况"/>
              <w:tag w:val="_GBC_76890b42fe2649e585fe91ecbd0d5dc8"/>
              <w:id w:val="677285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万元</w:t>
              </w:r>
            </w:sdtContent>
          </w:sdt>
          <w:r>
            <w:rPr>
              <w:rFonts w:hint="eastAsia"/>
            </w:rPr>
            <w:t xml:space="preserve">  币种：</w:t>
          </w:r>
          <w:sdt>
            <w:sdtPr>
              <w:rPr>
                <w:rFonts w:hint="eastAsia"/>
              </w:rPr>
              <w:alias w:val="币种：按销售渠道分类的钢材销售情况"/>
              <w:tag w:val="_GBC_614beba2ff134b0a843e00039fb80288"/>
              <w:id w:val="67728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40"/>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1821"/>
            <w:gridCol w:w="1547"/>
            <w:gridCol w:w="2022"/>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0c63e2f2cfd949e3b6a7bb700d702daf"/>
                <w:id w:val="6823780"/>
                <w:lock w:val="sdtLocked"/>
              </w:sdtPr>
              <w:sdtContent>
                <w:tc>
                  <w:tcPr>
                    <w:tcW w:w="22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按销售渠道区分</w:t>
                    </w:r>
                  </w:p>
                </w:tc>
              </w:sdtContent>
            </w:sdt>
            <w:sdt>
              <w:sdtPr>
                <w:tag w:val="_PLD_ae77ceb207cd45999be3a14bedb07c2b"/>
                <w:id w:val="6823781"/>
                <w:lock w:val="sdtLocked"/>
              </w:sdtPr>
              <w:sdtContent>
                <w:tc>
                  <w:tcPr>
                    <w:tcW w:w="33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营业收入</w:t>
                    </w:r>
                  </w:p>
                </w:tc>
              </w:sdtContent>
            </w:sdt>
            <w:sdt>
              <w:sdtPr>
                <w:tag w:val="_PLD_2a61c8be67fb48cc85e49211e9615d74"/>
                <w:id w:val="6823782"/>
                <w:lock w:val="sdtLocked"/>
              </w:sdtPr>
              <w:sdtContent>
                <w:tc>
                  <w:tcPr>
                    <w:tcW w:w="34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占总营业收入比例（%）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continue"/>
                <w:tcBorders>
                  <w:top w:val="single" w:color="auto" w:sz="4" w:space="0"/>
                  <w:left w:val="single" w:color="auto" w:sz="4" w:space="0"/>
                  <w:bottom w:val="single" w:color="auto" w:sz="4" w:space="0"/>
                  <w:right w:val="single" w:color="auto" w:sz="4" w:space="0"/>
                </w:tcBorders>
                <w:vAlign w:val="center"/>
              </w:tcPr>
              <w:p/>
            </w:tc>
            <w:sdt>
              <w:sdtPr>
                <w:tag w:val="_PLD_1826727227ef4ffcbccf51955bc6df02"/>
                <w:id w:val="6823783"/>
                <w:lock w:val="sdtLocked"/>
              </w:sdtPr>
              <w:sdtContent>
                <w:tc>
                  <w:tcPr>
                    <w:tcW w:w="18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7f8fc4ff4a8a4641b3af3070d115d6f1"/>
                <w:id w:val="6823784"/>
                <w:lock w:val="sdtLocked"/>
              </w:sdtPr>
              <w:sdtContent>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b6214c1d54174483b3cee077ee300bcb"/>
                <w:id w:val="6823785"/>
                <w:lock w:val="sdtLocked"/>
              </w:sdtPr>
              <w:sdtContent>
                <w:tc>
                  <w:tcPr>
                    <w:tcW w:w="20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81efc37a5a2746e8b0964133bf01c418"/>
                <w:id w:val="6823786"/>
                <w:lock w:val="sdtLocked"/>
              </w:sdtPr>
              <w:sdtContent>
                <w:tc>
                  <w:tcPr>
                    <w:tcW w:w="14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46cffba7252b4b749fd2ef30f7aaab88"/>
                <w:id w:val="6823787"/>
                <w:lock w:val="sdtLocked"/>
              </w:sdtPr>
              <w:sdtContent>
                <w:tc>
                  <w:tcPr>
                    <w:tcW w:w="2255" w:type="dxa"/>
                    <w:tcBorders>
                      <w:top w:val="single" w:color="auto" w:sz="4" w:space="0"/>
                      <w:left w:val="single" w:color="auto" w:sz="4" w:space="0"/>
                      <w:bottom w:val="single" w:color="auto" w:sz="4" w:space="0"/>
                      <w:right w:val="single" w:color="auto" w:sz="4" w:space="0"/>
                    </w:tcBorders>
                  </w:tcPr>
                  <w:p>
                    <w:pPr>
                      <w:adjustRightInd w:val="0"/>
                      <w:snapToGrid w:val="0"/>
                    </w:pPr>
                    <w:r>
                      <w:rPr>
                        <w:rFonts w:hint="eastAsia"/>
                      </w:rPr>
                      <w:t>线下销售</w:t>
                    </w:r>
                  </w:p>
                </w:tc>
              </w:sdtContent>
            </w:sdt>
            <w:tc>
              <w:tcPr>
                <w:tcW w:w="1821"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2,319,793</w:t>
                </w:r>
              </w:p>
            </w:tc>
            <w:tc>
              <w:tcPr>
                <w:tcW w:w="1547" w:type="dxa"/>
                <w:tcBorders>
                  <w:top w:val="single" w:color="auto" w:sz="4" w:space="0"/>
                  <w:left w:val="single" w:color="auto" w:sz="4" w:space="0"/>
                  <w:bottom w:val="single" w:color="auto" w:sz="4" w:space="0"/>
                  <w:right w:val="single" w:color="auto" w:sz="4" w:space="0"/>
                </w:tcBorders>
              </w:tcPr>
              <w:p>
                <w:pPr>
                  <w:jc w:val="right"/>
                  <w:rPr>
                    <w:szCs w:val="21"/>
                  </w:rPr>
                </w:pPr>
                <w:r>
                  <w:t>1,136,089</w:t>
                </w:r>
              </w:p>
            </w:tc>
            <w:tc>
              <w:tcPr>
                <w:tcW w:w="2022" w:type="dxa"/>
                <w:tcBorders>
                  <w:top w:val="single" w:color="auto" w:sz="4" w:space="0"/>
                  <w:left w:val="single" w:color="auto" w:sz="4" w:space="0"/>
                  <w:bottom w:val="single" w:color="auto" w:sz="4" w:space="0"/>
                  <w:right w:val="single" w:color="auto" w:sz="4" w:space="0"/>
                </w:tcBorders>
              </w:tcPr>
              <w:p>
                <w:pPr>
                  <w:jc w:val="right"/>
                  <w:rPr>
                    <w:szCs w:val="21"/>
                  </w:rPr>
                </w:pPr>
                <w:r>
                  <w:rPr>
                    <w:rFonts w:hint="eastAsia"/>
                    <w:szCs w:val="21"/>
                  </w:rPr>
                  <w:t>55.82</w:t>
                </w:r>
              </w:p>
            </w:tc>
            <w:tc>
              <w:tcPr>
                <w:tcW w:w="1404" w:type="dxa"/>
                <w:tcBorders>
                  <w:top w:val="single" w:color="auto" w:sz="4" w:space="0"/>
                  <w:left w:val="single" w:color="auto" w:sz="4" w:space="0"/>
                  <w:bottom w:val="single" w:color="auto" w:sz="4" w:space="0"/>
                  <w:right w:val="single" w:color="auto" w:sz="4" w:space="0"/>
                </w:tcBorders>
              </w:tcPr>
              <w:p>
                <w:pPr>
                  <w:jc w:val="right"/>
                  <w:rPr>
                    <w:szCs w:val="21"/>
                  </w:rPr>
                </w:pPr>
                <w:r>
                  <w:t>42.63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84cc8ee26e59400b9929b4c25660689b"/>
                <w:id w:val="6823788"/>
                <w:lock w:val="sdtLocked"/>
              </w:sdtPr>
              <w:sdtContent>
                <w:tc>
                  <w:tcPr>
                    <w:tcW w:w="2255" w:type="dxa"/>
                    <w:tcBorders>
                      <w:top w:val="single" w:color="auto" w:sz="4" w:space="0"/>
                      <w:left w:val="single" w:color="auto" w:sz="4" w:space="0"/>
                      <w:bottom w:val="single" w:color="auto" w:sz="4" w:space="0"/>
                      <w:right w:val="single" w:color="auto" w:sz="4" w:space="0"/>
                    </w:tcBorders>
                  </w:tcPr>
                  <w:p>
                    <w:pPr>
                      <w:adjustRightInd w:val="0"/>
                      <w:snapToGrid w:val="0"/>
                    </w:pPr>
                    <w:r>
                      <w:rPr>
                        <w:rFonts w:hint="eastAsia"/>
                      </w:rPr>
                      <w:t>线上销售</w:t>
                    </w:r>
                  </w:p>
                </w:tc>
              </w:sdtContent>
            </w:sdt>
            <w:tc>
              <w:tcPr>
                <w:tcW w:w="1821"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31,946</w:t>
                </w:r>
              </w:p>
            </w:tc>
            <w:tc>
              <w:tcPr>
                <w:tcW w:w="1547" w:type="dxa"/>
                <w:tcBorders>
                  <w:top w:val="single" w:color="auto" w:sz="4" w:space="0"/>
                  <w:left w:val="single" w:color="auto" w:sz="4" w:space="0"/>
                  <w:bottom w:val="single" w:color="auto" w:sz="4" w:space="0"/>
                  <w:right w:val="single" w:color="auto" w:sz="4" w:space="0"/>
                </w:tcBorders>
              </w:tcPr>
              <w:p>
                <w:pPr>
                  <w:jc w:val="right"/>
                  <w:rPr>
                    <w:szCs w:val="21"/>
                  </w:rPr>
                </w:pPr>
                <w:r>
                  <w:t>41,440</w:t>
                </w:r>
              </w:p>
            </w:tc>
            <w:tc>
              <w:tcPr>
                <w:tcW w:w="2022" w:type="dxa"/>
                <w:tcBorders>
                  <w:top w:val="single" w:color="auto" w:sz="4" w:space="0"/>
                  <w:left w:val="single" w:color="auto" w:sz="4" w:space="0"/>
                  <w:bottom w:val="single" w:color="auto" w:sz="4" w:space="0"/>
                  <w:right w:val="single" w:color="auto" w:sz="4" w:space="0"/>
                </w:tcBorders>
              </w:tcPr>
              <w:p>
                <w:pPr>
                  <w:jc w:val="right"/>
                  <w:rPr>
                    <w:szCs w:val="21"/>
                  </w:rPr>
                </w:pPr>
                <w:r>
                  <w:rPr>
                    <w:rFonts w:hint="eastAsia"/>
                    <w:szCs w:val="21"/>
                  </w:rPr>
                  <w:t>0.77</w:t>
                </w:r>
              </w:p>
            </w:tc>
            <w:tc>
              <w:tcPr>
                <w:tcW w:w="1404" w:type="dxa"/>
                <w:tcBorders>
                  <w:top w:val="single" w:color="auto" w:sz="4" w:space="0"/>
                  <w:left w:val="single" w:color="auto" w:sz="4" w:space="0"/>
                  <w:bottom w:val="single" w:color="auto" w:sz="4" w:space="0"/>
                  <w:right w:val="single" w:color="auto" w:sz="4" w:space="0"/>
                </w:tcBorders>
              </w:tcPr>
              <w:p>
                <w:pPr>
                  <w:jc w:val="right"/>
                  <w:rPr>
                    <w:szCs w:val="21"/>
                  </w:rPr>
                </w:pPr>
                <w:r>
                  <w:t>1.55</w:t>
                </w:r>
              </w:p>
            </w:tc>
          </w:tr>
        </w:tbl>
        <w:p/>
        <w:p/>
      </w:sdtContent>
    </w:sdt>
    <w:sdt>
      <w:sdtPr>
        <w:rPr>
          <w:rFonts w:hint="eastAsia" w:ascii="宋体" w:hAnsi="宋体" w:cs="宋体"/>
          <w:b w:val="0"/>
          <w:bCs w:val="0"/>
          <w:kern w:val="0"/>
          <w:szCs w:val="21"/>
        </w:rPr>
        <w:alias w:val="模块:特殊钢铁产品制造和销售情况"/>
        <w:tag w:val="_SEC_3fcfac6dfec94917b7d1c901f7ac746e"/>
        <w:id w:val="6772863"/>
        <w:lock w:val="sdtLocked"/>
        <w:placeholder>
          <w:docPart w:val="GBC22222222222222222222222222222"/>
        </w:placeholder>
      </w:sdtPr>
      <w:sdtEndPr>
        <w:rPr>
          <w:rFonts w:hint="default" w:ascii="宋体" w:hAnsi="宋体" w:cs="宋体"/>
          <w:b w:val="0"/>
          <w:bCs w:val="0"/>
          <w:kern w:val="0"/>
          <w:szCs w:val="24"/>
        </w:rPr>
      </w:sdtEndPr>
      <w:sdtContent>
        <w:p>
          <w:pPr>
            <w:pStyle w:val="6"/>
            <w:numPr>
              <w:ilvl w:val="0"/>
              <w:numId w:val="15"/>
            </w:numPr>
            <w:rPr>
              <w:bCs w:val="0"/>
              <w:szCs w:val="21"/>
            </w:rPr>
          </w:pPr>
          <w:r>
            <w:rPr>
              <w:rFonts w:hint="eastAsia"/>
              <w:bCs w:val="0"/>
              <w:szCs w:val="21"/>
            </w:rPr>
            <w:t>特殊钢铁产品制造和销售情况</w:t>
          </w:r>
        </w:p>
        <w:sdt>
          <w:sdtPr>
            <w:rPr>
              <w:rFonts w:hint="eastAsia"/>
            </w:rPr>
            <w:alias w:val="是否适用：特殊钢铁产品制造和销售情况[双击切换]"/>
            <w:tag w:val="_GBC_47461f69d5414de0a1ec7d1de22fcf86"/>
            <w:id w:val="6772862"/>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铁矿石供应情况"/>
        <w:tag w:val="_SEC_ae39cc8c06b24823b448f3be79270fed"/>
        <w:id w:val="6772877"/>
        <w:lock w:val="sdtLocked"/>
        <w:placeholder>
          <w:docPart w:val="GBC22222222222222222222222222222"/>
        </w:placeholder>
      </w:sdtPr>
      <w:sdtEndPr>
        <w:rPr>
          <w:rFonts w:hint="default" w:ascii="宋体" w:hAnsi="宋体" w:cs="宋体"/>
          <w:b w:val="0"/>
          <w:bCs w:val="0"/>
          <w:kern w:val="0"/>
          <w:szCs w:val="24"/>
        </w:rPr>
      </w:sdtEndPr>
      <w:sdtContent>
        <w:p>
          <w:pPr>
            <w:pStyle w:val="6"/>
            <w:numPr>
              <w:ilvl w:val="0"/>
              <w:numId w:val="15"/>
            </w:numPr>
            <w:rPr>
              <w:bCs w:val="0"/>
              <w:szCs w:val="21"/>
            </w:rPr>
          </w:pPr>
          <w:r>
            <w:rPr>
              <w:rFonts w:hint="eastAsia"/>
              <w:bCs w:val="0"/>
              <w:szCs w:val="21"/>
            </w:rPr>
            <w:t>铁矿石供应情况</w:t>
          </w:r>
        </w:p>
        <w:sdt>
          <w:sdtPr>
            <w:rPr>
              <w:rFonts w:hint="eastAsia"/>
            </w:rPr>
            <w:alias w:val="是否适用：铁矿石供应情况[双击切换]"/>
            <w:tag w:val="_GBC_f4083f01dff74e19b0cffa64a3284de0"/>
            <w:id w:val="6772864"/>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jc w:val="right"/>
            <w:rPr>
              <w:rFonts w:ascii="Calibri" w:hAnsi="Calibri" w:cs="Times New Roman"/>
              <w:b/>
              <w:bCs/>
              <w:kern w:val="2"/>
              <w:szCs w:val="21"/>
            </w:rPr>
          </w:pPr>
          <w:r>
            <w:rPr>
              <w:rFonts w:hint="eastAsia"/>
            </w:rPr>
            <w:t>单位：</w:t>
          </w:r>
          <w:sdt>
            <w:sdtPr>
              <w:rPr>
                <w:rFonts w:hint="eastAsia"/>
              </w:rPr>
              <w:alias w:val="单位：铁矿石供应情况"/>
              <w:tag w:val="_GBC_1737eb4f4c5e4b82b7e51d050ed67eb5"/>
              <w:id w:val="677286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万元</w:t>
              </w:r>
            </w:sdtContent>
          </w:sdt>
          <w:r>
            <w:rPr>
              <w:rFonts w:hint="eastAsia"/>
            </w:rPr>
            <w:t xml:space="preserve">  币种：</w:t>
          </w:r>
          <w:sdt>
            <w:sdtPr>
              <w:rPr>
                <w:rFonts w:hint="eastAsia"/>
              </w:rPr>
              <w:alias w:val="币种：铁矿石供应情况"/>
              <w:tag w:val="_GBC_de855cd86a6642589b848309412dffff"/>
              <w:id w:val="67728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844"/>
            <w:gridCol w:w="1777"/>
            <w:gridCol w:w="180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c06e69312eeb4ad8b0642fee6a3c0766"/>
                <w:id w:val="6772867"/>
                <w:lock w:val="sdtLocked"/>
              </w:sdtPr>
              <w:sdtContent>
                <w:tc>
                  <w:tcPr>
                    <w:tcW w:w="18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铁矿石供应来源</w:t>
                    </w:r>
                  </w:p>
                </w:tc>
              </w:sdtContent>
            </w:sdt>
            <w:sdt>
              <w:sdtPr>
                <w:tag w:val="_PLD_c2f4252cd9084b78a136d97d3f8cbfe7"/>
                <w:id w:val="6772868"/>
                <w:lock w:val="sdtLocked"/>
              </w:sdtPr>
              <w:sdtContent>
                <w:tc>
                  <w:tcPr>
                    <w:tcW w:w="36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供应量（吨）</w:t>
                    </w:r>
                  </w:p>
                </w:tc>
              </w:sdtContent>
            </w:sdt>
            <w:sdt>
              <w:sdtPr>
                <w:tag w:val="_PLD_bdd5353ed29a4d57b96ce0a7e181c0ee"/>
                <w:id w:val="6772869"/>
                <w:lock w:val="sdtLocked"/>
              </w:sdtPr>
              <w:sdtContent>
                <w:tc>
                  <w:tcPr>
                    <w:tcW w:w="36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支出金额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1" w:type="dxa"/>
                <w:vMerge w:val="continue"/>
                <w:tcBorders>
                  <w:top w:val="single" w:color="auto" w:sz="4" w:space="0"/>
                  <w:left w:val="single" w:color="auto" w:sz="4" w:space="0"/>
                  <w:bottom w:val="single" w:color="auto" w:sz="4" w:space="0"/>
                  <w:right w:val="single" w:color="auto" w:sz="4" w:space="0"/>
                </w:tcBorders>
                <w:vAlign w:val="center"/>
              </w:tcPr>
              <w:p/>
            </w:tc>
            <w:sdt>
              <w:sdtPr>
                <w:tag w:val="_PLD_1bafe143ea3e437ca10cbf5e95df3d80"/>
                <w:id w:val="6772870"/>
                <w:lock w:val="sdtLocked"/>
              </w:sdtPr>
              <w:sdtContent>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939dd3970c7e4433ae84077ac7de04f0"/>
                <w:id w:val="6772871"/>
                <w:lock w:val="sdtLocked"/>
              </w:sdtPr>
              <w:sdtContent>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893fdc0a942c46e8a1a0a15249834bc7"/>
                <w:id w:val="6772872"/>
                <w:lock w:val="sdtLocked"/>
              </w:sdtPr>
              <w:sdtContent>
                <w:tc>
                  <w:tcPr>
                    <w:tcW w:w="1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4786c7f0bc4c46ec92ce40a9bce4d90c"/>
                <w:id w:val="6772873"/>
                <w:lock w:val="sdtLocked"/>
              </w:sdtPr>
              <w:sdtContent>
                <w:tc>
                  <w:tcPr>
                    <w:tcW w:w="18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cceeea74ac28407e9d7d3379a6e9aeac"/>
                <w:id w:val="6772874"/>
                <w:lock w:val="sdtLocked"/>
              </w:sdtPr>
              <w:sdtContent>
                <w:tc>
                  <w:tcPr>
                    <w:tcW w:w="1821" w:type="dxa"/>
                    <w:tcBorders>
                      <w:top w:val="single" w:color="auto" w:sz="4" w:space="0"/>
                      <w:left w:val="single" w:color="auto" w:sz="4" w:space="0"/>
                      <w:bottom w:val="single" w:color="auto" w:sz="4" w:space="0"/>
                      <w:right w:val="single" w:color="auto" w:sz="4" w:space="0"/>
                    </w:tcBorders>
                    <w:vAlign w:val="center"/>
                  </w:tcPr>
                  <w:p>
                    <w:pPr>
                      <w:adjustRightInd w:val="0"/>
                      <w:snapToGrid w:val="0"/>
                    </w:pPr>
                    <w:r>
                      <w:rPr>
                        <w:rFonts w:hint="eastAsia"/>
                      </w:rPr>
                      <w:t>自供</w:t>
                    </w:r>
                  </w:p>
                </w:tc>
              </w:sdtContent>
            </w:sdt>
            <w:tc>
              <w:tcPr>
                <w:tcW w:w="1844" w:type="dxa"/>
                <w:tcBorders>
                  <w:top w:val="single" w:color="auto" w:sz="4" w:space="0"/>
                  <w:left w:val="single" w:color="auto" w:sz="4" w:space="0"/>
                  <w:bottom w:val="single" w:color="auto" w:sz="4" w:space="0"/>
                  <w:right w:val="single" w:color="auto" w:sz="4" w:space="0"/>
                </w:tcBorders>
              </w:tcPr>
              <w:p>
                <w:pPr>
                  <w:jc w:val="right"/>
                  <w:rPr>
                    <w:szCs w:val="21"/>
                  </w:rPr>
                </w:pPr>
                <w:r>
                  <w:rPr>
                    <w:rFonts w:hint="eastAsia"/>
                    <w:szCs w:val="21"/>
                  </w:rPr>
                  <w:t>0</w:t>
                </w:r>
              </w:p>
            </w:tc>
            <w:tc>
              <w:tcPr>
                <w:tcW w:w="1777" w:type="dxa"/>
                <w:tcBorders>
                  <w:top w:val="single" w:color="auto" w:sz="4" w:space="0"/>
                  <w:left w:val="single" w:color="auto" w:sz="4" w:space="0"/>
                  <w:bottom w:val="single" w:color="auto" w:sz="4" w:space="0"/>
                  <w:right w:val="single" w:color="auto" w:sz="4" w:space="0"/>
                </w:tcBorders>
              </w:tcPr>
              <w:p>
                <w:pPr>
                  <w:jc w:val="right"/>
                  <w:rPr>
                    <w:szCs w:val="21"/>
                  </w:rPr>
                </w:pPr>
                <w:r>
                  <w:rPr>
                    <w:rFonts w:hint="eastAsia"/>
                    <w:szCs w:val="21"/>
                  </w:rPr>
                  <w:t>0</w:t>
                </w:r>
              </w:p>
            </w:tc>
            <w:tc>
              <w:tcPr>
                <w:tcW w:w="1804" w:type="dxa"/>
                <w:tcBorders>
                  <w:top w:val="single" w:color="auto" w:sz="4" w:space="0"/>
                  <w:left w:val="single" w:color="auto" w:sz="4" w:space="0"/>
                  <w:bottom w:val="single" w:color="auto" w:sz="4" w:space="0"/>
                  <w:right w:val="single" w:color="auto" w:sz="4" w:space="0"/>
                </w:tcBorders>
              </w:tcPr>
              <w:p>
                <w:pPr>
                  <w:jc w:val="right"/>
                  <w:rPr>
                    <w:szCs w:val="21"/>
                  </w:rPr>
                </w:pPr>
                <w:r>
                  <w:rPr>
                    <w:rFonts w:hint="eastAsia"/>
                    <w:szCs w:val="21"/>
                  </w:rPr>
                  <w:t>0</w:t>
                </w:r>
              </w:p>
            </w:tc>
            <w:tc>
              <w:tcPr>
                <w:tcW w:w="1803" w:type="dxa"/>
                <w:tcBorders>
                  <w:top w:val="single" w:color="auto" w:sz="4" w:space="0"/>
                  <w:left w:val="single" w:color="auto" w:sz="4" w:space="0"/>
                  <w:bottom w:val="single" w:color="auto" w:sz="4" w:space="0"/>
                  <w:right w:val="single" w:color="auto" w:sz="4" w:space="0"/>
                </w:tcBorders>
              </w:tcPr>
              <w:p>
                <w:pPr>
                  <w:jc w:val="right"/>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e943676c3e154042a110501195aeab87"/>
                <w:id w:val="6772875"/>
                <w:lock w:val="sdtLocked"/>
              </w:sdtPr>
              <w:sdtContent>
                <w:tc>
                  <w:tcPr>
                    <w:tcW w:w="1821" w:type="dxa"/>
                    <w:tcBorders>
                      <w:top w:val="single" w:color="auto" w:sz="4" w:space="0"/>
                      <w:left w:val="single" w:color="auto" w:sz="4" w:space="0"/>
                      <w:bottom w:val="single" w:color="auto" w:sz="4" w:space="0"/>
                      <w:right w:val="single" w:color="auto" w:sz="4" w:space="0"/>
                    </w:tcBorders>
                    <w:vAlign w:val="center"/>
                  </w:tcPr>
                  <w:p>
                    <w:pPr>
                      <w:adjustRightInd w:val="0"/>
                      <w:snapToGrid w:val="0"/>
                    </w:pPr>
                    <w:r>
                      <w:rPr>
                        <w:rFonts w:hint="eastAsia"/>
                      </w:rPr>
                      <w:t>国内采购</w:t>
                    </w:r>
                  </w:p>
                </w:tc>
              </w:sdtContent>
            </w:sdt>
            <w:tc>
              <w:tcPr>
                <w:tcW w:w="1844" w:type="dxa"/>
                <w:tcBorders>
                  <w:top w:val="single" w:color="auto" w:sz="4" w:space="0"/>
                  <w:left w:val="single" w:color="auto" w:sz="4" w:space="0"/>
                  <w:bottom w:val="single" w:color="auto" w:sz="4" w:space="0"/>
                  <w:right w:val="single" w:color="auto" w:sz="4" w:space="0"/>
                </w:tcBorders>
              </w:tcPr>
              <w:p>
                <w:pPr>
                  <w:jc w:val="right"/>
                  <w:rPr>
                    <w:szCs w:val="21"/>
                  </w:rPr>
                </w:pPr>
                <w:r>
                  <w:t>1,411,908</w:t>
                </w:r>
              </w:p>
            </w:tc>
            <w:tc>
              <w:tcPr>
                <w:tcW w:w="1777" w:type="dxa"/>
                <w:tcBorders>
                  <w:top w:val="single" w:color="auto" w:sz="4" w:space="0"/>
                  <w:left w:val="single" w:color="auto" w:sz="4" w:space="0"/>
                  <w:bottom w:val="single" w:color="auto" w:sz="4" w:space="0"/>
                  <w:right w:val="single" w:color="auto" w:sz="4" w:space="0"/>
                </w:tcBorders>
              </w:tcPr>
              <w:p>
                <w:pPr>
                  <w:jc w:val="right"/>
                  <w:rPr>
                    <w:szCs w:val="21"/>
                  </w:rPr>
                </w:pPr>
                <w:r>
                  <w:t>2,214,971</w:t>
                </w:r>
              </w:p>
            </w:tc>
            <w:tc>
              <w:tcPr>
                <w:tcW w:w="1804" w:type="dxa"/>
                <w:tcBorders>
                  <w:top w:val="single" w:color="auto" w:sz="4" w:space="0"/>
                  <w:left w:val="single" w:color="auto" w:sz="4" w:space="0"/>
                  <w:bottom w:val="single" w:color="auto" w:sz="4" w:space="0"/>
                  <w:right w:val="single" w:color="auto" w:sz="4" w:space="0"/>
                </w:tcBorders>
              </w:tcPr>
              <w:p>
                <w:pPr>
                  <w:jc w:val="right"/>
                  <w:rPr>
                    <w:szCs w:val="21"/>
                  </w:rPr>
                </w:pPr>
                <w:r>
                  <w:t>54,425.05</w:t>
                </w:r>
              </w:p>
            </w:tc>
            <w:tc>
              <w:tcPr>
                <w:tcW w:w="1803" w:type="dxa"/>
                <w:tcBorders>
                  <w:top w:val="single" w:color="auto" w:sz="4" w:space="0"/>
                  <w:left w:val="single" w:color="auto" w:sz="4" w:space="0"/>
                  <w:bottom w:val="single" w:color="auto" w:sz="4" w:space="0"/>
                  <w:right w:val="single" w:color="auto" w:sz="4" w:space="0"/>
                </w:tcBorders>
              </w:tcPr>
              <w:p>
                <w:pPr>
                  <w:jc w:val="right"/>
                  <w:rPr>
                    <w:szCs w:val="21"/>
                  </w:rPr>
                </w:pPr>
                <w:r>
                  <w:t>72,628.70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94b76a2211024043bd502cfb533c41c8"/>
                <w:id w:val="6772876"/>
                <w:lock w:val="sdtLocked"/>
              </w:sdtPr>
              <w:sdtContent>
                <w:tc>
                  <w:tcPr>
                    <w:tcW w:w="1821" w:type="dxa"/>
                    <w:tcBorders>
                      <w:top w:val="single" w:color="auto" w:sz="4" w:space="0"/>
                      <w:left w:val="single" w:color="auto" w:sz="4" w:space="0"/>
                      <w:bottom w:val="single" w:color="auto" w:sz="4" w:space="0"/>
                      <w:right w:val="single" w:color="auto" w:sz="4" w:space="0"/>
                    </w:tcBorders>
                    <w:vAlign w:val="center"/>
                  </w:tcPr>
                  <w:p>
                    <w:pPr>
                      <w:adjustRightInd w:val="0"/>
                      <w:snapToGrid w:val="0"/>
                    </w:pPr>
                    <w:r>
                      <w:rPr>
                        <w:rFonts w:hint="eastAsia"/>
                      </w:rPr>
                      <w:t>国外进口</w:t>
                    </w:r>
                  </w:p>
                </w:tc>
              </w:sdtContent>
            </w:sdt>
            <w:tc>
              <w:tcPr>
                <w:tcW w:w="1844" w:type="dxa"/>
                <w:tcBorders>
                  <w:top w:val="single" w:color="auto" w:sz="4" w:space="0"/>
                  <w:left w:val="single" w:color="auto" w:sz="4" w:space="0"/>
                  <w:bottom w:val="single" w:color="auto" w:sz="4" w:space="0"/>
                  <w:right w:val="single" w:color="auto" w:sz="4" w:space="0"/>
                </w:tcBorders>
              </w:tcPr>
              <w:p>
                <w:pPr>
                  <w:jc w:val="right"/>
                  <w:rPr>
                    <w:szCs w:val="21"/>
                  </w:rPr>
                </w:pPr>
                <w:r>
                  <w:t>16,633,339</w:t>
                </w:r>
              </w:p>
            </w:tc>
            <w:tc>
              <w:tcPr>
                <w:tcW w:w="1777" w:type="dxa"/>
                <w:tcBorders>
                  <w:top w:val="single" w:color="auto" w:sz="4" w:space="0"/>
                  <w:left w:val="single" w:color="auto" w:sz="4" w:space="0"/>
                  <w:bottom w:val="single" w:color="auto" w:sz="4" w:space="0"/>
                  <w:right w:val="single" w:color="auto" w:sz="4" w:space="0"/>
                </w:tcBorders>
              </w:tcPr>
              <w:p>
                <w:pPr>
                  <w:jc w:val="right"/>
                  <w:rPr>
                    <w:szCs w:val="21"/>
                  </w:rPr>
                </w:pPr>
                <w:r>
                  <w:t>13,445,096</w:t>
                </w:r>
              </w:p>
            </w:tc>
            <w:tc>
              <w:tcPr>
                <w:tcW w:w="1804" w:type="dxa"/>
                <w:tcBorders>
                  <w:top w:val="single" w:color="auto" w:sz="4" w:space="0"/>
                  <w:left w:val="single" w:color="auto" w:sz="4" w:space="0"/>
                  <w:bottom w:val="single" w:color="auto" w:sz="4" w:space="0"/>
                  <w:right w:val="single" w:color="auto" w:sz="4" w:space="0"/>
                </w:tcBorders>
              </w:tcPr>
              <w:p>
                <w:pPr>
                  <w:jc w:val="right"/>
                  <w:rPr>
                    <w:szCs w:val="21"/>
                  </w:rPr>
                </w:pPr>
                <w:r>
                  <w:t>1,041,495.90</w:t>
                </w:r>
              </w:p>
            </w:tc>
            <w:tc>
              <w:tcPr>
                <w:tcW w:w="1803" w:type="dxa"/>
                <w:tcBorders>
                  <w:top w:val="single" w:color="auto" w:sz="4" w:space="0"/>
                  <w:left w:val="single" w:color="auto" w:sz="4" w:space="0"/>
                  <w:bottom w:val="single" w:color="auto" w:sz="4" w:space="0"/>
                  <w:right w:val="single" w:color="auto" w:sz="4" w:space="0"/>
                </w:tcBorders>
              </w:tcPr>
              <w:p>
                <w:pPr>
                  <w:jc w:val="right"/>
                  <w:rPr>
                    <w:szCs w:val="21"/>
                  </w:rPr>
                </w:pPr>
                <w:r>
                  <w:t>650,155.52</w:t>
                </w:r>
              </w:p>
            </w:tc>
          </w:tr>
        </w:tbl>
        <w:p/>
      </w:sdtContent>
    </w:sdt>
    <w:sdt>
      <w:sdtPr>
        <w:rPr>
          <w:rFonts w:hint="eastAsia" w:ascii="宋体" w:hAnsi="宋体" w:cs="宋体"/>
          <w:b w:val="0"/>
          <w:bCs w:val="0"/>
          <w:kern w:val="0"/>
          <w:szCs w:val="21"/>
        </w:rPr>
        <w:alias w:val="模块:钢铁行业经营性信息分析其他情况说明"/>
        <w:tag w:val="_SEC_26f6be3b62aa47e6996e53602c91dc64"/>
        <w:id w:val="6772880"/>
        <w:lock w:val="sdtLocked"/>
        <w:placeholder>
          <w:docPart w:val="GBC22222222222222222222222222222"/>
        </w:placeholder>
      </w:sdtPr>
      <w:sdtEndPr>
        <w:rPr>
          <w:rFonts w:hint="eastAsia" w:ascii="宋体" w:hAnsi="宋体" w:cs="宋体"/>
          <w:b w:val="0"/>
          <w:bCs w:val="0"/>
          <w:kern w:val="0"/>
          <w:szCs w:val="24"/>
        </w:rPr>
      </w:sdtEndPr>
      <w:sdtContent>
        <w:p>
          <w:pPr>
            <w:pStyle w:val="6"/>
            <w:numPr>
              <w:ilvl w:val="0"/>
              <w:numId w:val="15"/>
            </w:numPr>
            <w:rPr>
              <w:bCs w:val="0"/>
              <w:szCs w:val="21"/>
            </w:rPr>
          </w:pPr>
          <w:r>
            <w:rPr>
              <w:rFonts w:hint="eastAsia"/>
              <w:bCs w:val="0"/>
              <w:szCs w:val="21"/>
            </w:rPr>
            <w:t>其他说明</w:t>
          </w:r>
        </w:p>
        <w:p>
          <w:sdt>
            <w:sdtPr>
              <w:rPr>
                <w:rFonts w:hint="eastAsia"/>
              </w:rPr>
              <w:alias w:val="是否适用：钢铁行业经营性信息分析其他情况说明[双击切换]"/>
              <w:tag w:val="_GBC_1f3ffeb00e3145a3bf75e9da328793b2"/>
              <w:id w:val="6772878"/>
              <w:lock w:val="sdtContentLocked"/>
              <w:placeholder>
                <w:docPart w:val="GBC22222222222222222222222222222"/>
              </w:placeholder>
            </w:sdtPr>
            <w:sdtEndPr>
              <w:rPr>
                <w:rFonts w:hint="eastAsia"/>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sdtContent>
    </w:sdt>
    <w:p>
      <w:pPr>
        <w:pStyle w:val="4"/>
        <w:numPr>
          <w:ilvl w:val="0"/>
          <w:numId w:val="9"/>
        </w:numPr>
        <w:rPr>
          <w:szCs w:val="21"/>
        </w:rPr>
      </w:pPr>
      <w:r>
        <w:rPr>
          <w:rFonts w:hint="eastAsia"/>
          <w:szCs w:val="21"/>
        </w:rPr>
        <w:t>投资状况分析</w:t>
      </w:r>
    </w:p>
    <w:p>
      <w:pPr>
        <w:pStyle w:val="5"/>
        <w:numPr>
          <w:ilvl w:val="0"/>
          <w:numId w:val="16"/>
        </w:numPr>
        <w:rPr>
          <w:szCs w:val="21"/>
        </w:rPr>
      </w:pPr>
      <w:r>
        <w:rPr>
          <w:szCs w:val="21"/>
        </w:rPr>
        <w:t>对外股权投资总体分析</w:t>
      </w:r>
    </w:p>
    <w:sdt>
      <w:sdtPr>
        <w:rPr>
          <w:szCs w:val="21"/>
        </w:rPr>
        <w:alias w:val="模块:对外股权投资总体分析"/>
        <w:tag w:val="_SEC_4b4a052df79741968a7e11e5835fce59"/>
        <w:id w:val="6772883"/>
        <w:lock w:val="sdtLocked"/>
        <w:placeholder>
          <w:docPart w:val="GBC22222222222222222222222222222"/>
        </w:placeholder>
      </w:sdtPr>
      <w:sdtEndPr>
        <w:rPr>
          <w:rFonts w:hint="eastAsia" w:asciiTheme="minorEastAsia" w:hAnsiTheme="minorEastAsia" w:eastAsiaTheme="minorEastAsia"/>
          <w:szCs w:val="21"/>
        </w:rPr>
      </w:sdtEndPr>
      <w:sdtContent>
        <w:sdt>
          <w:sdtPr>
            <w:rPr>
              <w:szCs w:val="21"/>
            </w:rPr>
            <w:alias w:val="是否适用：对外股权投资总体分析[双击切换]"/>
            <w:tag w:val="_GBC_cfb706fadf2c47bbbaf1bf90c054ccaf"/>
            <w:id w:val="6772881"/>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对外股权投资总体分析"/>
            <w:tag w:val="_GBC_fe6d59343f314ea694416d2e9d0fcf01"/>
            <w:id w:val="6772882"/>
            <w:lock w:val="sdtLocked"/>
            <w:placeholder>
              <w:docPart w:val="GBC22222222222222222222222222222"/>
            </w:placeholder>
          </w:sdtPr>
          <w:sdtEndPr>
            <w:rPr>
              <w:szCs w:val="21"/>
            </w:rPr>
          </w:sdtEndPr>
          <w:sdtContent>
            <w:p>
              <w:pPr>
                <w:rPr>
                  <w:szCs w:val="21"/>
                </w:rPr>
              </w:pPr>
              <w:r>
                <w:t>2014年12月22日公司第五届董事会第十六次会议审议通过以35%的股权参与设立桂林仙源健康产业股份有限公司的提案</w:t>
              </w:r>
              <w:r>
                <w:rPr>
                  <w:color w:val="000000" w:themeColor="text1"/>
                </w:rPr>
                <w:t>。</w:t>
              </w:r>
              <w:r>
                <w:rPr>
                  <w:rFonts w:hint="eastAsia"/>
                  <w:color w:val="000000" w:themeColor="text1"/>
                </w:rPr>
                <w:t>截止</w:t>
              </w:r>
              <w:r>
                <w:rPr>
                  <w:color w:val="000000" w:themeColor="text1"/>
                </w:rPr>
                <w:t>2017年</w:t>
              </w:r>
              <w:r>
                <w:rPr>
                  <w:rFonts w:hint="eastAsia"/>
                  <w:color w:val="000000" w:themeColor="text1"/>
                </w:rPr>
                <w:t>12</w:t>
              </w:r>
              <w:r>
                <w:rPr>
                  <w:color w:val="000000" w:themeColor="text1"/>
                </w:rPr>
                <w:t>月31日，本</w:t>
              </w:r>
              <w:r>
                <w:t>公司实际出资70.00万元，占仙源公司实收资本23.33%。由于本公司没有控制该公司，按照权益法进行核算。</w:t>
              </w:r>
            </w:p>
          </w:sdtContent>
        </w:sdt>
        <w:p>
          <w:pPr>
            <w:rPr>
              <w:rFonts w:asciiTheme="minorEastAsia" w:hAnsiTheme="minorEastAsia" w:eastAsiaTheme="minorEastAsia"/>
              <w:szCs w:val="21"/>
            </w:rPr>
          </w:pPr>
        </w:p>
      </w:sdtContent>
    </w:sdt>
    <w:sdt>
      <w:sdtPr>
        <w:rPr>
          <w:rFonts w:hint="eastAsia" w:ascii="宋体" w:hAnsi="宋体" w:cs="宋体"/>
          <w:b w:val="0"/>
          <w:bCs w:val="0"/>
          <w:kern w:val="0"/>
          <w:szCs w:val="21"/>
        </w:rPr>
        <w:alias w:val="模块:重大的股权投资"/>
        <w:tag w:val="_SEC_e305a089659a4e8f8dd9498c36674ab7"/>
        <w:id w:val="6772886"/>
        <w:lock w:val="sdtLocked"/>
        <w:placeholder>
          <w:docPart w:val="GBC22222222222222222222222222222"/>
        </w:placeholder>
      </w:sdtPr>
      <w:sdtEndPr>
        <w:rPr>
          <w:rFonts w:hint="eastAsia" w:ascii="宋体" w:hAnsi="宋体" w:cs="宋体"/>
          <w:b w:val="0"/>
          <w:bCs w:val="0"/>
          <w:kern w:val="0"/>
          <w:szCs w:val="24"/>
        </w:rPr>
      </w:sdtEndPr>
      <w:sdtContent>
        <w:p>
          <w:pPr>
            <w:pStyle w:val="6"/>
            <w:numPr>
              <w:ilvl w:val="0"/>
              <w:numId w:val="17"/>
            </w:numPr>
            <w:rPr>
              <w:szCs w:val="21"/>
            </w:rPr>
          </w:pPr>
          <w:r>
            <w:rPr>
              <w:rFonts w:hint="eastAsia"/>
              <w:szCs w:val="21"/>
            </w:rPr>
            <w:t>重大的股权投资</w:t>
          </w:r>
        </w:p>
        <w:sdt>
          <w:sdtPr>
            <w:rPr>
              <w:rFonts w:hint="eastAsia"/>
            </w:rPr>
            <w:alias w:val="是否适用：重大的股权投资[双击切换]"/>
            <w:tag w:val="_GBC_b20506918d854c13b13a3b89dd84c7d3"/>
            <w:id w:val="6772884"/>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重大的非股权投资"/>
        <w:tag w:val="_SEC_a184487ede57408c81910695beb0ed38"/>
        <w:id w:val="6772888"/>
        <w:lock w:val="sdtLocked"/>
        <w:placeholder>
          <w:docPart w:val="GBC22222222222222222222222222222"/>
        </w:placeholder>
      </w:sdtPr>
      <w:sdtEndPr>
        <w:rPr>
          <w:rFonts w:hint="eastAsia" w:ascii="宋体" w:hAnsi="宋体" w:cs="宋体"/>
          <w:b w:val="0"/>
          <w:bCs w:val="0"/>
          <w:kern w:val="0"/>
          <w:szCs w:val="24"/>
        </w:rPr>
      </w:sdtEndPr>
      <w:sdtContent>
        <w:p>
          <w:pPr>
            <w:pStyle w:val="6"/>
            <w:numPr>
              <w:ilvl w:val="0"/>
              <w:numId w:val="17"/>
            </w:numPr>
            <w:rPr>
              <w:szCs w:val="21"/>
            </w:rPr>
          </w:pPr>
          <w:r>
            <w:rPr>
              <w:rFonts w:hint="eastAsia"/>
              <w:szCs w:val="21"/>
            </w:rPr>
            <w:t>重大的非股权投资</w:t>
          </w:r>
        </w:p>
        <w:sdt>
          <w:sdtPr>
            <w:rPr>
              <w:rFonts w:hint="eastAsia"/>
            </w:rPr>
            <w:alias w:val="是否适用：重大的非股权投资[双击切换]"/>
            <w:tag w:val="_GBC_fbd46075a5b9414d9e28cd2404e5d47c"/>
            <w:id w:val="6772887"/>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sdtContent>
    </w:sdt>
    <w:sdt>
      <w:sdtPr>
        <w:rPr>
          <w:rFonts w:hint="eastAsia" w:ascii="宋体" w:hAnsi="宋体" w:cs="宋体"/>
          <w:b w:val="0"/>
          <w:bCs w:val="0"/>
          <w:kern w:val="0"/>
          <w:szCs w:val="21"/>
        </w:rPr>
        <w:alias w:val="模块:以公允价值计量的金融资产"/>
        <w:tag w:val="_SEC_b68803fb05c54f76bddc131e89240164"/>
        <w:id w:val="6772891"/>
        <w:lock w:val="sdtLocked"/>
        <w:placeholder>
          <w:docPart w:val="GBC22222222222222222222222222222"/>
        </w:placeholder>
      </w:sdtPr>
      <w:sdtEndPr>
        <w:rPr>
          <w:rFonts w:hint="eastAsia" w:ascii="宋体" w:hAnsi="宋体" w:cs="宋体"/>
          <w:b w:val="0"/>
          <w:bCs w:val="0"/>
          <w:kern w:val="0"/>
          <w:szCs w:val="21"/>
        </w:rPr>
      </w:sdtEndPr>
      <w:sdtContent>
        <w:p>
          <w:pPr>
            <w:pStyle w:val="6"/>
            <w:numPr>
              <w:ilvl w:val="0"/>
              <w:numId w:val="17"/>
            </w:numPr>
            <w:rPr>
              <w:szCs w:val="21"/>
            </w:rPr>
          </w:pPr>
          <w:r>
            <w:rPr>
              <w:rFonts w:hint="eastAsia"/>
              <w:szCs w:val="21"/>
            </w:rPr>
            <w:t>以公允价值计量的金融资产</w:t>
          </w:r>
        </w:p>
        <w:sdt>
          <w:sdtPr>
            <w:rPr>
              <w:rFonts w:hint="eastAsia"/>
              <w:szCs w:val="21"/>
            </w:rPr>
            <w:alias w:val="是否适用：以公允价值计量的金融资产[双击切换]"/>
            <w:tag w:val="_GBC_27fa42d1c8fd489d9e8648bed00ddd53"/>
            <w:id w:val="677288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以公允价值计量的金融资产情况"/>
            <w:tag w:val="_GBC_770598c7d37b42d4b174a65d01e502de"/>
            <w:id w:val="6772890"/>
            <w:lock w:val="sdtLocked"/>
            <w:placeholder>
              <w:docPart w:val="GBC22222222222222222222222222222"/>
            </w:placeholder>
          </w:sdtPr>
          <w:sdtEndPr>
            <w:rPr>
              <w:rFonts w:hint="eastAsia"/>
              <w:szCs w:val="21"/>
            </w:rPr>
          </w:sdtEndPr>
          <w:sdtContent>
            <w:p>
              <w:pPr>
                <w:rPr>
                  <w:szCs w:val="21"/>
                </w:rPr>
              </w:pPr>
            </w:p>
            <w:tbl>
              <w:tblPr>
                <w:tblStyle w:val="8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262"/>
                <w:gridCol w:w="2262"/>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Pr>
                  <w:p>
                    <w:pPr>
                      <w:widowControl w:val="0"/>
                      <w:jc w:val="both"/>
                      <w:rPr>
                        <w:szCs w:val="21"/>
                      </w:rPr>
                    </w:pPr>
                    <w:r>
                      <w:rPr>
                        <w:rFonts w:hint="eastAsia"/>
                        <w:szCs w:val="21"/>
                      </w:rPr>
                      <w:t>项目名称</w:t>
                    </w:r>
                  </w:p>
                </w:tc>
                <w:tc>
                  <w:tcPr>
                    <w:tcW w:w="2262" w:type="dxa"/>
                  </w:tcPr>
                  <w:p>
                    <w:pPr>
                      <w:widowControl w:val="0"/>
                      <w:jc w:val="both"/>
                      <w:rPr>
                        <w:szCs w:val="21"/>
                      </w:rPr>
                    </w:pPr>
                    <w:r>
                      <w:rPr>
                        <w:rFonts w:hint="eastAsia"/>
                        <w:szCs w:val="21"/>
                      </w:rPr>
                      <w:t>期初余额</w:t>
                    </w:r>
                  </w:p>
                </w:tc>
                <w:tc>
                  <w:tcPr>
                    <w:tcW w:w="2262" w:type="dxa"/>
                  </w:tcPr>
                  <w:p>
                    <w:pPr>
                      <w:widowControl w:val="0"/>
                      <w:jc w:val="both"/>
                      <w:rPr>
                        <w:szCs w:val="21"/>
                      </w:rPr>
                    </w:pPr>
                    <w:r>
                      <w:rPr>
                        <w:rFonts w:hint="eastAsia"/>
                        <w:szCs w:val="21"/>
                      </w:rPr>
                      <w:t>期末余额</w:t>
                    </w:r>
                  </w:p>
                </w:tc>
                <w:tc>
                  <w:tcPr>
                    <w:tcW w:w="2263" w:type="dxa"/>
                  </w:tcPr>
                  <w:p>
                    <w:pPr>
                      <w:widowControl w:val="0"/>
                      <w:jc w:val="both"/>
                      <w:rPr>
                        <w:szCs w:val="21"/>
                      </w:rPr>
                    </w:pPr>
                    <w:r>
                      <w:rPr>
                        <w:rFonts w:hint="eastAsia"/>
                        <w:szCs w:val="21"/>
                      </w:rPr>
                      <w:t>当期变动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Pr>
                  <w:p>
                    <w:pPr>
                      <w:widowControl w:val="0"/>
                      <w:jc w:val="both"/>
                      <w:rPr>
                        <w:szCs w:val="21"/>
                      </w:rPr>
                    </w:pPr>
                    <w:r>
                      <w:rPr>
                        <w:rFonts w:hint="eastAsia"/>
                        <w:szCs w:val="21"/>
                      </w:rPr>
                      <w:t>交易性金融资产</w:t>
                    </w:r>
                  </w:p>
                </w:tc>
                <w:tc>
                  <w:tcPr>
                    <w:tcW w:w="2262" w:type="dxa"/>
                  </w:tcPr>
                  <w:p>
                    <w:pPr>
                      <w:widowControl w:val="0"/>
                      <w:jc w:val="right"/>
                      <w:rPr>
                        <w:szCs w:val="21"/>
                      </w:rPr>
                    </w:pPr>
                    <w:r>
                      <w:rPr>
                        <w:szCs w:val="21"/>
                      </w:rPr>
                      <w:t>26,562,400.00</w:t>
                    </w:r>
                  </w:p>
                </w:tc>
                <w:tc>
                  <w:tcPr>
                    <w:tcW w:w="2262" w:type="dxa"/>
                  </w:tcPr>
                  <w:p>
                    <w:pPr>
                      <w:widowControl w:val="0"/>
                      <w:jc w:val="right"/>
                      <w:rPr>
                        <w:szCs w:val="21"/>
                      </w:rPr>
                    </w:pPr>
                    <w:r>
                      <w:rPr>
                        <w:rFonts w:hint="eastAsia"/>
                        <w:szCs w:val="21"/>
                      </w:rPr>
                      <w:t>27,568,000.00</w:t>
                    </w:r>
                  </w:p>
                </w:tc>
                <w:tc>
                  <w:tcPr>
                    <w:tcW w:w="2263" w:type="dxa"/>
                  </w:tcPr>
                  <w:p>
                    <w:pPr>
                      <w:widowControl w:val="0"/>
                      <w:jc w:val="right"/>
                      <w:rPr>
                        <w:szCs w:val="21"/>
                      </w:rPr>
                    </w:pPr>
                    <w:r>
                      <w:rPr>
                        <w:rFonts w:hint="eastAsia"/>
                        <w:szCs w:val="21"/>
                      </w:rPr>
                      <w:t>1,005,600.00</w:t>
                    </w:r>
                  </w:p>
                </w:tc>
              </w:tr>
            </w:tbl>
            <w:p>
              <w:pPr>
                <w:rPr>
                  <w:szCs w:val="21"/>
                </w:rPr>
              </w:pPr>
            </w:p>
          </w:sdtContent>
        </w:sdt>
      </w:sdtContent>
    </w:sdt>
    <w:sdt>
      <w:sdtPr>
        <w:rPr>
          <w:rFonts w:hint="eastAsia" w:ascii="宋体" w:hAnsi="宋体" w:cs="宋体"/>
          <w:b w:val="0"/>
          <w:bCs w:val="0"/>
          <w:kern w:val="0"/>
          <w:szCs w:val="21"/>
        </w:rPr>
        <w:alias w:val="模块:重大资产和股权出售"/>
        <w:tag w:val="_SEC_2dc2a25f5b0947db8d19ad5178673ac9"/>
        <w:id w:val="6772893"/>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9"/>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677289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ascii="宋体" w:hAnsi="宋体" w:cs="宋体"/>
          <w:b w:val="0"/>
          <w:bCs w:val="0"/>
          <w:kern w:val="0"/>
          <w:sz w:val="24"/>
          <w:szCs w:val="21"/>
        </w:rPr>
        <w:alias w:val="模块:主要子公司、参股公司分析"/>
        <w:tag w:val="_SEC_f2f24fd9b9b742fda50064b5b8b90edf"/>
        <w:id w:val="6772896"/>
        <w:lock w:val="sdtLocked"/>
        <w:placeholder>
          <w:docPart w:val="GBC22222222222222222222222222222"/>
        </w:placeholder>
      </w:sdtPr>
      <w:sdtEndPr>
        <w:rPr>
          <w:rFonts w:hint="eastAsia" w:ascii="宋体" w:hAnsi="宋体" w:cs="宋体"/>
          <w:b w:val="0"/>
          <w:bCs w:val="0"/>
          <w:color w:val="000000" w:themeColor="text1"/>
          <w:kern w:val="0"/>
          <w:sz w:val="21"/>
          <w:szCs w:val="21"/>
        </w:rPr>
      </w:sdtEndPr>
      <w:sdtContent>
        <w:p>
          <w:pPr>
            <w:pStyle w:val="4"/>
            <w:numPr>
              <w:ilvl w:val="0"/>
              <w:numId w:val="9"/>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6772894"/>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6772895"/>
            <w:lock w:val="sdtLocked"/>
            <w:placeholder>
              <w:docPart w:val="GBC22222222222222222222222222222"/>
            </w:placeholder>
          </w:sdtPr>
          <w:sdtEndPr>
            <w:rPr>
              <w:rFonts w:hint="eastAsia"/>
              <w:color w:val="000000" w:themeColor="text1"/>
              <w:szCs w:val="21"/>
            </w:rPr>
          </w:sdtEndPr>
          <w:sdtContent>
            <w:p>
              <w:pPr>
                <w:rPr>
                  <w:szCs w:val="21"/>
                </w:rPr>
              </w:pPr>
              <w:r>
                <w:rPr>
                  <w:rFonts w:hint="eastAsia"/>
                  <w:szCs w:val="21"/>
                </w:rPr>
                <w:t>1.</w:t>
              </w:r>
              <w:r>
                <w:rPr>
                  <w:szCs w:val="21"/>
                </w:rPr>
                <w:t>截止报告期末，本公司无下属子公司。</w:t>
              </w:r>
            </w:p>
            <w:p>
              <w:pPr>
                <w:rPr>
                  <w:color w:val="FF0000"/>
                  <w:szCs w:val="21"/>
                </w:rPr>
              </w:pPr>
              <w:r>
                <w:rPr>
                  <w:rFonts w:hint="eastAsia"/>
                  <w:szCs w:val="21"/>
                </w:rPr>
                <w:t>2.参股公司桂林仙源健康产业股份有限公司于2017年下半年开始试营业，主营养老机构投资、老人陪护服务、健康管理咨询等业务。本报告期末，</w:t>
              </w:r>
              <w:r>
                <w:rPr>
                  <w:rFonts w:hint="eastAsia"/>
                  <w:color w:val="000000" w:themeColor="text1"/>
                  <w:szCs w:val="21"/>
                </w:rPr>
                <w:t>仙源公司资产总额177.94万元，净资产155.35万元，2017年营业收入48.45万元，净亏损125.81万元。</w:t>
              </w:r>
            </w:p>
          </w:sdtContent>
        </w:sdt>
      </w:sdtContent>
    </w:sdt>
    <w:sdt>
      <w:sdtPr>
        <w:rPr>
          <w:rFonts w:ascii="宋体" w:hAnsi="宋体" w:cs="宋体"/>
          <w:b w:val="0"/>
          <w:bCs w:val="0"/>
          <w:kern w:val="0"/>
          <w:szCs w:val="21"/>
        </w:rPr>
        <w:alias w:val="模块:公司控制的结构化主体情况"/>
        <w:tag w:val="_SEC_9484614c8eb4420fbc64d1a31f33de49"/>
        <w:id w:val="6772898"/>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9"/>
            </w:numPr>
            <w:ind w:hangingChars="200"/>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6772897"/>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p>
      <w:pPr>
        <w:pStyle w:val="3"/>
        <w:numPr>
          <w:ilvl w:val="0"/>
          <w:numId w:val="8"/>
        </w:numPr>
        <w:ind w:left="422" w:hanging="422" w:hangingChars="200"/>
      </w:pPr>
      <w:r>
        <w:rPr>
          <w:rFonts w:hint="eastAsia"/>
        </w:rPr>
        <w:t>公司</w:t>
      </w:r>
      <w:r>
        <w:t>关于公司未来发展的讨论与分析</w:t>
      </w:r>
    </w:p>
    <w:sdt>
      <w:sdtPr>
        <w:rPr>
          <w:rFonts w:ascii="宋体" w:hAnsi="宋体" w:cs="宋体"/>
          <w:b w:val="0"/>
          <w:bCs w:val="0"/>
          <w:kern w:val="0"/>
          <w:szCs w:val="21"/>
        </w:rPr>
        <w:alias w:val="模块:行业格局和趋势"/>
        <w:tag w:val="_SEC_976db14dc0c94659822643e3f19cce9e"/>
        <w:id w:val="6772901"/>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3"/>
              <w:numId w:val="18"/>
            </w:numPr>
            <w:ind w:left="420" w:hangingChars="200"/>
            <w:rPr>
              <w:szCs w:val="21"/>
            </w:rPr>
          </w:pPr>
          <w:r>
            <w:rPr>
              <w:szCs w:val="21"/>
            </w:rPr>
            <w:t>行业格局和趋势</w:t>
          </w:r>
        </w:p>
        <w:sdt>
          <w:sdtPr>
            <w:rPr>
              <w:rFonts w:hint="eastAsia"/>
              <w:szCs w:val="21"/>
            </w:rPr>
            <w:alias w:val="是否适用：行业格局和趋势[双击切换]"/>
            <w:tag w:val="_GBC_da53e2a4423f4116b5d03ba76b630af9"/>
            <w:id w:val="677289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6772900"/>
            <w:lock w:val="sdtLocked"/>
            <w:placeholder>
              <w:docPart w:val="GBC22222222222222222222222222222"/>
            </w:placeholder>
          </w:sdtPr>
          <w:sdtEndPr>
            <w:rPr>
              <w:rFonts w:hint="eastAsia"/>
              <w:szCs w:val="21"/>
            </w:rPr>
          </w:sdtEndPr>
          <w:sdtContent>
            <w:p>
              <w:pPr>
                <w:rPr>
                  <w:szCs w:val="21"/>
                </w:rPr>
              </w:pPr>
              <w:r>
                <w:rPr>
                  <w:rFonts w:hint="eastAsia"/>
                  <w:color w:val="000000" w:themeColor="text1"/>
                  <w:szCs w:val="21"/>
                </w:rPr>
                <w:t>2018年，全球经济复苏的势头有望继续保持，国内宏观经济也将总体稳定向好，当前中国物价上涨温和，这为稳增长政策出台提供了较为安全的区间，预计基础设施建设投资、环保与改善民生的投资将获得更多的政策支持，这些领域投资都将给钢铁行业带来巨大的市场机会；同时，宏观税负有望进一步降低，企业减负有望落到实处；党的十九大报告强调把发展着力点在实体经济上，做大做强国有企业以及深化供给侧结构性改革，都将给行业带来较大的发展机遇。而另一方面钢铁行业也存在较多不利因素，2016年开始大规模的去产能行动已接近尾声，合规企业仍有增产的潜力，加上2018年电炉炼钢产能逐步释放，行业的市场竞争仍然十分激烈；若今年钢价还持续处于高位，</w:t>
              </w:r>
              <w:r>
                <w:rPr>
                  <w:color w:val="000000"/>
                  <w:szCs w:val="21"/>
                </w:rPr>
                <w:t>对下游制造业和国民经济发展并不利，政府有可能会像对待煤炭业那样通过监督大企业调价来调控钢价。</w:t>
              </w:r>
              <w:r>
                <w:rPr>
                  <w:rFonts w:hint="eastAsia"/>
                  <w:color w:val="000000" w:themeColor="text1"/>
                  <w:szCs w:val="21"/>
                </w:rPr>
                <w:t>总的来看，预计2018年钢材市场供需将基本平稳，钢材价格回归至合理区间，行业发展趋势稳中向好。</w:t>
              </w:r>
            </w:p>
          </w:sdtContent>
        </w:sdt>
        <w:p>
          <w:pPr>
            <w:rPr>
              <w:szCs w:val="21"/>
            </w:rPr>
          </w:pPr>
        </w:p>
      </w:sdtContent>
    </w:sdt>
    <w:sdt>
      <w:sdtPr>
        <w:rPr>
          <w:rFonts w:ascii="宋体" w:hAnsi="宋体" w:cs="宋体"/>
          <w:b w:val="0"/>
          <w:bCs w:val="0"/>
          <w:kern w:val="0"/>
          <w:szCs w:val="21"/>
        </w:rPr>
        <w:alias w:val="模块:公司发展战略"/>
        <w:tag w:val="_SEC_ddbac632a621498c889e331b6e21fcc6"/>
        <w:id w:val="6772904"/>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3"/>
              <w:numId w:val="18"/>
            </w:numPr>
            <w:ind w:left="420" w:hangingChars="200"/>
            <w:rPr>
              <w:szCs w:val="21"/>
            </w:rPr>
          </w:pPr>
          <w:r>
            <w:rPr>
              <w:szCs w:val="21"/>
            </w:rPr>
            <w:t>公司发展战略</w:t>
          </w:r>
        </w:p>
        <w:sdt>
          <w:sdtPr>
            <w:rPr>
              <w:rFonts w:hint="eastAsia"/>
              <w:szCs w:val="21"/>
            </w:rPr>
            <w:alias w:val="是否适用：公司发展战略[双击切换]"/>
            <w:tag w:val="_GBC_5cdf4718a6044c1fbf76e22df729f9b7"/>
            <w:id w:val="677290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6772903"/>
            <w:lock w:val="sdtLocked"/>
            <w:placeholder>
              <w:docPart w:val="GBC22222222222222222222222222222"/>
            </w:placeholder>
          </w:sdtPr>
          <w:sdtEndPr>
            <w:rPr>
              <w:rFonts w:hint="eastAsia"/>
              <w:szCs w:val="21"/>
            </w:rPr>
          </w:sdtEndPr>
          <w:sdtContent>
            <w:p>
              <w:pPr>
                <w:rPr>
                  <w:szCs w:val="21"/>
                </w:rPr>
              </w:pPr>
              <w:r>
                <w:rPr>
                  <w:rFonts w:hint="eastAsia"/>
                  <w:szCs w:val="21"/>
                </w:rPr>
                <w:t xml:space="preserve">    未来公司将进一步深化改革创新，稳步实施“提质增效、沿海转移、多元并举、绿色发展、资本运作、智能升级”六大举措，全面推进企业转型，</w:t>
              </w:r>
              <w:r>
                <w:rPr>
                  <w:rFonts w:hint="eastAsia" w:cs="仿宋"/>
                  <w:szCs w:val="21"/>
                </w:rPr>
                <w:t>力争在未来五至十年打造成为国内行业综合竞争力特强的钢铁企业。</w:t>
              </w:r>
            </w:p>
          </w:sdtContent>
        </w:sdt>
        <w:p>
          <w:pPr>
            <w:rPr>
              <w:szCs w:val="21"/>
            </w:rPr>
          </w:pPr>
        </w:p>
      </w:sdtContent>
    </w:sdt>
    <w:sdt>
      <w:sdtPr>
        <w:rPr>
          <w:rFonts w:ascii="宋体" w:hAnsi="宋体" w:cs="宋体"/>
          <w:b w:val="0"/>
          <w:bCs w:val="0"/>
          <w:kern w:val="0"/>
          <w:szCs w:val="21"/>
        </w:rPr>
        <w:alias w:val="模块:经营计划"/>
        <w:tag w:val="_SEC_e5dfae5745e046e6a8ba223752a1dccc"/>
        <w:id w:val="6772907"/>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3"/>
              <w:numId w:val="18"/>
            </w:numPr>
            <w:ind w:left="420" w:hangingChars="200"/>
            <w:rPr>
              <w:szCs w:val="21"/>
            </w:rPr>
          </w:pPr>
          <w:r>
            <w:rPr>
              <w:szCs w:val="21"/>
            </w:rPr>
            <w:t>经营计划</w:t>
          </w:r>
        </w:p>
        <w:sdt>
          <w:sdtPr>
            <w:rPr>
              <w:rFonts w:hint="eastAsia"/>
              <w:szCs w:val="21"/>
            </w:rPr>
            <w:alias w:val="是否适用：经营计划[双击切换]"/>
            <w:tag w:val="_GBC_871dbf3fc5a0422cadcc3452003278de"/>
            <w:id w:val="6772905"/>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6772906"/>
            <w:lock w:val="sdtLocked"/>
            <w:placeholder>
              <w:docPart w:val="GBC22222222222222222222222222222"/>
            </w:placeholder>
          </w:sdtPr>
          <w:sdtEndPr>
            <w:rPr>
              <w:rFonts w:hint="eastAsia"/>
              <w:szCs w:val="21"/>
            </w:rPr>
          </w:sdtEndPr>
          <w:sdtContent>
            <w:p>
              <w:pPr>
                <w:rPr>
                  <w:szCs w:val="21"/>
                </w:rPr>
              </w:pPr>
              <w:r>
                <w:rPr>
                  <w:rFonts w:hint="eastAsia"/>
                  <w:szCs w:val="21"/>
                </w:rPr>
                <w:t xml:space="preserve">    </w:t>
              </w:r>
              <w:r>
                <w:rPr>
                  <w:rFonts w:hint="eastAsia"/>
                  <w:color w:val="000000" w:themeColor="text1"/>
                  <w:szCs w:val="21"/>
                </w:rPr>
                <w:t>——较大以上生产安全事故、火灾事故、环境污染事故，重大以上交通事故、设备（动力）事故，因违法经营引发的重大法律纠纷和政策外生育均为“零”。</w:t>
              </w:r>
              <w:r>
                <w:rPr>
                  <w:rFonts w:hint="eastAsia"/>
                  <w:color w:val="000000" w:themeColor="text1"/>
                  <w:szCs w:val="21"/>
                </w:rPr>
                <w:br w:type="textWrapping"/>
              </w:r>
              <w:r>
                <w:rPr>
                  <w:rFonts w:hint="eastAsia"/>
                  <w:szCs w:val="21"/>
                </w:rPr>
                <w:t xml:space="preserve">    ——铁产量：1150万吨</w:t>
              </w:r>
              <w:r>
                <w:rPr>
                  <w:rFonts w:hint="eastAsia"/>
                  <w:szCs w:val="21"/>
                </w:rPr>
                <w:br w:type="textWrapping"/>
              </w:r>
              <w:r>
                <w:rPr>
                  <w:rFonts w:hint="eastAsia"/>
                  <w:szCs w:val="21"/>
                </w:rPr>
                <w:t xml:space="preserve">    ——钢产量：1250万吨</w:t>
              </w:r>
              <w:r>
                <w:rPr>
                  <w:rFonts w:hint="eastAsia"/>
                  <w:szCs w:val="21"/>
                </w:rPr>
                <w:br w:type="textWrapping"/>
              </w:r>
              <w:r>
                <w:rPr>
                  <w:rFonts w:hint="eastAsia"/>
                  <w:szCs w:val="21"/>
                </w:rPr>
                <w:t xml:space="preserve">    ——钢材产量：750万吨</w:t>
              </w:r>
              <w:r>
                <w:rPr>
                  <w:rFonts w:hint="eastAsia"/>
                  <w:szCs w:val="21"/>
                </w:rPr>
                <w:br w:type="textWrapping"/>
              </w:r>
              <w:r>
                <w:rPr>
                  <w:rFonts w:hint="eastAsia"/>
                  <w:szCs w:val="21"/>
                </w:rPr>
                <w:t xml:space="preserve">    ——营业收入：410亿元</w:t>
              </w:r>
              <w:r>
                <w:rPr>
                  <w:rFonts w:hint="eastAsia"/>
                  <w:szCs w:val="21"/>
                </w:rPr>
                <w:br w:type="textWrapping"/>
              </w:r>
              <w:r>
                <w:rPr>
                  <w:rFonts w:hint="eastAsia"/>
                  <w:szCs w:val="21"/>
                </w:rPr>
                <w:t xml:space="preserve">    ——利润：18亿元</w:t>
              </w:r>
              <w:r>
                <w:rPr>
                  <w:rFonts w:hint="eastAsia"/>
                  <w:szCs w:val="21"/>
                </w:rPr>
                <w:br w:type="textWrapping"/>
              </w:r>
              <w:r>
                <w:rPr>
                  <w:rFonts w:hint="eastAsia"/>
                  <w:szCs w:val="21"/>
                </w:rPr>
                <w:t xml:space="preserve">    ——实现年度生产经营目标的基础上，职工收入有所增长</w:t>
              </w:r>
            </w:p>
            <w:p>
              <w:pPr>
                <w:rPr>
                  <w:szCs w:val="21"/>
                </w:rPr>
              </w:pPr>
            </w:p>
            <w:p>
              <w:pPr>
                <w:rPr>
                  <w:color w:val="000000" w:themeColor="text1"/>
                  <w:szCs w:val="21"/>
                </w:rPr>
              </w:pPr>
              <w:r>
                <w:rPr>
                  <w:rFonts w:hint="eastAsia"/>
                  <w:color w:val="000000" w:themeColor="text1"/>
                  <w:szCs w:val="21"/>
                </w:rPr>
                <w:t>重点需做好以下几项工作：</w:t>
              </w:r>
            </w:p>
            <w:p>
              <w:pPr>
                <w:rPr>
                  <w:color w:val="000000" w:themeColor="text1"/>
                  <w:szCs w:val="21"/>
                </w:rPr>
              </w:pPr>
              <w:r>
                <w:rPr>
                  <w:rFonts w:hint="eastAsia"/>
                  <w:color w:val="000000" w:themeColor="text1"/>
                  <w:szCs w:val="21"/>
                </w:rPr>
                <w:t>1.继续强化系统协同，提升成本控制水平。采购方面，实行采购、生产联动，推进签订煤、矿长协采购合同；生产方面，牢固树立大局意识，从全系统高效低耗运行的角度做好工序降成本工作；</w:t>
              </w:r>
              <w:r>
                <w:rPr>
                  <w:color w:val="000000" w:themeColor="text1"/>
                  <w:szCs w:val="21"/>
                </w:rPr>
                <w:t>设备管理方面，继续严格控制外委检修费用</w:t>
              </w:r>
              <w:r>
                <w:rPr>
                  <w:rFonts w:hint="eastAsia"/>
                  <w:color w:val="000000" w:themeColor="text1"/>
                  <w:szCs w:val="21"/>
                </w:rPr>
                <w:t>，降低维修成本；财务管理方面，合理使用融资工具，进一步优化融资结构，加强资金运作，降低财务费用；机关部室及辅助单位要提高降成本服务水平。总调度室强化生产组织协调，力保系统平衡，降低平衡成本。围绕公司全年策划降成本目标要求，系统内各单位要加强协调，健全通畅的信息互通机制，全力保障生产稳定顺行和高效低耗</w:t>
              </w:r>
            </w:p>
            <w:p>
              <w:pPr>
                <w:rPr>
                  <w:color w:val="000000"/>
                </w:rPr>
              </w:pPr>
              <w:r>
                <w:rPr>
                  <w:rFonts w:hint="eastAsia"/>
                  <w:color w:val="000000"/>
                </w:rPr>
                <w:t xml:space="preserve">    2.持续深化品牌建设，增强公司创效能力。向产品质量要效益、向产品研发要效益、向产品营销要效益，提升柳钢品牌在市场的知名度与影响力，。</w:t>
              </w:r>
            </w:p>
            <w:p>
              <w:pPr>
                <w:rPr>
                  <w:color w:val="000000"/>
                </w:rPr>
              </w:pPr>
              <w:r>
                <w:rPr>
                  <w:rFonts w:hint="eastAsia"/>
                  <w:color w:val="000000"/>
                </w:rPr>
                <w:t xml:space="preserve">    3.推进关键领域改革，增强内生发展动力，一是完善经济责任制考核体系，强化考核效果；二是推进内部改革改制，建立标准化体系，更好的优化资源配置，保障资金安全，提升公司整体运营效率；三是深化三项制度改革，建立领导人员分类、分层管理制度，推行竞聘制和任期制，实现人力资源体系的优化；四是以创新驱动提升核心竞争力，加快推进一体化ERP项目建设，推进自动化、信息化深度融合。</w:t>
              </w:r>
            </w:p>
            <w:p>
              <w:pPr>
                <w:rPr>
                  <w:color w:val="000000"/>
                </w:rPr>
              </w:pPr>
              <w:r>
                <w:rPr>
                  <w:rFonts w:hint="eastAsia"/>
                  <w:color w:val="000000"/>
                </w:rPr>
                <w:t xml:space="preserve">    4、继续加大生态环境保护，提高绿色发展绩效深化“三废”治理技术研究应用加强环保精细管理，实施新环境管理体系，强化环境督查，确保公司节能减排工作再上新台阶。</w:t>
              </w:r>
            </w:p>
            <w:p>
              <w:pPr>
                <w:rPr>
                  <w:szCs w:val="21"/>
                </w:rPr>
              </w:pPr>
              <w:r>
                <w:rPr>
                  <w:rFonts w:hint="eastAsia"/>
                  <w:color w:val="000000"/>
                </w:rPr>
                <w:t xml:space="preserve">    5.抓好党建和精神文明建设，切实保障和改善民生，提高职工幸福指数。</w:t>
              </w:r>
            </w:p>
          </w:sdtContent>
        </w:sdt>
        <w:p>
          <w:pPr>
            <w:rPr>
              <w:szCs w:val="21"/>
            </w:rPr>
          </w:pPr>
        </w:p>
      </w:sdtContent>
    </w:sdt>
    <w:sdt>
      <w:sdtPr>
        <w:rPr>
          <w:rFonts w:ascii="宋体" w:hAnsi="宋体" w:cs="宋体"/>
          <w:b w:val="0"/>
          <w:bCs w:val="0"/>
          <w:kern w:val="0"/>
          <w:szCs w:val="21"/>
        </w:rPr>
        <w:alias w:val="模块:可能面对的风险"/>
        <w:tag w:val="_SEC_22da638766f04cb497f13857cff3dfee"/>
        <w:id w:val="6772910"/>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3"/>
              <w:numId w:val="18"/>
            </w:numPr>
            <w:ind w:left="420" w:hangingChars="200"/>
            <w:rPr>
              <w:szCs w:val="21"/>
            </w:rPr>
          </w:pPr>
          <w:r>
            <w:rPr>
              <w:szCs w:val="21"/>
            </w:rPr>
            <w:t>可能面对的风险</w:t>
          </w:r>
        </w:p>
        <w:sdt>
          <w:sdtPr>
            <w:rPr>
              <w:rFonts w:hint="eastAsia"/>
              <w:szCs w:val="21"/>
            </w:rPr>
            <w:alias w:val="是否适用：可能面对的风险[双击切换]"/>
            <w:tag w:val="_GBC_1b74f2e1039c4fe9acc819e860071020"/>
            <w:id w:val="6772908"/>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可能面对的风险"/>
            <w:tag w:val="_GBC_c62723d12603412ba692148cd4961de5"/>
            <w:id w:val="6772909"/>
            <w:lock w:val="sdtLocked"/>
            <w:placeholder>
              <w:docPart w:val="GBC22222222222222222222222222222"/>
            </w:placeholder>
          </w:sdtPr>
          <w:sdtEndPr>
            <w:rPr>
              <w:rFonts w:hint="eastAsia"/>
              <w:szCs w:val="21"/>
            </w:rPr>
          </w:sdtEndPr>
          <w:sdtContent>
            <w:p>
              <w:pP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b/>
                  <w:bCs/>
                  <w:szCs w:val="21"/>
                </w:rPr>
                <w:t>市场风险</w:t>
              </w:r>
            </w:p>
            <w:p>
              <w:pPr>
                <w:rPr>
                  <w:rFonts w:asciiTheme="minorEastAsia" w:hAnsiTheme="minorEastAsia" w:eastAsiaTheme="minorEastAsia"/>
                  <w:szCs w:val="21"/>
                </w:rPr>
              </w:pPr>
              <w:r>
                <w:rPr>
                  <w:rFonts w:hint="eastAsia" w:asciiTheme="minorEastAsia" w:hAnsiTheme="minorEastAsia" w:eastAsiaTheme="minorEastAsia"/>
                  <w:szCs w:val="21"/>
                </w:rPr>
                <w:t xml:space="preserve">    2017年，钢铁行业稳步回暖，总体盈利创出近年来的最好水平，但2018年能否持续回暖则面临较大考验：首先，去产能导致的供给偏紧效应逐渐减弱，钢铁去产能接近尾声；其次现有合规企业产能仍有释放空间，电炉产能也在持续增加；最后</w:t>
              </w:r>
              <w:r>
                <w:rPr>
                  <w:szCs w:val="21"/>
                </w:rPr>
                <w:t>随着近年来持续在环保方面采取措施，一些重污染地区空气质量在不断好转，企业也在不断增加环保投入，预计大规模限产、减产可能会相应弱化</w:t>
              </w:r>
              <w:r>
                <w:rPr>
                  <w:rFonts w:hint="eastAsia"/>
                  <w:szCs w:val="21"/>
                </w:rPr>
                <w:t>，</w:t>
              </w:r>
              <w:r>
                <w:rPr>
                  <w:rFonts w:hint="eastAsia" w:asciiTheme="minorEastAsia" w:hAnsiTheme="minorEastAsia" w:eastAsiaTheme="minorEastAsia"/>
                  <w:szCs w:val="21"/>
                </w:rPr>
                <w:t>这些因素都有可能导致钢材价格剧烈波动，增加公司的市场风险。</w:t>
              </w:r>
            </w:p>
            <w:p>
              <w:pPr>
                <w:rPr>
                  <w:rFonts w:asciiTheme="minorEastAsia" w:hAnsiTheme="minorEastAsia" w:eastAsiaTheme="minorEastAsia"/>
                  <w:szCs w:val="21"/>
                </w:rPr>
              </w:pPr>
              <w:r>
                <w:rPr>
                  <w:rFonts w:hint="eastAsia" w:asciiTheme="minorEastAsia" w:hAnsiTheme="minorEastAsia" w:eastAsiaTheme="minorEastAsia"/>
                  <w:szCs w:val="21"/>
                </w:rPr>
                <w:t xml:space="preserve">    应对措施：持续提升公司综合竞争力，加快发挥成本管控、风险管理等内生作用；进一步提高公司在区域市场的主导地位，增强盈利能力；持续加大对外开放合作力度，拓展外部发展空间。</w:t>
              </w:r>
            </w:p>
            <w:p>
              <w:pPr>
                <w:rPr>
                  <w:rFonts w:asciiTheme="minorEastAsia" w:hAnsiTheme="minorEastAsia" w:eastAsiaTheme="minorEastAsia"/>
                  <w:b/>
                  <w:szCs w:val="21"/>
                </w:rPr>
              </w:pPr>
              <w:r>
                <w:rPr>
                  <w:rFonts w:hint="eastAsia" w:asciiTheme="minorEastAsia" w:hAnsiTheme="minorEastAsia" w:eastAsiaTheme="minorEastAsia"/>
                  <w:b/>
                  <w:szCs w:val="21"/>
                  <w:shd w:val="clear" w:color="auto" w:fill="FFFFFF"/>
                </w:rPr>
                <w:t>2.</w:t>
              </w:r>
              <w:r>
                <w:rPr>
                  <w:rFonts w:hint="eastAsia" w:asciiTheme="minorEastAsia" w:hAnsiTheme="minorEastAsia" w:eastAsiaTheme="minorEastAsia"/>
                  <w:b/>
                  <w:szCs w:val="21"/>
                </w:rPr>
                <w:t>财务风险</w:t>
              </w:r>
            </w:p>
            <w:p>
              <w:pPr>
                <w:rPr>
                  <w:rFonts w:asciiTheme="minorEastAsia" w:hAnsiTheme="minorEastAsia" w:eastAsiaTheme="minorEastAsia"/>
                  <w:szCs w:val="21"/>
                </w:rPr>
              </w:pPr>
              <w:r>
                <w:rPr>
                  <w:rFonts w:hint="eastAsia" w:asciiTheme="minorEastAsia" w:hAnsiTheme="minorEastAsia" w:eastAsiaTheme="minorEastAsia"/>
                  <w:szCs w:val="21"/>
                </w:rPr>
                <w:t xml:space="preserve">    （1）筹资风险</w:t>
              </w:r>
            </w:p>
            <w:p>
              <w:pPr>
                <w:rPr>
                  <w:rFonts w:asciiTheme="minorEastAsia" w:hAnsiTheme="minorEastAsia" w:eastAsiaTheme="minorEastAsia"/>
                  <w:szCs w:val="21"/>
                </w:rPr>
              </w:pPr>
              <w:r>
                <w:rPr>
                  <w:rFonts w:hint="eastAsia" w:asciiTheme="minorEastAsia" w:hAnsiTheme="minorEastAsia" w:eastAsiaTheme="minorEastAsia"/>
                  <w:szCs w:val="21"/>
                </w:rPr>
                <w:t xml:space="preserve">    国家财政政策、货币政策和产业政策都间接影响企业筹资成本、筹资风险。2017年开始，为防范系统性金融风险，央行已经开始收紧银根，融资成本不断攀升，公司融资渠道较为单一，筹资成本增加，筹资风险加大。</w:t>
              </w:r>
            </w:p>
            <w:p>
              <w:pPr>
                <w:rPr>
                  <w:rFonts w:asciiTheme="minorEastAsia" w:hAnsiTheme="minorEastAsia" w:eastAsiaTheme="minorEastAsia"/>
                  <w:szCs w:val="21"/>
                </w:rPr>
              </w:pPr>
              <w:r>
                <w:rPr>
                  <w:rFonts w:hint="eastAsia" w:asciiTheme="minorEastAsia" w:hAnsiTheme="minorEastAsia" w:eastAsiaTheme="minorEastAsia"/>
                  <w:szCs w:val="21"/>
                </w:rPr>
                <w:t xml:space="preserve">    应对措施：主动走访各家授信银行，积极争取最大用信规模，力保资金供应，并努力控制融资成本；积极开拓新的筹融资渠道；利用国际国内业务开展贸易项下的债权、保理、押汇等金融产品融资；签发无息银行承兑汇票、商业承兑汇票，综合减少利息支出。</w:t>
              </w:r>
            </w:p>
            <w:p>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rPr>
                <w:t xml:space="preserve">    （2）利率风险以及汇率风险</w:t>
              </w:r>
            </w:p>
            <w:p>
              <w:pPr>
                <w:rPr>
                  <w:rFonts w:asciiTheme="minorEastAsia" w:hAnsiTheme="minorEastAsia" w:eastAsiaTheme="minorEastAsia"/>
                  <w:szCs w:val="21"/>
                </w:rPr>
              </w:pPr>
              <w:r>
                <w:rPr>
                  <w:rFonts w:hint="eastAsia" w:asciiTheme="minorEastAsia" w:hAnsiTheme="minorEastAsia" w:eastAsiaTheme="minorEastAsia"/>
                  <w:szCs w:val="21"/>
                </w:rPr>
                <w:t xml:space="preserve">    借款利率和人民币对外币汇率大幅度攀升，会引起利息费用剧增，利润下降，有可能无法支付高涨的利息费用。</w:t>
              </w:r>
            </w:p>
            <w:p>
              <w:pPr>
                <w:rPr>
                  <w:szCs w:val="21"/>
                </w:rPr>
              </w:pPr>
              <w:r>
                <w:rPr>
                  <w:rFonts w:hint="eastAsia" w:asciiTheme="minorEastAsia" w:hAnsiTheme="minorEastAsia" w:eastAsiaTheme="minorEastAsia"/>
                  <w:szCs w:val="21"/>
                </w:rPr>
                <w:t xml:space="preserve">    应对措施：及时掌握国家乃至全球金融市场的信息源，关注汇率变动，控制汇兑损失。积极关注汇率变动，跟踪各行实时汇率、远期结售汇汇率，在人民币持续贬值压力下，争取相关银行的购汇优惠，采取推迟结汇、择机购汇、减少外币融资、汇率区间宝、远期售汇等规避汇率风险措施，锁定汇率风险，控制汇兑损失。</w:t>
              </w:r>
            </w:p>
          </w:sdtContent>
        </w:sdt>
        <w:p>
          <w:pPr>
            <w:rPr>
              <w:szCs w:val="21"/>
            </w:rPr>
          </w:pPr>
        </w:p>
      </w:sdtContent>
    </w:sdt>
    <w:sdt>
      <w:sdtPr>
        <w:rPr>
          <w:rFonts w:ascii="宋体" w:hAnsi="宋体" w:cs="宋体"/>
          <w:b w:val="0"/>
          <w:bCs w:val="0"/>
          <w:kern w:val="0"/>
          <w:szCs w:val="21"/>
        </w:rPr>
        <w:alias w:val="模块:其他"/>
        <w:tag w:val="_SEC_449f92267bc945658d04ffaf693010b1"/>
        <w:id w:val="6772913"/>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3"/>
              <w:numId w:val="18"/>
            </w:numPr>
            <w:ind w:left="420" w:hangingChars="200"/>
            <w:rPr>
              <w:szCs w:val="21"/>
            </w:rPr>
          </w:pPr>
          <w:r>
            <w:rPr>
              <w:szCs w:val="21"/>
            </w:rPr>
            <w:t>其他</w:t>
          </w:r>
        </w:p>
        <w:sdt>
          <w:sdtPr>
            <w:rPr>
              <w:rFonts w:hint="eastAsia"/>
              <w:szCs w:val="21"/>
            </w:rPr>
            <w:alias w:val="是否适用：公司其他未来发展的讨论和分析[双击切换]"/>
            <w:tag w:val="_GBC_aad5c59ba9344d37bc5cc7a8eba5f048"/>
            <w:id w:val="6772911"/>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hint="eastAsia" w:ascii="Cambria" w:hAnsi="Cambria" w:cs="宋体"/>
          <w:b w:val="0"/>
          <w:bCs w:val="0"/>
          <w:kern w:val="0"/>
          <w:szCs w:val="24"/>
        </w:rPr>
        <w:alias w:val="模块:公司因不适用准则规定国家秘密、商业秘密等或特殊原因，未按准则披露的情况和原因说明"/>
        <w:tag w:val="_SEC_14765587b8824a0d969811c87d3f8cd6"/>
        <w:id w:val="6772916"/>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8"/>
            </w:numPr>
            <w:rPr>
              <w:rFonts w:ascii="Cambria" w:hAnsi="Cambria"/>
            </w:rPr>
          </w:pPr>
          <w:r>
            <w:rPr>
              <w:rFonts w:hint="eastAsia" w:ascii="Cambria" w:hAnsi="Cambr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6772914"/>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rPr>
          <w:szCs w:val="21"/>
        </w:rPr>
      </w:pPr>
    </w:p>
    <w:p>
      <w:pPr>
        <w:pStyle w:val="2"/>
        <w:numPr>
          <w:ilvl w:val="0"/>
          <w:numId w:val="2"/>
        </w:numPr>
      </w:pPr>
      <w:bookmarkStart w:id="25" w:name="_Toc469563079"/>
      <w:bookmarkStart w:id="26" w:name="_Toc409437606"/>
      <w:bookmarkStart w:id="27" w:name="_Toc437440712"/>
      <w:r>
        <w:rPr>
          <w:rFonts w:hint="eastAsia"/>
        </w:rPr>
        <w:t>重要事项</w:t>
      </w:r>
      <w:bookmarkEnd w:id="25"/>
      <w:bookmarkEnd w:id="26"/>
      <w:bookmarkEnd w:id="27"/>
    </w:p>
    <w:p>
      <w:pPr>
        <w:pStyle w:val="3"/>
        <w:numPr>
          <w:ilvl w:val="0"/>
          <w:numId w:val="19"/>
        </w:numPr>
      </w:pPr>
      <w:r>
        <w:rPr>
          <w:rFonts w:hint="eastAsia"/>
        </w:rPr>
        <w:t>普通股</w:t>
      </w:r>
      <w:r>
        <w:t>利润分配或资本公积金转增预案</w:t>
      </w:r>
    </w:p>
    <w:sdt>
      <w:sdtPr>
        <w:rPr>
          <w:rFonts w:hint="eastAsia" w:ascii="宋体" w:hAnsi="宋体" w:cs="宋体"/>
          <w:b w:val="0"/>
          <w:bCs w:val="0"/>
          <w:kern w:val="0"/>
          <w:szCs w:val="24"/>
        </w:rPr>
        <w:alias w:val="模块:现金分红政策的制定、执行或调整情况"/>
        <w:tag w:val="_SEC_56f603efa27346f7af316ef98db0d157"/>
        <w:id w:val="6772919"/>
        <w:lock w:val="sdtLocked"/>
        <w:placeholder>
          <w:docPart w:val="GBC22222222222222222222222222222"/>
        </w:placeholder>
      </w:sdtPr>
      <w:sdtEndPr>
        <w:rPr>
          <w:rFonts w:hint="default" w:ascii="宋体" w:hAnsi="宋体" w:cs="宋体"/>
          <w:b w:val="0"/>
          <w:bCs w:val="0"/>
          <w:kern w:val="0"/>
          <w:szCs w:val="24"/>
        </w:rPr>
      </w:sdtEndPr>
      <w:sdtContent>
        <w:p>
          <w:pPr>
            <w:pStyle w:val="4"/>
            <w:numPr>
              <w:ilvl w:val="0"/>
              <w:numId w:val="20"/>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6772917"/>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现金分红政策的执行情况"/>
            <w:tag w:val="_GBC_0ba57968760941749cc2f420644f2599"/>
            <w:id w:val="6772918"/>
            <w:lock w:val="sdtLocked"/>
            <w:placeholder>
              <w:docPart w:val="GBC22222222222222222222222222222"/>
            </w:placeholder>
          </w:sdtPr>
          <w:sdtContent>
            <w:p>
              <w:r>
                <w:rPr>
                  <w:rFonts w:hint="eastAsia"/>
                </w:rPr>
                <w:t>1.公司利润分配政策的基本原则</w:t>
              </w:r>
              <w:r>
                <w:rPr>
                  <w:rFonts w:hint="eastAsia"/>
                </w:rPr>
                <w:br w:type="textWrapping"/>
              </w:r>
              <w:r>
                <w:rPr>
                  <w:rFonts w:hint="eastAsia"/>
                </w:rPr>
                <w:t>（1）公司的利润分配政策保持连续性和稳定性，重视对投资者的合理投资回报，兼顾全体股东的整体利益及公司的可持续发展。</w:t>
              </w:r>
              <w:r>
                <w:rPr>
                  <w:rFonts w:hint="eastAsia"/>
                </w:rPr>
                <w:br w:type="textWrapping"/>
              </w:r>
              <w:r>
                <w:rPr>
                  <w:rFonts w:hint="eastAsia"/>
                </w:rPr>
                <w:t>（2）公司对利润分配政策的决策和论证应当充分考虑独立董事和公众投资者的意见。</w:t>
              </w:r>
              <w:r>
                <w:rPr>
                  <w:rFonts w:hint="eastAsia"/>
                </w:rPr>
                <w:br w:type="textWrapping"/>
              </w:r>
              <w:r>
                <w:rPr>
                  <w:rFonts w:hint="eastAsia"/>
                </w:rPr>
                <w:t>（3）公司按照当年实现的归属于上市公司股东的可分配利润的规定比例向股东分配股利。</w:t>
              </w:r>
              <w:r>
                <w:rPr>
                  <w:rFonts w:hint="eastAsia"/>
                </w:rPr>
                <w:br w:type="textWrapping"/>
              </w:r>
              <w:r>
                <w:rPr>
                  <w:rFonts w:hint="eastAsia"/>
                </w:rPr>
                <w:t>（4）公司优先采用现金分红的利润分配方式。</w:t>
              </w:r>
            </w:p>
            <w:p>
              <w:r>
                <w:rPr>
                  <w:rFonts w:hint="eastAsia"/>
                </w:rPr>
                <w:t>2.公司利润分配具体政策</w:t>
              </w:r>
              <w:r>
                <w:rPr>
                  <w:rFonts w:hint="eastAsia"/>
                </w:rPr>
                <w:br w:type="textWrapping"/>
              </w:r>
              <w:r>
                <w:rPr>
                  <w:rFonts w:hint="eastAsia"/>
                </w:rPr>
                <w:t>（1）利润分配的形式：公司采用现金、股票或者现金与股票相结合的方式分配利润。在有条件的情况下，公司可以进行中期利润分配。</w:t>
              </w:r>
              <w:r>
                <w:rPr>
                  <w:rFonts w:hint="eastAsia"/>
                </w:rPr>
                <w:br w:type="textWrapping"/>
              </w:r>
              <w:r>
                <w:rPr>
                  <w:rFonts w:hint="eastAsia"/>
                </w:rPr>
                <w:t>（2）公司现金分红的具体条件和比例：除特殊情况外，公司在当年盈利且累计未分配利润为正的情况下，采取现金方式分配股利，每年以现金方式分配的利润不少于当年实现的归属于上市公司股东的可分配利润的10%。最近三个会计年度内，公司以现金方式累计分配的利润原则上不少于最近三年实现的年均可分配利润的30%。</w:t>
              </w:r>
              <w:r>
                <w:rPr>
                  <w:rFonts w:hint="eastAsia"/>
                </w:rPr>
                <w:br w:type="textWrapping"/>
              </w:r>
              <w:r>
                <w:rPr>
                  <w:rFonts w:hint="eastAsia"/>
                </w:rPr>
                <w:t>特殊情况是指：</w:t>
              </w:r>
              <w:r>
                <w:rPr>
                  <w:rFonts w:hint="eastAsia"/>
                </w:rPr>
                <w:br w:type="textWrapping"/>
              </w:r>
              <w:r>
                <w:rPr>
                  <w:rFonts w:hint="eastAsia"/>
                </w:rPr>
                <w:t>①公司当年年末资产负债率超过70%；</w:t>
              </w:r>
              <w:r>
                <w:rPr>
                  <w:rFonts w:hint="eastAsia"/>
                </w:rPr>
                <w:br w:type="textWrapping"/>
              </w:r>
              <w:r>
                <w:rPr>
                  <w:rFonts w:hint="eastAsia"/>
                </w:rPr>
                <w:t>②公司当年经营活动产生的现金流量净额为负数；</w:t>
              </w:r>
              <w:r>
                <w:rPr>
                  <w:rFonts w:hint="eastAsia"/>
                </w:rPr>
                <w:br w:type="textWrapping"/>
              </w:r>
              <w:r>
                <w:rPr>
                  <w:rFonts w:hint="eastAsia"/>
                </w:rPr>
                <w:t>③公司当年实现的每股可供分配利润低于0.05元；</w:t>
              </w:r>
              <w:r>
                <w:rPr>
                  <w:rFonts w:hint="eastAsia"/>
                </w:rPr>
                <w:br w:type="textWrapping"/>
              </w:r>
              <w:r>
                <w:rPr>
                  <w:rFonts w:hint="eastAsia"/>
                </w:rPr>
                <w:t>④公司重大投资计划或重大现金支出等事项发生。公司重大投资计划或重大现金支出，是指公司未来十二个月内拟对外投资、收购资产或购买设备累计支出达到或超过公司最近一期经审计净资产的30%；</w:t>
              </w:r>
              <w:r>
                <w:rPr>
                  <w:rFonts w:hint="eastAsia"/>
                </w:rPr>
                <w:br w:type="textWrapping"/>
              </w:r>
              <w:r>
                <w:rPr>
                  <w:rFonts w:hint="eastAsia"/>
                </w:rPr>
                <w:t>⑤公司拟回购股份的；</w:t>
              </w:r>
              <w:r>
                <w:rPr>
                  <w:rFonts w:hint="eastAsia"/>
                </w:rPr>
                <w:br w:type="textWrapping"/>
              </w:r>
              <w:r>
                <w:rPr>
                  <w:rFonts w:hint="eastAsia"/>
                </w:rPr>
                <w:t>⑥经股东大会审议通过，于未来一年内可能发生重大重组事项或企业改制。</w:t>
              </w:r>
              <w:r>
                <w:rPr>
                  <w:rFonts w:hint="eastAsia"/>
                </w:rPr>
                <w:br w:type="textWrapping"/>
              </w:r>
              <w:r>
                <w:rPr>
                  <w:rFonts w:hint="eastAsia"/>
                </w:rPr>
                <w:t>（3）公司发放股票股利的条件：公司在满足上述现金分红的条件下，可以提出股票股利分配预案。</w:t>
              </w:r>
              <w:r>
                <w:rPr>
                  <w:rFonts w:hint="eastAsia"/>
                </w:rPr>
                <w:br w:type="textWrapping"/>
              </w:r>
              <w:r>
                <w:rPr>
                  <w:rFonts w:hint="eastAsia"/>
                </w:rPr>
                <w:t>3.公司利润分配方案的审议程序</w:t>
              </w:r>
              <w:r>
                <w:rPr>
                  <w:rFonts w:hint="eastAsia"/>
                </w:rPr>
                <w:br w:type="textWrapping"/>
              </w:r>
              <w:r>
                <w:rPr>
                  <w:rFonts w:hint="eastAsia"/>
                </w:rPr>
                <w:t>（1）公司董事会就利润分配方案的合理性进行充分讨论并形成详细会议记录。独立董事应当就利润分配方案发表明确意见。利润分配方案形成专项决议后提交股东大会审议。</w:t>
              </w:r>
              <w:r>
                <w:rPr>
                  <w:rFonts w:hint="eastAsia"/>
                </w:rPr>
                <w:br w:type="textWrapping"/>
              </w:r>
              <w:r>
                <w:rPr>
                  <w:rFonts w:hint="eastAsia"/>
                </w:rPr>
                <w:t>（2）公司当年盈利且累计未分配利润为正的情况下，不采取现金方式分红或拟定的现金分红比例未达公司利润分配具体政策，股东大会审议利润分配方案时，公司为股东提供网络投票方式。</w:t>
              </w:r>
              <w:r>
                <w:rPr>
                  <w:rFonts w:hint="eastAsia"/>
                </w:rPr>
                <w:br w:type="textWrapping"/>
              </w:r>
              <w:r>
                <w:rPr>
                  <w:rFonts w:hint="eastAsia"/>
                </w:rPr>
                <w:t>（3）公司因前述公司利润分配具体政策规定的特殊情况而不进行现金分红时，董事会就不进行现金分红的具体原因、公司留存收益的确切用途及预计投资收益等事项进行专项说明，经独立董事发表意见后提交股东大会审议，并在公司指定媒体上予以披露。</w:t>
              </w:r>
              <w:r>
                <w:rPr>
                  <w:rFonts w:hint="eastAsia"/>
                </w:rPr>
                <w:br w:type="textWrapping"/>
              </w:r>
              <w:r>
                <w:rPr>
                  <w:rFonts w:hint="eastAsia"/>
                </w:rPr>
                <w:t>4.公司利润分配方案的实施：公司股东大会对利润分配方案做出决议后，董事会须在股东大会召开后2个月内完成股利的派发事宜。</w:t>
              </w:r>
              <w:r>
                <w:rPr>
                  <w:rFonts w:hint="eastAsia"/>
                </w:rPr>
                <w:br w:type="textWrapping"/>
              </w:r>
              <w:r>
                <w:rPr>
                  <w:rFonts w:hint="eastAsia"/>
                </w:rPr>
                <w:t>5.公司利润分配政策的变更：如遇战争、自然灾害等不可抗力，或者公司外部经营环境发生重大变化并对公司生产经营造成重大影响，或公司自身经营状况发生较大变化时，公司可对利润分配政策进行调整。</w:t>
              </w:r>
              <w:r>
                <w:rPr>
                  <w:rFonts w:hint="eastAsia"/>
                </w:rPr>
                <w:br w:type="textWrapping"/>
              </w:r>
              <w:r>
                <w:rPr>
                  <w:rFonts w:hint="eastAsia"/>
                </w:rPr>
                <w:t xml:space="preserve">    公司调整利润分配政策应由董事会做出专题论述，详细论证调整理由，形成书面论证报告并经2/3以上（含）独立董事表决通过后提交股东大会特别决议通过。股东大会审议利润分配政策变更事项时，公司为股东提供网络投票方式。</w:t>
              </w:r>
            </w:p>
            <w:p>
              <w:r>
                <w:rPr>
                  <w:rFonts w:hint="eastAsia"/>
                </w:rPr>
                <w:t xml:space="preserve">6.利润分配或资本公积金转增股本预案 </w:t>
              </w:r>
            </w:p>
            <w:sdt>
              <w:sdtPr>
                <w:rPr>
                  <w:rFonts w:hint="eastAsia"/>
                  <w:szCs w:val="21"/>
                </w:rPr>
                <w:alias w:val="经董事会审议的报告期利润分配预案或公积金转增股本预案"/>
                <w:tag w:val="_GBC_87fdd30c16df49cc824b47e55e4be6d9"/>
                <w:id w:val="6772378"/>
                <w:lock w:val="sdtLocked"/>
              </w:sdtPr>
              <w:sdtEndPr>
                <w:rPr>
                  <w:rFonts w:hint="eastAsia"/>
                  <w:szCs w:val="21"/>
                  <w:shd w:val="pct10" w:color="auto" w:fill="FFFFFF"/>
                </w:rPr>
              </w:sdtEndPr>
              <w:sdtContent>
                <w:p>
                  <w:pPr>
                    <w:rPr>
                      <w:szCs w:val="21"/>
                    </w:rPr>
                  </w:pPr>
                  <w:r>
                    <w:rPr>
                      <w:rFonts w:hint="eastAsia"/>
                      <w:color w:val="000000"/>
                    </w:rPr>
                    <w:t>经中审华会计师事务所（特殊普通合伙）审计确认，公司2017年度实现净利润为</w:t>
                  </w:r>
                  <w:r>
                    <w:t>2,646,176,293.67</w:t>
                  </w:r>
                  <w:r>
                    <w:rPr>
                      <w:rFonts w:hint="eastAsia"/>
                    </w:rPr>
                    <w:t>元</w:t>
                  </w:r>
                  <w:r>
                    <w:rPr>
                      <w:rFonts w:hint="eastAsia"/>
                      <w:color w:val="000000"/>
                    </w:rPr>
                    <w:t>，期末公司累计可供分配利润为</w:t>
                  </w:r>
                  <w:r>
                    <w:t>3,189,805,250.52</w:t>
                  </w:r>
                  <w:r>
                    <w:rPr>
                      <w:rFonts w:hint="eastAsia"/>
                      <w:color w:val="000000"/>
                    </w:rPr>
                    <w:t xml:space="preserve">元。 </w:t>
                  </w:r>
                  <w:r>
                    <w:rPr>
                      <w:color w:val="000000"/>
                    </w:rPr>
                    <w:t>20</w:t>
                  </w:r>
                  <w:r>
                    <w:rPr>
                      <w:rFonts w:hint="eastAsia"/>
                      <w:color w:val="000000"/>
                    </w:rPr>
                    <w:t>17年度利润分配，以期末总股本256279.32万股为基数，每</w:t>
                  </w:r>
                  <w:r>
                    <w:rPr>
                      <w:color w:val="000000"/>
                    </w:rPr>
                    <w:t>10</w:t>
                  </w:r>
                  <w:r>
                    <w:rPr>
                      <w:rFonts w:hint="eastAsia"/>
                      <w:color w:val="000000"/>
                    </w:rPr>
                    <w:t>股派发现金红利5元（含税），剩余未分配利润结转以后年度分配。本次分配不进行资本公积金转增股本。该预案尚待公司2017年年度股东大会审议批准。</w:t>
                  </w:r>
                </w:p>
              </w:sdtContent>
            </w:sdt>
            <w:p/>
          </w:sdtContent>
        </w:sdt>
        <w:p/>
      </w:sdtContent>
    </w:sdt>
    <w:sdt>
      <w:sdtPr>
        <w:rPr>
          <w:rFonts w:hint="eastAsia" w:ascii="宋体" w:hAnsi="宋体" w:cs="宋体"/>
          <w:b w:val="0"/>
          <w:bCs w:val="0"/>
          <w:kern w:val="0"/>
          <w:szCs w:val="24"/>
        </w:rPr>
        <w:alias w:val="模块:公司近三年（含报告期）的普通股利润分配方案或预案、资本公积金..."/>
        <w:tag w:val="_SEC_b48ff2b645b94460a24a2467158227e1"/>
        <w:id w:val="6772934"/>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20"/>
            </w:numPr>
          </w:pPr>
          <w:r>
            <w:rPr>
              <w:rFonts w:hint="eastAsia"/>
            </w:rPr>
            <w:t>公司近三年（含报告期）的普通股股利分配方案或预案、资本公积金转增股本方案或预案</w:t>
          </w:r>
        </w:p>
        <w:p>
          <w:pPr>
            <w:jc w:val="right"/>
          </w:pPr>
          <w:r>
            <w:rPr>
              <w:rFonts w:hint="eastAsia"/>
            </w:rPr>
            <w:t>单位：</w:t>
          </w:r>
          <w:sdt>
            <w:sdtPr>
              <w:rPr>
                <w:rFonts w:hint="eastAsia"/>
              </w:rPr>
              <w:alias w:val="单位：公司前三年分红情况"/>
              <w:tag w:val="_GBC_eacff7e257d54b508c73e818590e309d"/>
              <w:id w:val="677292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公司前三年分红情况"/>
              <w:tag w:val="_GBC_7da3ae8e7ae04c0594a41402441c1ab2"/>
              <w:id w:val="67729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58"/>
            <w:gridCol w:w="1110"/>
            <w:gridCol w:w="830"/>
            <w:gridCol w:w="2013"/>
            <w:gridCol w:w="200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9f5cdeab224411f986a90527a957756"/>
                <w:id w:val="6823852"/>
                <w:lock w:val="sdtLocked"/>
              </w:sdtPr>
              <w:sdtContent>
                <w:tc>
                  <w:tcPr>
                    <w:tcW w:w="896" w:type="dxa"/>
                    <w:vAlign w:val="center"/>
                  </w:tcPr>
                  <w:p>
                    <w:pPr>
                      <w:widowControl w:val="0"/>
                      <w:jc w:val="center"/>
                    </w:pPr>
                    <w:r>
                      <w:t>分红</w:t>
                    </w:r>
                  </w:p>
                  <w:p>
                    <w:pPr>
                      <w:widowControl w:val="0"/>
                      <w:jc w:val="center"/>
                    </w:pPr>
                    <w:r>
                      <w:t>年度</w:t>
                    </w:r>
                  </w:p>
                </w:tc>
              </w:sdtContent>
            </w:sdt>
            <w:sdt>
              <w:sdtPr>
                <w:tag w:val="_PLD_77f5a7df0e5c454ba2db54512fbca5e4"/>
                <w:id w:val="6823853"/>
                <w:lock w:val="sdtLocked"/>
              </w:sdtPr>
              <w:sdtContent>
                <w:tc>
                  <w:tcPr>
                    <w:tcW w:w="858" w:type="dxa"/>
                    <w:vAlign w:val="center"/>
                  </w:tcPr>
                  <w:p>
                    <w:pPr>
                      <w:widowControl w:val="0"/>
                      <w:jc w:val="center"/>
                    </w:pPr>
                    <w:r>
                      <w:t>每10股送红股数（股）</w:t>
                    </w:r>
                  </w:p>
                </w:tc>
              </w:sdtContent>
            </w:sdt>
            <w:sdt>
              <w:sdtPr>
                <w:tag w:val="_PLD_b48659e55d584760a3145b648b727424"/>
                <w:id w:val="6823854"/>
                <w:lock w:val="sdtLocked"/>
              </w:sdtPr>
              <w:sdtContent>
                <w:tc>
                  <w:tcPr>
                    <w:tcW w:w="1110" w:type="dxa"/>
                    <w:vAlign w:val="center"/>
                  </w:tcPr>
                  <w:p>
                    <w:pPr>
                      <w:widowControl w:val="0"/>
                      <w:jc w:val="center"/>
                    </w:pPr>
                    <w:r>
                      <w:t>每10股派息数(元)（含税）</w:t>
                    </w:r>
                  </w:p>
                </w:tc>
              </w:sdtContent>
            </w:sdt>
            <w:sdt>
              <w:sdtPr>
                <w:tag w:val="_PLD_3119727340174fc193477321ad89075f"/>
                <w:id w:val="6823855"/>
                <w:lock w:val="sdtLocked"/>
              </w:sdtPr>
              <w:sdtContent>
                <w:tc>
                  <w:tcPr>
                    <w:tcW w:w="830" w:type="dxa"/>
                    <w:vAlign w:val="center"/>
                  </w:tcPr>
                  <w:p>
                    <w:pPr>
                      <w:widowControl w:val="0"/>
                      <w:jc w:val="center"/>
                    </w:pPr>
                    <w:r>
                      <w:t>每10股转增数（股）</w:t>
                    </w:r>
                  </w:p>
                </w:tc>
              </w:sdtContent>
            </w:sdt>
            <w:sdt>
              <w:sdtPr>
                <w:tag w:val="_PLD_7fe589b149ae416cb5041a59d441523f"/>
                <w:id w:val="6823856"/>
                <w:lock w:val="sdtLocked"/>
              </w:sdtPr>
              <w:sdtContent>
                <w:tc>
                  <w:tcPr>
                    <w:tcW w:w="2013" w:type="dxa"/>
                    <w:vAlign w:val="center"/>
                  </w:tcPr>
                  <w:p>
                    <w:pPr>
                      <w:widowControl w:val="0"/>
                      <w:jc w:val="center"/>
                    </w:pPr>
                    <w:r>
                      <w:t>现金分红的数额</w:t>
                    </w:r>
                  </w:p>
                  <w:p>
                    <w:pPr>
                      <w:widowControl w:val="0"/>
                      <w:jc w:val="center"/>
                    </w:pPr>
                    <w:r>
                      <w:t>（含税）</w:t>
                    </w:r>
                  </w:p>
                </w:tc>
              </w:sdtContent>
            </w:sdt>
            <w:sdt>
              <w:sdtPr>
                <w:tag w:val="_PLD_0151aa6ee0ab48068caf1cffe64ad69b"/>
                <w:id w:val="6823857"/>
                <w:lock w:val="sdtLocked"/>
              </w:sdtPr>
              <w:sdtContent>
                <w:tc>
                  <w:tcPr>
                    <w:tcW w:w="2001" w:type="dxa"/>
                    <w:vAlign w:val="center"/>
                  </w:tcPr>
                  <w:p>
                    <w:pPr>
                      <w:widowControl w:val="0"/>
                      <w:jc w:val="center"/>
                    </w:pPr>
                    <w:r>
                      <w:t>分红年度合并报表中归属于上市公司</w:t>
                    </w:r>
                    <w:r>
                      <w:rPr>
                        <w:rFonts w:hint="eastAsia"/>
                      </w:rPr>
                      <w:t>普通股</w:t>
                    </w:r>
                    <w:r>
                      <w:t>股东的净利润</w:t>
                    </w:r>
                  </w:p>
                </w:tc>
              </w:sdtContent>
            </w:sdt>
            <w:sdt>
              <w:sdtPr>
                <w:tag w:val="_PLD_d210d80897384651984de133b63bb545"/>
                <w:id w:val="6823858"/>
                <w:lock w:val="sdtLocked"/>
              </w:sdtPr>
              <w:sdtContent>
                <w:tc>
                  <w:tcPr>
                    <w:tcW w:w="1341" w:type="dxa"/>
                    <w:vAlign w:val="center"/>
                  </w:tcPr>
                  <w:p>
                    <w:pPr>
                      <w:widowControl w:val="0"/>
                      <w:jc w:val="center"/>
                    </w:pPr>
                    <w:r>
                      <w:t>占合并报表中归属于上市公司</w:t>
                    </w:r>
                    <w:r>
                      <w:rPr>
                        <w:rFonts w:hint="eastAsia"/>
                      </w:rPr>
                      <w:t>普通股</w:t>
                    </w:r>
                    <w:r>
                      <w:t>股东的净利润的比率(%)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9c484291845348bd97a3b8b47487a6ec"/>
                <w:id w:val="6823859"/>
                <w:lock w:val="sdtLocked"/>
              </w:sdtPr>
              <w:sdtContent>
                <w:tc>
                  <w:tcPr>
                    <w:tcW w:w="896" w:type="dxa"/>
                  </w:tcPr>
                  <w:p>
                    <w:pPr>
                      <w:widowControl w:val="0"/>
                      <w:jc w:val="both"/>
                    </w:pPr>
                    <w:r>
                      <w:rPr>
                        <w:rFonts w:hint="eastAsia"/>
                      </w:rPr>
                      <w:t>2017年</w:t>
                    </w:r>
                  </w:p>
                </w:tc>
              </w:sdtContent>
            </w:sdt>
            <w:tc>
              <w:tcPr>
                <w:tcW w:w="858" w:type="dxa"/>
              </w:tcPr>
              <w:p>
                <w:pPr>
                  <w:widowControl w:val="0"/>
                  <w:jc w:val="right"/>
                </w:pPr>
                <w:r>
                  <w:rPr>
                    <w:rFonts w:hint="eastAsia"/>
                  </w:rPr>
                  <w:t>0</w:t>
                </w:r>
              </w:p>
            </w:tc>
            <w:tc>
              <w:tcPr>
                <w:tcW w:w="1110" w:type="dxa"/>
              </w:tcPr>
              <w:p>
                <w:pPr>
                  <w:widowControl w:val="0"/>
                  <w:jc w:val="right"/>
                </w:pPr>
                <w:r>
                  <w:rPr>
                    <w:rFonts w:hint="eastAsia"/>
                  </w:rPr>
                  <w:t>5</w:t>
                </w:r>
              </w:p>
            </w:tc>
            <w:tc>
              <w:tcPr>
                <w:tcW w:w="830" w:type="dxa"/>
              </w:tcPr>
              <w:p>
                <w:pPr>
                  <w:widowControl w:val="0"/>
                  <w:jc w:val="right"/>
                </w:pPr>
                <w:r>
                  <w:rPr>
                    <w:rFonts w:hint="eastAsia"/>
                  </w:rPr>
                  <w:t>0</w:t>
                </w:r>
              </w:p>
            </w:tc>
            <w:tc>
              <w:tcPr>
                <w:tcW w:w="2013" w:type="dxa"/>
              </w:tcPr>
              <w:p>
                <w:pPr>
                  <w:widowControl w:val="0"/>
                  <w:jc w:val="right"/>
                </w:pPr>
                <w:r>
                  <w:rPr>
                    <w:rFonts w:hint="eastAsia"/>
                  </w:rPr>
                  <w:t>1,281,396</w:t>
                </w:r>
                <w:r>
                  <w:t>,</w:t>
                </w:r>
                <w:r>
                  <w:rPr>
                    <w:rFonts w:hint="eastAsia"/>
                  </w:rPr>
                  <w:t>600.00</w:t>
                </w:r>
              </w:p>
            </w:tc>
            <w:tc>
              <w:tcPr>
                <w:tcW w:w="2001" w:type="dxa"/>
              </w:tcPr>
              <w:p>
                <w:pPr>
                  <w:widowControl w:val="0"/>
                  <w:jc w:val="right"/>
                </w:pPr>
                <w:r>
                  <w:t>2,646,176,293.67</w:t>
                </w:r>
              </w:p>
            </w:tc>
            <w:tc>
              <w:tcPr>
                <w:tcW w:w="1341" w:type="dxa"/>
              </w:tcPr>
              <w:p>
                <w:pPr>
                  <w:widowControl w:val="0"/>
                  <w:jc w:val="right"/>
                </w:pPr>
                <w:r>
                  <w:rPr>
                    <w:rFonts w:hint="eastAsia"/>
                  </w:rPr>
                  <w:t>48.42%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67cdaf7cef747fc8140744ec8ffd89a"/>
                <w:id w:val="6823860"/>
                <w:lock w:val="sdtLocked"/>
              </w:sdtPr>
              <w:sdtContent>
                <w:tc>
                  <w:tcPr>
                    <w:tcW w:w="896" w:type="dxa"/>
                  </w:tcPr>
                  <w:p>
                    <w:pPr>
                      <w:widowControl w:val="0"/>
                      <w:jc w:val="both"/>
                    </w:pPr>
                    <w:r>
                      <w:rPr>
                        <w:rFonts w:hint="eastAsia"/>
                      </w:rPr>
                      <w:t>2016年</w:t>
                    </w:r>
                  </w:p>
                </w:tc>
              </w:sdtContent>
            </w:sdt>
            <w:tc>
              <w:tcPr>
                <w:tcW w:w="858" w:type="dxa"/>
              </w:tcPr>
              <w:p>
                <w:pPr>
                  <w:widowControl w:val="0"/>
                  <w:jc w:val="right"/>
                </w:pPr>
                <w:r>
                  <w:t>0</w:t>
                </w:r>
              </w:p>
            </w:tc>
            <w:tc>
              <w:tcPr>
                <w:tcW w:w="1110" w:type="dxa"/>
              </w:tcPr>
              <w:p>
                <w:pPr>
                  <w:widowControl w:val="0"/>
                  <w:jc w:val="right"/>
                </w:pPr>
                <w:r>
                  <w:t>0.3</w:t>
                </w:r>
              </w:p>
            </w:tc>
            <w:tc>
              <w:tcPr>
                <w:tcW w:w="830" w:type="dxa"/>
              </w:tcPr>
              <w:p>
                <w:pPr>
                  <w:widowControl w:val="0"/>
                  <w:jc w:val="right"/>
                </w:pPr>
                <w:r>
                  <w:t>0</w:t>
                </w:r>
              </w:p>
            </w:tc>
            <w:tc>
              <w:tcPr>
                <w:tcW w:w="2013" w:type="dxa"/>
              </w:tcPr>
              <w:p>
                <w:pPr>
                  <w:widowControl w:val="0"/>
                  <w:jc w:val="right"/>
                </w:pPr>
                <w:r>
                  <w:t>76,883,796.00</w:t>
                </w:r>
              </w:p>
            </w:tc>
            <w:tc>
              <w:tcPr>
                <w:tcW w:w="2001" w:type="dxa"/>
              </w:tcPr>
              <w:p>
                <w:pPr>
                  <w:widowControl w:val="0"/>
                  <w:jc w:val="right"/>
                </w:pPr>
                <w:r>
                  <w:t>196,438,068.13</w:t>
                </w:r>
              </w:p>
            </w:tc>
            <w:tc>
              <w:tcPr>
                <w:tcW w:w="1341" w:type="dxa"/>
              </w:tcPr>
              <w:p>
                <w:pPr>
                  <w:widowControl w:val="0"/>
                  <w:jc w:val="right"/>
                </w:pPr>
                <w:r>
                  <w:t>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1e557ccd42748f8952ee8a05606fdbb"/>
                <w:id w:val="6823861"/>
                <w:lock w:val="sdtLocked"/>
              </w:sdtPr>
              <w:sdtContent>
                <w:tc>
                  <w:tcPr>
                    <w:tcW w:w="896" w:type="dxa"/>
                  </w:tcPr>
                  <w:p>
                    <w:pPr>
                      <w:widowControl w:val="0"/>
                      <w:jc w:val="both"/>
                    </w:pPr>
                    <w:r>
                      <w:rPr>
                        <w:rFonts w:hint="eastAsia"/>
                      </w:rPr>
                      <w:t>2015年</w:t>
                    </w:r>
                  </w:p>
                </w:tc>
              </w:sdtContent>
            </w:sdt>
            <w:tc>
              <w:tcPr>
                <w:tcW w:w="858" w:type="dxa"/>
              </w:tcPr>
              <w:p>
                <w:pPr>
                  <w:widowControl w:val="0"/>
                  <w:jc w:val="right"/>
                </w:pPr>
                <w:r>
                  <w:t>0</w:t>
                </w:r>
              </w:p>
            </w:tc>
            <w:tc>
              <w:tcPr>
                <w:tcW w:w="1110" w:type="dxa"/>
              </w:tcPr>
              <w:p>
                <w:pPr>
                  <w:widowControl w:val="0"/>
                  <w:jc w:val="right"/>
                </w:pPr>
                <w:r>
                  <w:t>0</w:t>
                </w:r>
              </w:p>
            </w:tc>
            <w:tc>
              <w:tcPr>
                <w:tcW w:w="830" w:type="dxa"/>
              </w:tcPr>
              <w:p>
                <w:pPr>
                  <w:widowControl w:val="0"/>
                  <w:jc w:val="right"/>
                </w:pPr>
                <w:r>
                  <w:t>0</w:t>
                </w:r>
              </w:p>
            </w:tc>
            <w:tc>
              <w:tcPr>
                <w:tcW w:w="2013" w:type="dxa"/>
              </w:tcPr>
              <w:p>
                <w:pPr>
                  <w:widowControl w:val="0"/>
                  <w:jc w:val="right"/>
                </w:pPr>
                <w:r>
                  <w:t>0</w:t>
                </w:r>
              </w:p>
            </w:tc>
            <w:tc>
              <w:tcPr>
                <w:tcW w:w="2001" w:type="dxa"/>
              </w:tcPr>
              <w:p>
                <w:pPr>
                  <w:widowControl w:val="0"/>
                  <w:jc w:val="right"/>
                </w:pPr>
                <w:r>
                  <w:t>-1,189,439,416.79</w:t>
                </w:r>
              </w:p>
            </w:tc>
            <w:tc>
              <w:tcPr>
                <w:tcW w:w="1341" w:type="dxa"/>
              </w:tcPr>
              <w:p>
                <w:pPr>
                  <w:widowControl w:val="0"/>
                  <w:jc w:val="right"/>
                </w:pPr>
                <w:r>
                  <w:t>-</w:t>
                </w:r>
              </w:p>
            </w:tc>
          </w:tr>
        </w:tbl>
        <w:p/>
      </w:sdtContent>
    </w:sdt>
    <w:sdt>
      <w:sdtPr>
        <w:rPr>
          <w:rFonts w:ascii="宋体" w:hAnsi="宋体" w:cs="宋体"/>
          <w:b w:val="0"/>
          <w:bCs w:val="0"/>
          <w:kern w:val="0"/>
          <w:szCs w:val="24"/>
        </w:rPr>
        <w:alias w:val="模块:以现金方式要约回购股份计入现金分红的情况"/>
        <w:tag w:val="_SEC_e94997bde17345819efe897aed89052b"/>
        <w:id w:val="6772936"/>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20"/>
            </w:numPr>
          </w:pPr>
          <w:r>
            <w:t>以现金方式要约回购股份计入现金分红的情况</w:t>
          </w:r>
        </w:p>
        <w:sdt>
          <w:sdtPr>
            <w:alias w:val="是否适用：以现金方式要约回购股份计入现金分红的情况[双击切换]"/>
            <w:tag w:val="_GBC_a607ac1b63154d4ea685a5cc4cd11195"/>
            <w:id w:val="6772935"/>
            <w:lock w:val="sdtLocked"/>
            <w:placeholder>
              <w:docPart w:val="GBC22222222222222222222222222222"/>
            </w:placeholder>
          </w:sdtPr>
          <w:sdtContent>
            <w:p>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sdtContent>
    </w:sdt>
    <w:sdt>
      <w:sdtPr>
        <w:rPr>
          <w:rFonts w:hint="eastAsia" w:ascii="宋体" w:hAnsi="宋体" w:cs="宋体"/>
          <w:b w:val="0"/>
          <w:bCs w:val="0"/>
          <w:kern w:val="0"/>
          <w:szCs w:val="24"/>
        </w:rPr>
        <w:alias w:val="模块:报告期内盈利且母公司可供普通股股东分配利润为正，但未提出普通股现金利润分配预案的，公司应当详细披露原因以及未分配利润的用途"/>
        <w:tag w:val="_SEC_338bc2c40b994349907ff9b7484876e4"/>
        <w:id w:val="6772938"/>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20"/>
            </w:numPr>
          </w:pPr>
          <w:r>
            <w:rPr>
              <w:rFonts w:hint="eastAsia"/>
            </w:rPr>
            <w:t>报告期内盈利且母公司可供普通股股东分配利润为正，但未提出普通股现金利润分配方案预案的，公司应当详细披露原因以及未分配利润的用途和使用计划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6772937"/>
            <w:lock w:val="sdtLocked"/>
            <w:placeholder>
              <w:docPart w:val="GBC22222222222222222222222222222"/>
            </w:placeholder>
          </w:sdtPr>
          <w:sdtContent>
            <w:p>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3"/>
        <w:numPr>
          <w:ilvl w:val="0"/>
          <w:numId w:val="19"/>
        </w:numPr>
      </w:pPr>
      <w:r>
        <w:rPr>
          <w:rFonts w:hint="eastAsia"/>
        </w:rPr>
        <w:t>承诺事项履行情况</w:t>
      </w:r>
    </w:p>
    <w:sdt>
      <w:sdtPr>
        <w:rPr>
          <w:rFonts w:hint="eastAsia" w:ascii="宋体" w:hAnsi="宋体" w:cs="宋体"/>
          <w:b w:val="0"/>
          <w:bCs w:val="0"/>
          <w:kern w:val="0"/>
          <w:sz w:val="24"/>
          <w:szCs w:val="21"/>
        </w:rPr>
        <w:alias w:val="模块:上市公司、持股5%以上的股东、控股股东及实际控制人在报告期内承诺事项"/>
        <w:tag w:val="_SEC_993caead489c45a092f4575c075d1bcf"/>
        <w:id w:val="6772957"/>
        <w:lock w:val="sdtLocked"/>
        <w:placeholder>
          <w:docPart w:val="GBC22222222222222222222222222222"/>
        </w:placeholder>
      </w:sdtPr>
      <w:sdtEndPr>
        <w:rPr>
          <w:rFonts w:hint="default" w:ascii="宋体" w:hAnsi="宋体" w:cs="宋体"/>
          <w:b w:val="0"/>
          <w:bCs w:val="0"/>
          <w:kern w:val="0"/>
          <w:sz w:val="21"/>
          <w:szCs w:val="24"/>
        </w:rPr>
      </w:sdtEndPr>
      <w:sdtContent>
        <w:p>
          <w:pPr>
            <w:pStyle w:val="4"/>
            <w:numPr>
              <w:ilvl w:val="1"/>
              <w:numId w:val="21"/>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677293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83"/>
            <w:tblW w:w="905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991"/>
            <w:gridCol w:w="1275"/>
            <w:gridCol w:w="2697"/>
            <w:gridCol w:w="993"/>
            <w:gridCol w:w="1136"/>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15cfb23b46b41fba9f0b895a1088fd6"/>
                <w:id w:val="6772940"/>
                <w:lock w:val="sdtLocked"/>
              </w:sdtPr>
              <w:sdtContent>
                <w:tc>
                  <w:tcPr>
                    <w:tcW w:w="1118" w:type="dxa"/>
                    <w:shd w:val="clear" w:color="auto" w:fill="auto"/>
                    <w:vAlign w:val="center"/>
                  </w:tcPr>
                  <w:p>
                    <w:pPr>
                      <w:jc w:val="center"/>
                      <w:rPr>
                        <w:szCs w:val="21"/>
                      </w:rPr>
                    </w:pPr>
                    <w:r>
                      <w:rPr>
                        <w:rFonts w:hint="eastAsia"/>
                        <w:szCs w:val="21"/>
                      </w:rPr>
                      <w:t>承诺背景</w:t>
                    </w:r>
                  </w:p>
                </w:tc>
              </w:sdtContent>
            </w:sdt>
            <w:sdt>
              <w:sdtPr>
                <w:tag w:val="_PLD_6d89eb5533974f2f9b788e2563589a7c"/>
                <w:id w:val="6772941"/>
                <w:lock w:val="sdtLocked"/>
              </w:sdtPr>
              <w:sdtContent>
                <w:tc>
                  <w:tcPr>
                    <w:tcW w:w="991" w:type="dxa"/>
                    <w:shd w:val="clear" w:color="auto" w:fill="auto"/>
                    <w:vAlign w:val="center"/>
                  </w:tcPr>
                  <w:p>
                    <w:pPr>
                      <w:jc w:val="center"/>
                      <w:rPr>
                        <w:szCs w:val="21"/>
                      </w:rPr>
                    </w:pPr>
                    <w:r>
                      <w:rPr>
                        <w:rFonts w:hint="eastAsia"/>
                        <w:szCs w:val="21"/>
                      </w:rPr>
                      <w:t>承诺</w:t>
                    </w:r>
                  </w:p>
                  <w:p>
                    <w:pPr>
                      <w:jc w:val="center"/>
                      <w:rPr>
                        <w:szCs w:val="21"/>
                      </w:rPr>
                    </w:pPr>
                    <w:r>
                      <w:rPr>
                        <w:rFonts w:hint="eastAsia"/>
                        <w:szCs w:val="21"/>
                      </w:rPr>
                      <w:t>类型</w:t>
                    </w:r>
                  </w:p>
                </w:tc>
              </w:sdtContent>
            </w:sdt>
            <w:sdt>
              <w:sdtPr>
                <w:tag w:val="_PLD_4e3459cf954648c5ade489d7f239c9b2"/>
                <w:id w:val="6772942"/>
                <w:lock w:val="sdtLocked"/>
              </w:sdtPr>
              <w:sdtContent>
                <w:tc>
                  <w:tcPr>
                    <w:tcW w:w="1275" w:type="dxa"/>
                    <w:shd w:val="clear" w:color="auto" w:fill="auto"/>
                    <w:vAlign w:val="center"/>
                  </w:tcPr>
                  <w:p>
                    <w:pPr>
                      <w:jc w:val="center"/>
                      <w:rPr>
                        <w:szCs w:val="21"/>
                      </w:rPr>
                    </w:pPr>
                    <w:r>
                      <w:rPr>
                        <w:rFonts w:hint="eastAsia"/>
                        <w:szCs w:val="21"/>
                      </w:rPr>
                      <w:t>承诺方</w:t>
                    </w:r>
                  </w:p>
                </w:tc>
              </w:sdtContent>
            </w:sdt>
            <w:sdt>
              <w:sdtPr>
                <w:tag w:val="_PLD_b7ba969a5a9f484b969e33829f8fee27"/>
                <w:id w:val="6772943"/>
                <w:lock w:val="sdtLocked"/>
              </w:sdtPr>
              <w:sdtContent>
                <w:tc>
                  <w:tcPr>
                    <w:tcW w:w="2697" w:type="dxa"/>
                    <w:shd w:val="clear" w:color="auto" w:fill="auto"/>
                    <w:vAlign w:val="center"/>
                  </w:tcPr>
                  <w:p>
                    <w:pPr>
                      <w:jc w:val="center"/>
                      <w:rPr>
                        <w:szCs w:val="21"/>
                      </w:rPr>
                    </w:pPr>
                    <w:r>
                      <w:rPr>
                        <w:rFonts w:hint="eastAsia"/>
                        <w:szCs w:val="21"/>
                      </w:rPr>
                      <w:t>承诺</w:t>
                    </w:r>
                  </w:p>
                  <w:p>
                    <w:pPr>
                      <w:jc w:val="center"/>
                      <w:rPr>
                        <w:szCs w:val="21"/>
                      </w:rPr>
                    </w:pPr>
                    <w:r>
                      <w:rPr>
                        <w:rFonts w:hint="eastAsia"/>
                        <w:szCs w:val="21"/>
                      </w:rPr>
                      <w:t>内容</w:t>
                    </w:r>
                  </w:p>
                </w:tc>
              </w:sdtContent>
            </w:sdt>
            <w:sdt>
              <w:sdtPr>
                <w:tag w:val="_PLD_f0fda96fdc9f43318315f33cf1099787"/>
                <w:id w:val="6772944"/>
                <w:lock w:val="sdtLocked"/>
              </w:sdtPr>
              <w:sdtContent>
                <w:tc>
                  <w:tcPr>
                    <w:tcW w:w="993" w:type="dxa"/>
                    <w:shd w:val="clear" w:color="auto" w:fill="auto"/>
                    <w:vAlign w:val="center"/>
                  </w:tcPr>
                  <w:p>
                    <w:pPr>
                      <w:jc w:val="center"/>
                      <w:rPr>
                        <w:szCs w:val="21"/>
                      </w:rPr>
                    </w:pPr>
                    <w:r>
                      <w:rPr>
                        <w:rFonts w:hint="eastAsia"/>
                        <w:szCs w:val="21"/>
                      </w:rPr>
                      <w:t>承诺时间及期限</w:t>
                    </w:r>
                  </w:p>
                </w:tc>
              </w:sdtContent>
            </w:sdt>
            <w:sdt>
              <w:sdtPr>
                <w:tag w:val="_PLD_81953845df7c406091c017485ffe89d0"/>
                <w:id w:val="6772945"/>
                <w:lock w:val="sdtLocked"/>
              </w:sdtPr>
              <w:sdtContent>
                <w:tc>
                  <w:tcPr>
                    <w:tcW w:w="1136" w:type="dxa"/>
                    <w:shd w:val="clear" w:color="auto" w:fill="auto"/>
                    <w:vAlign w:val="center"/>
                  </w:tcPr>
                  <w:p>
                    <w:pPr>
                      <w:jc w:val="center"/>
                      <w:rPr>
                        <w:szCs w:val="21"/>
                      </w:rPr>
                    </w:pPr>
                    <w:r>
                      <w:rPr>
                        <w:rFonts w:hint="eastAsia"/>
                        <w:szCs w:val="21"/>
                      </w:rPr>
                      <w:t>是否有履行期限</w:t>
                    </w:r>
                  </w:p>
                </w:tc>
              </w:sdtContent>
            </w:sdt>
            <w:sdt>
              <w:sdtPr>
                <w:tag w:val="_PLD_f70c8d8e3e374db7a8e212809462bcc0"/>
                <w:id w:val="6772946"/>
                <w:lock w:val="sdtLocked"/>
              </w:sdtPr>
              <w:sdtContent>
                <w:tc>
                  <w:tcPr>
                    <w:tcW w:w="848" w:type="dxa"/>
                    <w:shd w:val="clear" w:color="auto" w:fill="auto"/>
                    <w:vAlign w:val="center"/>
                  </w:tcPr>
                  <w:p>
                    <w:pPr>
                      <w:jc w:val="center"/>
                      <w:rPr>
                        <w:szCs w:val="21"/>
                      </w:rPr>
                    </w:pPr>
                    <w:r>
                      <w:rPr>
                        <w:rFonts w:hint="eastAsia"/>
                        <w:szCs w:val="21"/>
                      </w:rPr>
                      <w:t>是否及时严格履行</w:t>
                    </w:r>
                  </w:p>
                </w:tc>
              </w:sdtContent>
            </w:sdt>
          </w:tr>
          <w:sdt>
            <w:sdtPr>
              <w:rPr>
                <w:rFonts w:hint="eastAsia"/>
                <w:sz w:val="18"/>
                <w:szCs w:val="18"/>
              </w:rPr>
              <w:alias w:val="与首次公开发行相关的承诺"/>
              <w:tag w:val="_TUP_34fdd56603d04d1c96c14e0e86d3c26b"/>
              <w:id w:val="6772951"/>
              <w:lock w:val="sdtLocked"/>
            </w:sdtPr>
            <w:sdtEndPr>
              <w:rPr>
                <w:rFonts w:hint="default"/>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8" w:type="dxa"/>
                    <w:shd w:val="clear" w:color="auto" w:fill="auto"/>
                    <w:vAlign w:val="center"/>
                  </w:tcPr>
                  <w:sdt>
                    <w:sdtPr>
                      <w:rPr>
                        <w:rFonts w:hint="eastAsia"/>
                        <w:sz w:val="18"/>
                        <w:szCs w:val="18"/>
                      </w:rPr>
                      <w:tag w:val="_PLD_86425bd60aef41d2a0a1c861414eb090"/>
                      <w:id w:val="6772947"/>
                      <w:lock w:val="sdtLocked"/>
                    </w:sdtPr>
                    <w:sdtEndPr>
                      <w:rPr>
                        <w:rFonts w:hint="eastAsia"/>
                        <w:sz w:val="18"/>
                        <w:szCs w:val="18"/>
                      </w:rPr>
                    </w:sdtEndPr>
                    <w:sdtContent>
                      <w:p>
                        <w:pPr>
                          <w:rPr>
                            <w:sz w:val="18"/>
                            <w:szCs w:val="18"/>
                          </w:rPr>
                        </w:pPr>
                        <w:r>
                          <w:rPr>
                            <w:rFonts w:hint="eastAsia"/>
                            <w:sz w:val="18"/>
                            <w:szCs w:val="18"/>
                          </w:rPr>
                          <w:t>与首次公开发行相关的承诺</w:t>
                        </w:r>
                      </w:p>
                    </w:sdtContent>
                  </w:sdt>
                </w:tc>
                <w:sdt>
                  <w:sdtPr>
                    <w:rPr>
                      <w:sz w:val="18"/>
                      <w:szCs w:val="18"/>
                    </w:rPr>
                    <w:alias w:val="与首次公开发行相关的承诺-承诺类型"/>
                    <w:tag w:val="_GBC_544118bad2864ee8b5a42608e3d695de"/>
                    <w:id w:val="677294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rPr>
                      <w:sz w:val="18"/>
                      <w:szCs w:val="18"/>
                    </w:rPr>
                  </w:sdtEndPr>
                  <w:sdtContent>
                    <w:tc>
                      <w:tcPr>
                        <w:tcW w:w="991" w:type="dxa"/>
                        <w:shd w:val="clear" w:color="auto" w:fill="auto"/>
                      </w:tcPr>
                      <w:p>
                        <w:pPr>
                          <w:rPr>
                            <w:color w:val="FFC000"/>
                            <w:sz w:val="18"/>
                            <w:szCs w:val="18"/>
                          </w:rPr>
                        </w:pPr>
                        <w:r>
                          <w:rPr>
                            <w:rFonts w:hint="eastAsia"/>
                            <w:sz w:val="18"/>
                            <w:szCs w:val="18"/>
                          </w:rPr>
                          <w:t>解决同业竞争</w:t>
                        </w:r>
                      </w:p>
                    </w:tc>
                  </w:sdtContent>
                </w:sdt>
                <w:tc>
                  <w:tcPr>
                    <w:tcW w:w="1275" w:type="dxa"/>
                    <w:shd w:val="clear" w:color="auto" w:fill="auto"/>
                  </w:tcPr>
                  <w:p>
                    <w:pPr>
                      <w:rPr>
                        <w:sz w:val="18"/>
                        <w:szCs w:val="18"/>
                      </w:rPr>
                    </w:pPr>
                    <w:r>
                      <w:rPr>
                        <w:rFonts w:hint="eastAsia"/>
                        <w:sz w:val="18"/>
                        <w:szCs w:val="18"/>
                      </w:rPr>
                      <w:t>广西柳州钢铁集团有限公司</w:t>
                    </w:r>
                  </w:p>
                </w:tc>
                <w:tc>
                  <w:tcPr>
                    <w:tcW w:w="2697" w:type="dxa"/>
                    <w:shd w:val="clear" w:color="auto" w:fill="auto"/>
                  </w:tcPr>
                  <w:p>
                    <w:pPr>
                      <w:rPr>
                        <w:szCs w:val="21"/>
                      </w:rPr>
                    </w:pPr>
                    <w:r>
                      <w:rPr>
                        <w:rFonts w:hint="eastAsia"/>
                        <w:sz w:val="18"/>
                        <w:szCs w:val="18"/>
                      </w:rPr>
                      <w:t>在经营业务中将不会利用集团公司在柳钢股份的控股地位从事任何损害柳钢股份及其他众多小股东利益的行为，并且，今后不以任何方式参与或进行与柳钢股份相竞争的任何业务活动；如果集团公司违反上述任何一项声明与承诺，集团公司愿承担相应的法律责任。</w:t>
                    </w:r>
                  </w:p>
                </w:tc>
                <w:tc>
                  <w:tcPr>
                    <w:tcW w:w="993" w:type="dxa"/>
                    <w:shd w:val="clear" w:color="auto" w:fill="auto"/>
                  </w:tcPr>
                  <w:p>
                    <w:pPr>
                      <w:rPr>
                        <w:color w:val="FFC000"/>
                        <w:sz w:val="18"/>
                        <w:szCs w:val="18"/>
                      </w:rPr>
                    </w:pPr>
                    <w:r>
                      <w:rPr>
                        <w:rFonts w:hint="eastAsia"/>
                        <w:sz w:val="18"/>
                        <w:szCs w:val="18"/>
                      </w:rPr>
                      <w:t>自</w:t>
                    </w:r>
                    <w:r>
                      <w:rPr>
                        <w:sz w:val="18"/>
                        <w:szCs w:val="18"/>
                      </w:rPr>
                      <w:t>2007年2月起履行</w:t>
                    </w:r>
                  </w:p>
                </w:tc>
                <w:sdt>
                  <w:sdtPr>
                    <w:rPr>
                      <w:szCs w:val="21"/>
                    </w:rPr>
                    <w:alias w:val="与首次公开发行相关的承诺-是否有履行期限"/>
                    <w:tag w:val="_GBC_2596a53d17dc47239c6d6c13d352aafe"/>
                    <w:id w:val="6772949"/>
                    <w:lock w:val="sdtLocked"/>
                    <w:comboBox>
                      <w:listItem w:displayText="是" w:value="true"/>
                      <w:listItem w:displayText="否" w:value="false"/>
                    </w:comboBox>
                  </w:sdtPr>
                  <w:sdtEndPr>
                    <w:rPr>
                      <w:szCs w:val="21"/>
                    </w:rPr>
                  </w:sdtEndPr>
                  <w:sdtContent>
                    <w:tc>
                      <w:tcPr>
                        <w:tcW w:w="1136" w:type="dxa"/>
                        <w:shd w:val="clear" w:color="auto" w:fill="auto"/>
                      </w:tcPr>
                      <w:p>
                        <w:pPr>
                          <w:rPr>
                            <w:color w:val="FFC000"/>
                            <w:szCs w:val="21"/>
                          </w:rPr>
                        </w:pPr>
                        <w:r>
                          <w:rPr>
                            <w:rFonts w:hint="eastAsia"/>
                            <w:szCs w:val="21"/>
                          </w:rPr>
                          <w:t>否</w:t>
                        </w:r>
                      </w:p>
                    </w:tc>
                  </w:sdtContent>
                </w:sdt>
                <w:sdt>
                  <w:sdtPr>
                    <w:rPr>
                      <w:szCs w:val="21"/>
                    </w:rPr>
                    <w:alias w:val="与首次公开发行相关的承诺-是否及时严格履行"/>
                    <w:tag w:val="_GBC_2cce12aeffd3453e80032e4cdeee78ec"/>
                    <w:id w:val="6772950"/>
                    <w:lock w:val="sdtLocked"/>
                    <w:comboBox>
                      <w:listItem w:displayText="是" w:value="true"/>
                      <w:listItem w:displayText="否" w:value="false"/>
                    </w:comboBox>
                  </w:sdtPr>
                  <w:sdtEndPr>
                    <w:rPr>
                      <w:szCs w:val="21"/>
                    </w:rPr>
                  </w:sdtEndPr>
                  <w:sdtContent>
                    <w:tc>
                      <w:tcPr>
                        <w:tcW w:w="848" w:type="dxa"/>
                        <w:shd w:val="clear" w:color="auto" w:fill="auto"/>
                      </w:tcPr>
                      <w:p>
                        <w:pPr>
                          <w:rPr>
                            <w:color w:val="FFC000"/>
                            <w:szCs w:val="21"/>
                          </w:rPr>
                        </w:pPr>
                        <w:r>
                          <w:rPr>
                            <w:rFonts w:hint="eastAsia"/>
                            <w:szCs w:val="21"/>
                          </w:rPr>
                          <w:t>是</w:t>
                        </w:r>
                      </w:p>
                    </w:tc>
                  </w:sdtContent>
                </w:sdt>
              </w:tr>
            </w:sdtContent>
          </w:sdt>
          <w:sdt>
            <w:sdtPr>
              <w:rPr>
                <w:rFonts w:hint="eastAsia"/>
                <w:sz w:val="18"/>
                <w:szCs w:val="18"/>
              </w:rPr>
              <w:alias w:val="与再融资相关的承诺"/>
              <w:tag w:val="_TUP_9682f02d4694474e80ab0d28f5b09e2a"/>
              <w:id w:val="6772956"/>
              <w:lock w:val="sdtLocked"/>
            </w:sdtPr>
            <w:sdtEndPr>
              <w:rPr>
                <w:rFonts w:hint="default"/>
                <w:sz w:val="21"/>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8" w:type="dxa"/>
                    <w:shd w:val="clear" w:color="auto" w:fill="auto"/>
                    <w:vAlign w:val="center"/>
                  </w:tcPr>
                  <w:sdt>
                    <w:sdtPr>
                      <w:rPr>
                        <w:rFonts w:hint="eastAsia"/>
                        <w:sz w:val="18"/>
                        <w:szCs w:val="18"/>
                      </w:rPr>
                      <w:tag w:val="_PLD_d12294df3cd646d4972110210c9b66d9"/>
                      <w:id w:val="6772952"/>
                      <w:lock w:val="sdtLocked"/>
                    </w:sdtPr>
                    <w:sdtEndPr>
                      <w:rPr>
                        <w:rFonts w:hint="eastAsia"/>
                        <w:sz w:val="18"/>
                        <w:szCs w:val="18"/>
                      </w:rPr>
                    </w:sdtEndPr>
                    <w:sdtContent>
                      <w:p>
                        <w:pPr>
                          <w:rPr>
                            <w:sz w:val="18"/>
                            <w:szCs w:val="18"/>
                          </w:rPr>
                        </w:pPr>
                        <w:r>
                          <w:rPr>
                            <w:rFonts w:hint="eastAsia"/>
                            <w:sz w:val="18"/>
                            <w:szCs w:val="18"/>
                          </w:rPr>
                          <w:t>与再融资相关的承诺</w:t>
                        </w:r>
                      </w:p>
                    </w:sdtContent>
                  </w:sdt>
                </w:tc>
                <w:sdt>
                  <w:sdtPr>
                    <w:rPr>
                      <w:sz w:val="18"/>
                      <w:szCs w:val="18"/>
                    </w:rPr>
                    <w:alias w:val="与再融资相关的承诺-承诺类型"/>
                    <w:tag w:val="_GBC_43b8e587b05f41abb7a4e371ebc768a4"/>
                    <w:id w:val="677295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rPr>
                      <w:sz w:val="18"/>
                      <w:szCs w:val="18"/>
                    </w:rPr>
                  </w:sdtEndPr>
                  <w:sdtContent>
                    <w:tc>
                      <w:tcPr>
                        <w:tcW w:w="991" w:type="dxa"/>
                        <w:shd w:val="clear" w:color="auto" w:fill="auto"/>
                      </w:tcPr>
                      <w:p>
                        <w:pPr>
                          <w:rPr>
                            <w:sz w:val="18"/>
                            <w:szCs w:val="18"/>
                          </w:rPr>
                        </w:pPr>
                        <w:r>
                          <w:rPr>
                            <w:rFonts w:hint="eastAsia"/>
                            <w:sz w:val="18"/>
                            <w:szCs w:val="18"/>
                          </w:rPr>
                          <w:t>解决同业竞争</w:t>
                        </w:r>
                      </w:p>
                    </w:tc>
                  </w:sdtContent>
                </w:sdt>
                <w:tc>
                  <w:tcPr>
                    <w:tcW w:w="1275" w:type="dxa"/>
                    <w:shd w:val="clear" w:color="auto" w:fill="auto"/>
                  </w:tcPr>
                  <w:p>
                    <w:pPr>
                      <w:rPr>
                        <w:sz w:val="18"/>
                        <w:szCs w:val="18"/>
                      </w:rPr>
                    </w:pPr>
                    <w:r>
                      <w:rPr>
                        <w:sz w:val="18"/>
                        <w:szCs w:val="18"/>
                      </w:rPr>
                      <w:t>广西柳州钢铁集团有限公司</w:t>
                    </w:r>
                  </w:p>
                </w:tc>
                <w:tc>
                  <w:tcPr>
                    <w:tcW w:w="2697" w:type="dxa"/>
                    <w:shd w:val="clear" w:color="auto" w:fill="auto"/>
                  </w:tcPr>
                  <w:p>
                    <w:pPr>
                      <w:rPr>
                        <w:sz w:val="18"/>
                        <w:szCs w:val="18"/>
                      </w:rPr>
                    </w:pPr>
                    <w:r>
                      <w:rPr>
                        <w:rFonts w:hint="eastAsia"/>
                        <w:sz w:val="18"/>
                        <w:szCs w:val="18"/>
                      </w:rPr>
                      <w:t>柳钢集团在本公司《公开发行公司债券募集说明书》中承诺：“如果集团公司及其下属全资、控股或控制的公司 </w:t>
                    </w:r>
                    <w:r>
                      <w:rPr>
                        <w:sz w:val="18"/>
                        <w:szCs w:val="18"/>
                      </w:rPr>
                      <w:t>/企业/ 单位存在与柳钢股份钢铁主业构成或可能构成同业竞争的资产和业务，在柳钢股份提出收购要求时，集团公司及其下属全资、控股或控制的公司 /企业/单位将以合理的价格及条件按照法律规定的程序优先转让给柳钢股份。</w:t>
                    </w:r>
                  </w:p>
                </w:tc>
                <w:tc>
                  <w:tcPr>
                    <w:tcW w:w="993" w:type="dxa"/>
                    <w:shd w:val="clear" w:color="auto" w:fill="auto"/>
                  </w:tcPr>
                  <w:p>
                    <w:pPr>
                      <w:rPr>
                        <w:sz w:val="18"/>
                        <w:szCs w:val="18"/>
                      </w:rPr>
                    </w:pPr>
                    <w:r>
                      <w:rPr>
                        <w:rFonts w:hint="eastAsia"/>
                        <w:sz w:val="18"/>
                        <w:szCs w:val="18"/>
                      </w:rPr>
                      <w:t>自</w:t>
                    </w:r>
                    <w:r>
                      <w:rPr>
                        <w:sz w:val="18"/>
                        <w:szCs w:val="18"/>
                      </w:rPr>
                      <w:t>2011年5月起履行</w:t>
                    </w:r>
                  </w:p>
                </w:tc>
                <w:sdt>
                  <w:sdtPr>
                    <w:rPr>
                      <w:szCs w:val="21"/>
                    </w:rPr>
                    <w:alias w:val="与再融资相关的承诺-是否有履行期限"/>
                    <w:tag w:val="_GBC_1745ddad9b514e55a80744937652a72d"/>
                    <w:id w:val="6772954"/>
                    <w:lock w:val="sdtLocked"/>
                    <w:comboBox>
                      <w:listItem w:displayText="是" w:value="true"/>
                      <w:listItem w:displayText="否" w:value="false"/>
                    </w:comboBox>
                  </w:sdtPr>
                  <w:sdtEndPr>
                    <w:rPr>
                      <w:szCs w:val="21"/>
                    </w:rPr>
                  </w:sdtEndPr>
                  <w:sdtContent>
                    <w:tc>
                      <w:tcPr>
                        <w:tcW w:w="1136" w:type="dxa"/>
                        <w:shd w:val="clear" w:color="auto" w:fill="auto"/>
                      </w:tcPr>
                      <w:p>
                        <w:pPr>
                          <w:rPr>
                            <w:szCs w:val="21"/>
                          </w:rPr>
                        </w:pPr>
                        <w:r>
                          <w:rPr>
                            <w:rFonts w:hint="eastAsia"/>
                            <w:szCs w:val="21"/>
                          </w:rPr>
                          <w:t>否</w:t>
                        </w:r>
                      </w:p>
                    </w:tc>
                  </w:sdtContent>
                </w:sdt>
                <w:sdt>
                  <w:sdtPr>
                    <w:rPr>
                      <w:szCs w:val="21"/>
                    </w:rPr>
                    <w:alias w:val="与再融资相关的承诺-是否及时严格履行"/>
                    <w:tag w:val="_GBC_987e1eea05fb4e60a59f5e8c16ae8c38"/>
                    <w:id w:val="6772955"/>
                    <w:lock w:val="sdtLocked"/>
                    <w:comboBox>
                      <w:listItem w:displayText="是" w:value="true"/>
                      <w:listItem w:displayText="否" w:value="false"/>
                    </w:comboBox>
                  </w:sdtPr>
                  <w:sdtEndPr>
                    <w:rPr>
                      <w:szCs w:val="21"/>
                    </w:rPr>
                  </w:sdtEndPr>
                  <w:sdtContent>
                    <w:tc>
                      <w:tcPr>
                        <w:tcW w:w="848" w:type="dxa"/>
                        <w:shd w:val="clear" w:color="auto" w:fill="auto"/>
                      </w:tcPr>
                      <w:p>
                        <w:pPr>
                          <w:rPr>
                            <w:szCs w:val="21"/>
                          </w:rPr>
                        </w:pPr>
                        <w:r>
                          <w:rPr>
                            <w:rFonts w:hint="eastAsia"/>
                            <w:szCs w:val="21"/>
                          </w:rPr>
                          <w:t>是</w:t>
                        </w:r>
                      </w:p>
                    </w:tc>
                  </w:sdtContent>
                </w:sdt>
              </w:tr>
            </w:sdtContent>
          </w:sdt>
        </w:tbl>
        <w:p/>
      </w:sdtContent>
    </w:sdt>
    <w:p>
      <w:pPr>
        <w:rPr>
          <w:szCs w:val="21"/>
        </w:rPr>
      </w:pPr>
    </w:p>
    <w:sdt>
      <w:sdtPr>
        <w:rPr>
          <w:rFonts w:ascii="宋体" w:hAnsi="宋体" w:cs="宋体"/>
          <w:b w:val="0"/>
          <w:bCs w:val="0"/>
          <w:kern w:val="0"/>
          <w:szCs w:val="21"/>
        </w:rPr>
        <w:alias w:val="模块:公司资产或项目存在盈利预测，且报告期仍处在盈利预测期间，公司..."/>
        <w:tag w:val="_SEC_971c56855aee43acbd29723c087f563c"/>
        <w:id w:val="6772960"/>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1"/>
              <w:numId w:val="21"/>
            </w:numPr>
            <w:rPr>
              <w:szCs w:val="21"/>
            </w:rPr>
          </w:pPr>
          <w:r>
            <w:rPr>
              <w:szCs w:val="21"/>
            </w:rPr>
            <w:t>公司资产或项目存在盈利预测，且报告期仍处在盈利预测期间，公司就资产或项目</w:t>
          </w:r>
        </w:p>
        <w:p>
          <w:pPr>
            <w:rPr>
              <w:b/>
              <w:szCs w:val="21"/>
            </w:rPr>
          </w:pPr>
          <w:r>
            <w:rPr>
              <w:rFonts w:hint="eastAsia"/>
              <w:b/>
              <w:szCs w:val="21"/>
            </w:rPr>
            <w:t>是否达到原盈利预测及其原因作出说明</w:t>
          </w:r>
        </w:p>
        <w:sdt>
          <w:sdtPr>
            <w:rPr>
              <w:szCs w:val="21"/>
            </w:rPr>
            <w:alias w:val="是否适用：公司就资产或项目是否达到原盈利预测及其原因作出说明"/>
            <w:tag w:val="_GBC_f8fa889013a24cb79a6ed52423d2c5a8"/>
            <w:id w:val="6772958"/>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 MACROBUTTON  SnrToggleCheckbox □已达到 </w:instrText>
              </w:r>
              <w:r>
                <w:rPr>
                  <w:szCs w:val="21"/>
                </w:rPr>
                <w:fldChar w:fldCharType="end"/>
              </w:r>
              <w:r>
                <w:rPr>
                  <w:szCs w:val="21"/>
                </w:rPr>
                <w:fldChar w:fldCharType="begin"/>
              </w:r>
              <w:r>
                <w:rPr>
                  <w:szCs w:val="21"/>
                </w:rPr>
                <w:instrText xml:space="preserve"> MACROBUTTON  SnrToggleCheckbox □未达到 </w:instrText>
              </w:r>
              <w:r>
                <w:rPr>
                  <w:szCs w:val="21"/>
                </w:rPr>
                <w:fldChar w:fldCharType="end"/>
              </w:r>
              <w:r>
                <w:fldChar w:fldCharType="begin"/>
              </w:r>
              <w:r>
                <w:instrText xml:space="preserve"> MACROBUTTON  SnrToggleCheckbox √不适用 </w:instrText>
              </w:r>
              <w:r>
                <w:fldChar w:fldCharType="end"/>
              </w:r>
            </w:p>
          </w:sdtContent>
        </w:sdt>
      </w:sdtContent>
    </w:sdt>
    <w:p/>
    <w:sdt>
      <w:sdtPr>
        <w:rPr>
          <w:rFonts w:hint="eastAsia" w:ascii="宋体" w:hAnsi="宋体" w:cs="宋体"/>
          <w:b w:val="0"/>
          <w:bCs w:val="0"/>
          <w:kern w:val="0"/>
          <w:szCs w:val="24"/>
        </w:rPr>
        <w:alias w:val="模块:报告期内资金被占用情况及清欠进展情况"/>
        <w:tag w:val="_SEC_57359124e2c349cf92ba4a9b923bce13"/>
        <w:id w:val="6772962"/>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19"/>
            </w:numPr>
          </w:pPr>
          <w:r>
            <w:rPr>
              <w:rFonts w:hint="eastAsia"/>
            </w:rPr>
            <w:t>报</w:t>
          </w:r>
          <w:r>
            <w:t>告期内资金被占用情况及清欠进展情况</w:t>
          </w:r>
        </w:p>
        <w:sdt>
          <w:sdtPr>
            <w:rPr>
              <w:szCs w:val="21"/>
            </w:rPr>
            <w:alias w:val="是否适用：资金被占用情况及清欠进展情况[双击切换]"/>
            <w:tag w:val="_GBC_1fa5abe2306f4366a5a1df4d05fefc02"/>
            <w:id w:val="6772961"/>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公司对会计师事务所“非标准意见审计报告”的说明"/>
        <w:tag w:val="_SEC_9d3a2dd92a2447d580108acf33ecf5ea"/>
        <w:id w:val="6772964"/>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19"/>
            </w:numPr>
          </w:pPr>
          <w:r>
            <w:rPr>
              <w:rFonts w:hint="eastAsia"/>
            </w:rPr>
            <w:t>公司对会计师事务所“非标准意见审计报告”的说明</w:t>
          </w:r>
        </w:p>
        <w:p>
          <w:sdt>
            <w:sdtPr>
              <w:alias w:val="是否适用：董事会对会计师事务所非标准审计报告的说明[双击切换]"/>
              <w:tag w:val="_GBC_81f7a662b6a641d8aadb05b1cb176ecf"/>
              <w:id w:val="6772963"/>
              <w:lock w:val="sdtLocked"/>
              <w:placeholder>
                <w:docPart w:val="GBC22222222222222222222222222222"/>
              </w:placeholder>
            </w:sdtPr>
            <w:sdtContent>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3"/>
        <w:numPr>
          <w:ilvl w:val="0"/>
          <w:numId w:val="19"/>
        </w:numPr>
      </w:pPr>
      <w:r>
        <w:rPr>
          <w:rFonts w:hint="eastAsia"/>
        </w:rPr>
        <w:t>公司对会计政策、会计估计变更或重大会计差错更正原因和影响的分析说明</w:t>
      </w:r>
    </w:p>
    <w:sdt>
      <w:sdtPr>
        <w:rPr>
          <w:rFonts w:hint="eastAsia" w:ascii="宋体" w:hAnsi="宋体" w:cs="宋体"/>
          <w:b w:val="0"/>
          <w:bCs w:val="0"/>
          <w:kern w:val="0"/>
          <w:szCs w:val="24"/>
        </w:rPr>
        <w:alias w:val="模块:董事公司对会计政策、会计估计变更原因及影响的分析说明"/>
        <w:tag w:val="_SEC_848c3b6b128d4e1c85d360627256d912"/>
        <w:id w:val="6772966"/>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22"/>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6772965"/>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fldChar w:fldCharType="begin"/>
              </w:r>
              <w:r>
                <w:instrText xml:space="preserve"> MACROBUTTON  SnrToggleCheckbox □不适用 </w:instrText>
              </w:r>
              <w:r>
                <w:fldChar w:fldCharType="end"/>
              </w:r>
            </w:p>
          </w:sdtContent>
        </w:sdt>
        <w:sdt>
          <w:sdtPr>
            <w:rPr>
              <w:szCs w:val="21"/>
            </w:rPr>
            <w:alias w:val="公司对会计政策会计估计变更原因及影响"/>
            <w:tag w:val="_GBC_ead0cc85823e4aad9c4c70db77b2ff95"/>
            <w:id w:val="1142309652"/>
            <w:lock w:val="sdtLocked"/>
          </w:sdtPr>
          <w:sdtEndPr>
            <w:rPr>
              <w:color w:val="FF0000"/>
              <w:szCs w:val="21"/>
            </w:rPr>
          </w:sdtEndPr>
          <w:sdtContent>
            <w:p>
              <w:pPr>
                <w:rPr>
                  <w:color w:val="000000" w:themeColor="text1"/>
                  <w:szCs w:val="21"/>
                </w:rPr>
              </w:pPr>
              <w:r>
                <w:rPr>
                  <w:rFonts w:hint="eastAsia"/>
                  <w:color w:val="000000" w:themeColor="text1"/>
                  <w:szCs w:val="21"/>
                </w:rPr>
                <w:t>①政府补助列报方式变更。</w:t>
              </w:r>
            </w:p>
            <w:p>
              <w:pPr>
                <w:rPr>
                  <w:color w:val="000000" w:themeColor="text1"/>
                  <w:szCs w:val="21"/>
                </w:rPr>
              </w:pPr>
              <w:r>
                <w:rPr>
                  <w:color w:val="000000" w:themeColor="text1"/>
                  <w:szCs w:val="21"/>
                </w:rPr>
                <w:t>2017年5月，财政部以财会【2017】15号发布了《企业会计准则第16号——政府补助》，要求自2017年6月12日起在所有执行企业会计准则的企业范围内施行。</w:t>
              </w:r>
            </w:p>
            <w:p>
              <w:pPr>
                <w:rPr>
                  <w:color w:val="000000" w:themeColor="text1"/>
                  <w:szCs w:val="21"/>
                </w:rPr>
              </w:pPr>
              <w:r>
                <w:rPr>
                  <w:rFonts w:hint="eastAsia"/>
                  <w:color w:val="000000" w:themeColor="text1"/>
                  <w:szCs w:val="21"/>
                </w:rPr>
                <w:t>本公司对</w:t>
              </w:r>
              <w:r>
                <w:rPr>
                  <w:color w:val="000000" w:themeColor="text1"/>
                  <w:szCs w:val="21"/>
                </w:rPr>
                <w:t>2017年1月1日存在的政府补助采用未来适用法处理，对自2017年1月1日至本准则施行日之间新增的政府补助根据本准则进行调整。本公司修改财务报表列报，在利润表中的“营业利润”项目之上单独列报“其他收益”项目，将自2017年1月1日起与公司日常经营活动有关的政府补助从“营业外收入”项目重分类至“其他收益”项目。对本年度财务报表累计影响为：“其他收益”科目增加33,597,557.96元，“营业外收入”科目减少33,597,557.96元。</w:t>
              </w:r>
            </w:p>
            <w:p>
              <w:pPr>
                <w:rPr>
                  <w:color w:val="000000" w:themeColor="text1"/>
                  <w:szCs w:val="21"/>
                </w:rPr>
              </w:pPr>
            </w:p>
            <w:p>
              <w:pPr>
                <w:rPr>
                  <w:color w:val="000000" w:themeColor="text1"/>
                  <w:szCs w:val="21"/>
                </w:rPr>
              </w:pPr>
              <w:r>
                <w:rPr>
                  <w:rFonts w:hint="eastAsia"/>
                  <w:color w:val="000000" w:themeColor="text1"/>
                  <w:szCs w:val="21"/>
                </w:rPr>
                <w:t>②资产处置损益列报方式变更</w:t>
              </w:r>
            </w:p>
            <w:p>
              <w:pPr>
                <w:rPr>
                  <w:color w:val="000000" w:themeColor="text1"/>
                  <w:szCs w:val="21"/>
                </w:rPr>
              </w:pPr>
              <w:r>
                <w:rPr>
                  <w:color w:val="000000" w:themeColor="text1"/>
                  <w:szCs w:val="21"/>
                </w:rPr>
                <w:t>2017年12月，财政部以财会〔2017〕30 号发布了《关于修订印发一般企业财务报表格式的通知》，要求执行企业会计准则的非金融企业应当按照企业会计准则和本通知要求编制2017 年度及以后期间的财务报表。</w:t>
              </w:r>
            </w:p>
            <w:p>
              <w:pPr>
                <w:rPr>
                  <w:color w:val="FF0000"/>
                  <w:szCs w:val="21"/>
                </w:rPr>
              </w:pPr>
              <w:r>
                <w:rPr>
                  <w:rFonts w:hint="eastAsia"/>
                  <w:color w:val="000000" w:themeColor="text1"/>
                  <w:szCs w:val="21"/>
                </w:rPr>
                <w:t>本公司在利润表中新增“资产处置收益”项目，原列示为“营业外收入”“营业外支出”的资产处置损益重分类至“资产处置收益”项目。公司本年无重分类至“资产处置收益”的“营业外收入”“营业外支出”项目，该会计政策变更对财务报表无影响。</w:t>
              </w:r>
            </w:p>
          </w:sdtContent>
        </w:sdt>
        <w:p>
          <w:pPr>
            <w:rPr>
              <w:szCs w:val="21"/>
            </w:rPr>
          </w:pPr>
        </w:p>
      </w:sdtContent>
    </w:sdt>
    <w:sdt>
      <w:sdtPr>
        <w:rPr>
          <w:rFonts w:hint="eastAsia" w:ascii="宋体" w:hAnsi="宋体" w:cs="宋体"/>
          <w:b w:val="0"/>
          <w:bCs w:val="0"/>
          <w:kern w:val="0"/>
          <w:szCs w:val="24"/>
        </w:rPr>
        <w:alias w:val="模块:董事会对重要前期差错更正的原因及影响的分析说明"/>
        <w:tag w:val="_SEC_a2664cc90b224463a6b390e3c02032b0"/>
        <w:id w:val="6772968"/>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22"/>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6772967"/>
            <w:lock w:val="sdtLocked"/>
            <w:placeholder>
              <w:docPart w:val="GBC22222222222222222222222222222"/>
            </w:placeholder>
          </w:sdtPr>
          <w:sdtEndPr>
            <w:rPr>
              <w:rFonts w:hint="eastAsia"/>
              <w:szCs w:val="21"/>
            </w:rPr>
          </w:sdtEndPr>
          <w:sdtContent>
            <w:p>
              <w:pPr>
                <w:rPr>
                  <w:szCs w:val="21"/>
                </w:rPr>
              </w:pPr>
              <w:r>
                <w:rPr>
                  <w:szCs w:val="21"/>
                </w:rPr>
                <w:fldChar w:fldCharType="begin"/>
              </w:r>
              <w:r>
                <w:rPr>
                  <w:rFonts w:hint="eastAsia"/>
                  <w:szCs w:val="21"/>
                </w:rPr>
                <w:instrText xml:space="preserve">MACROBUTTON  SnrToggleCheckbox □适用 </w:instrText>
              </w:r>
              <w:r>
                <w:rPr>
                  <w:szCs w:val="21"/>
                </w:rP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val="0"/>
          <w:kern w:val="0"/>
          <w:szCs w:val="24"/>
        </w:rPr>
        <w:alias w:val="模块:与前任会计师事务所进行的沟通情况"/>
        <w:tag w:val="_SEC_31d0510af7aa48b5949b42c21c05d191"/>
        <w:id w:val="6772970"/>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22"/>
            </w:numPr>
          </w:pPr>
          <w:r>
            <w:t>与前任会计师事务所进行的沟通情况</w:t>
          </w:r>
        </w:p>
        <w:sdt>
          <w:sdtPr>
            <w:rPr>
              <w:rFonts w:hint="eastAsia"/>
            </w:rPr>
            <w:alias w:val="是否适用：与前任会计师事务所进行的沟通情况[双击切换]"/>
            <w:tag w:val="_GBC_eac5a093c5584c5699f0b1b4b2cc9124"/>
            <w:id w:val="6772969"/>
            <w:lock w:val="sdtLocked"/>
            <w:placeholder>
              <w:docPart w:val="GBC22222222222222222222222222222"/>
            </w:placeholder>
          </w:sdtPr>
          <w:sdtEndPr>
            <w:rPr>
              <w:rFonts w:hint="eastAsia"/>
            </w:rPr>
          </w:sdtEndPr>
          <w:sdtContent>
            <w:p>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val="0"/>
          <w:kern w:val="0"/>
          <w:szCs w:val="24"/>
        </w:rPr>
        <w:alias w:val="模块:其他说明"/>
        <w:tag w:val="_SEC_350b62c37aba49baa8dbca093e97c5c0"/>
        <w:id w:val="6772973"/>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22"/>
            </w:numPr>
          </w:pPr>
          <w:r>
            <w:t>其他说明</w:t>
          </w:r>
        </w:p>
        <w:sdt>
          <w:sdtPr>
            <w:rPr>
              <w:rFonts w:hint="eastAsia"/>
            </w:rPr>
            <w:alias w:val="是否适用：公司对会计政策、会计估计变更或核算方法变更重大会计差错更正原因和影响的分析其他说明[双击切换]"/>
            <w:tag w:val="_GBC_f59e5141b9f74a2badb652a198d25993"/>
            <w:id w:val="6772971"/>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
      <w:pPr>
        <w:pStyle w:val="3"/>
        <w:numPr>
          <w:ilvl w:val="0"/>
          <w:numId w:val="19"/>
        </w:numPr>
      </w:pPr>
      <w:r>
        <w:t>聘任、解聘会计师事务所情况</w:t>
      </w:r>
    </w:p>
    <w:sdt>
      <w:sdtPr>
        <w:alias w:val="选项模块:聘任、解聘会计师事务所情况"/>
        <w:tag w:val="_SEC_4317320322b74f4fbace375f2fdcd88e"/>
        <w:id w:val="6772983"/>
        <w:lock w:val="sdtLocked"/>
        <w:placeholder>
          <w:docPart w:val="GBC22222222222222222222222222222"/>
        </w:placeholder>
      </w:sdtPr>
      <w:sdtContent>
        <w:p>
          <w:pPr>
            <w:jc w:val="right"/>
          </w:pPr>
          <w:r>
            <w:rPr>
              <w:rFonts w:hint="eastAsia"/>
            </w:rPr>
            <w:t>单位：</w:t>
          </w:r>
          <w:sdt>
            <w:sdtPr>
              <w:rPr>
                <w:rFonts w:hint="eastAsia"/>
              </w:rPr>
              <w:alias w:val="单位：聘任、解聘会计师事务所情况"/>
              <w:tag w:val="_GBC_26e166c9302c4cd6aef51526fb663693"/>
              <w:id w:val="677297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聘任、解聘会计师事务所情况"/>
              <w:tag w:val="_GBC_7dcaa3c6f2b646e695b35f062316b1bc"/>
              <w:id w:val="67729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4" w:type="dxa"/>
              </w:tcPr>
              <w:p>
                <w:pPr>
                  <w:widowControl w:val="0"/>
                  <w:jc w:val="both"/>
                  <w:rPr>
                    <w:szCs w:val="21"/>
                  </w:rPr>
                </w:pPr>
              </w:p>
            </w:tc>
            <w:sdt>
              <w:sdtPr>
                <w:tag w:val="_PLD_364aa8d2f946450c8e3aa85ae050a07e"/>
                <w:id w:val="6772976"/>
                <w:lock w:val="sdtLocked"/>
              </w:sdtPr>
              <w:sdtContent>
                <w:tc>
                  <w:tcPr>
                    <w:tcW w:w="4525" w:type="dxa"/>
                  </w:tcPr>
                  <w:p>
                    <w:pPr>
                      <w:widowControl w:val="0"/>
                      <w:jc w:val="center"/>
                      <w:rPr>
                        <w:szCs w:val="21"/>
                      </w:rPr>
                    </w:pPr>
                    <w:r>
                      <w:rPr>
                        <w:rFonts w:hint="eastAsia"/>
                        <w:szCs w:val="21"/>
                      </w:rPr>
                      <w:t>现聘任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acb50119840415b8495bc32adcd0b31"/>
                <w:id w:val="6772977"/>
                <w:lock w:val="sdtLocked"/>
              </w:sdtPr>
              <w:sdtContent>
                <w:tc>
                  <w:tcPr>
                    <w:tcW w:w="4524" w:type="dxa"/>
                  </w:tcPr>
                  <w:p>
                    <w:pPr>
                      <w:widowControl w:val="0"/>
                      <w:jc w:val="both"/>
                    </w:pPr>
                    <w:r>
                      <w:rPr>
                        <w:rFonts w:hint="eastAsia"/>
                        <w:szCs w:val="21"/>
                      </w:rPr>
                      <w:t>境内会计师事务所名称</w:t>
                    </w:r>
                  </w:p>
                </w:tc>
              </w:sdtContent>
            </w:sdt>
            <w:tc>
              <w:tcPr>
                <w:tcW w:w="4525" w:type="dxa"/>
              </w:tcPr>
              <w:p>
                <w:pPr>
                  <w:widowControl w:val="0"/>
                  <w:jc w:val="both"/>
                </w:pPr>
                <w:r>
                  <w:t>中审华会计师事务所（特殊普通合伙）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99884016c404b70b56b51dca806a7f6"/>
                <w:id w:val="6772978"/>
                <w:lock w:val="sdtLocked"/>
              </w:sdtPr>
              <w:sdtContent>
                <w:tc>
                  <w:tcPr>
                    <w:tcW w:w="4524" w:type="dxa"/>
                  </w:tcPr>
                  <w:p>
                    <w:pPr>
                      <w:widowControl w:val="0"/>
                      <w:jc w:val="both"/>
                    </w:pPr>
                    <w:r>
                      <w:rPr>
                        <w:rFonts w:hint="eastAsia"/>
                        <w:szCs w:val="21"/>
                      </w:rPr>
                      <w:t>境内会计师事务所报酬</w:t>
                    </w:r>
                  </w:p>
                </w:tc>
              </w:sdtContent>
            </w:sdt>
            <w:tc>
              <w:tcPr>
                <w:tcW w:w="4525" w:type="dxa"/>
              </w:tcPr>
              <w:p>
                <w:pPr>
                  <w:widowControl w:val="0"/>
                  <w:jc w:val="both"/>
                </w:pPr>
                <w: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34d0f60a14d41b3a048248da4532c21"/>
                <w:id w:val="6772979"/>
                <w:lock w:val="sdtLocked"/>
              </w:sdtPr>
              <w:sdtContent>
                <w:tc>
                  <w:tcPr>
                    <w:tcW w:w="4524" w:type="dxa"/>
                  </w:tcPr>
                  <w:p>
                    <w:pPr>
                      <w:widowControl w:val="0"/>
                      <w:jc w:val="both"/>
                    </w:pPr>
                    <w:r>
                      <w:rPr>
                        <w:rFonts w:hint="eastAsia"/>
                        <w:szCs w:val="21"/>
                      </w:rPr>
                      <w:t>境内会计师事务所审计年限</w:t>
                    </w:r>
                  </w:p>
                </w:tc>
              </w:sdtContent>
            </w:sdt>
            <w:tc>
              <w:tcPr>
                <w:tcW w:w="4525" w:type="dxa"/>
              </w:tcPr>
              <w:p>
                <w:pPr>
                  <w:widowControl w:val="0"/>
                  <w:jc w:val="both"/>
                </w:pPr>
                <w:r>
                  <w:rPr>
                    <w:rFonts w:hint="eastAsia"/>
                  </w:rPr>
                  <w:t>4</w:t>
                </w:r>
              </w:p>
            </w:tc>
          </w:tr>
        </w:tbl>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4394"/>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widowControl w:val="0"/>
                  <w:jc w:val="both"/>
                </w:pPr>
              </w:p>
            </w:tc>
            <w:sdt>
              <w:sdtPr>
                <w:tag w:val="_PLD_c9ec27d8a8454f91bb769203a75df4b3"/>
                <w:id w:val="6772980"/>
                <w:lock w:val="sdtLocked"/>
              </w:sdtPr>
              <w:sdtContent>
                <w:tc>
                  <w:tcPr>
                    <w:tcW w:w="4394" w:type="dxa"/>
                    <w:vAlign w:val="center"/>
                  </w:tcPr>
                  <w:p>
                    <w:pPr>
                      <w:widowControl w:val="0"/>
                      <w:jc w:val="center"/>
                    </w:pPr>
                    <w:r>
                      <w:rPr>
                        <w:rFonts w:hint="eastAsia"/>
                        <w:szCs w:val="21"/>
                      </w:rPr>
                      <w:t>名称</w:t>
                    </w:r>
                  </w:p>
                </w:tc>
              </w:sdtContent>
            </w:sdt>
            <w:sdt>
              <w:sdtPr>
                <w:tag w:val="_PLD_ae4e80c7f64046dcb42116bfa53b53af"/>
                <w:id w:val="6772981"/>
                <w:lock w:val="sdtLocked"/>
              </w:sdtPr>
              <w:sdtContent>
                <w:tc>
                  <w:tcPr>
                    <w:tcW w:w="1853" w:type="dxa"/>
                    <w:vAlign w:val="center"/>
                  </w:tcPr>
                  <w:p>
                    <w:pPr>
                      <w:widowControl w:val="0"/>
                      <w:jc w:val="center"/>
                    </w:pPr>
                    <w:r>
                      <w:rPr>
                        <w:rFonts w:hint="eastAsia"/>
                        <w:szCs w:val="21"/>
                      </w:rPr>
                      <w:t>报酬</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b9b36bf86614c808ea65de10637144b"/>
                <w:id w:val="6772982"/>
                <w:lock w:val="sdtLocked"/>
              </w:sdtPr>
              <w:sdtContent>
                <w:tc>
                  <w:tcPr>
                    <w:tcW w:w="2802" w:type="dxa"/>
                  </w:tcPr>
                  <w:p>
                    <w:pPr>
                      <w:widowControl w:val="0"/>
                      <w:jc w:val="both"/>
                    </w:pPr>
                    <w:r>
                      <w:rPr>
                        <w:rFonts w:hint="eastAsia"/>
                      </w:rPr>
                      <w:t>内部控制审计会计师事务所</w:t>
                    </w:r>
                  </w:p>
                </w:tc>
              </w:sdtContent>
            </w:sdt>
            <w:tc>
              <w:tcPr>
                <w:tcW w:w="4394" w:type="dxa"/>
              </w:tcPr>
              <w:p>
                <w:pPr>
                  <w:widowControl w:val="0"/>
                  <w:jc w:val="both"/>
                </w:pPr>
                <w:r>
                  <w:t>中审华会计师事务所（特殊普通合伙）</w:t>
                </w:r>
              </w:p>
            </w:tc>
            <w:tc>
              <w:tcPr>
                <w:tcW w:w="1853" w:type="dxa"/>
              </w:tcPr>
              <w:p>
                <w:pPr>
                  <w:widowControl w:val="0"/>
                  <w:jc w:val="right"/>
                </w:pPr>
                <w:r>
                  <w:t>240,000</w:t>
                </w:r>
              </w:p>
            </w:tc>
          </w:tr>
        </w:tbl>
        <w:p/>
      </w:sdtContent>
    </w:sdt>
    <w:sdt>
      <w:sdtPr>
        <w:alias w:val="模块:聘任、解聘会计师事务所的情况说明"/>
        <w:tag w:val="_SEC_322c3d9669f246aa87ccb7f9dc50a714"/>
        <w:id w:val="6772986"/>
        <w:lock w:val="sdtLocked"/>
        <w:placeholder>
          <w:docPart w:val="GBC22222222222222222222222222222"/>
        </w:placeholder>
      </w:sdtPr>
      <w:sdtEndPr>
        <w:rPr>
          <w:rFonts w:hint="eastAsia"/>
        </w:rPr>
      </w:sdtEndPr>
      <w:sdtContent>
        <w:p>
          <w:r>
            <w:t>聘任、解聘会计师事务所的情况说明</w:t>
          </w:r>
        </w:p>
        <w:sdt>
          <w:sdtPr>
            <w:alias w:val="是否适用：聘任、解聘会计师事务所情况[双击切换]"/>
            <w:tag w:val="_GBC_376f0811302240c0a118add2061458b6"/>
            <w:id w:val="677298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聘任、解聘会计师事务所情况说明"/>
            <w:tag w:val="_GBC_efccae536add449ea09208e1185e3711"/>
            <w:id w:val="6772985"/>
            <w:lock w:val="sdtLocked"/>
            <w:placeholder>
              <w:docPart w:val="GBC22222222222222222222222222222"/>
            </w:placeholder>
          </w:sdtPr>
          <w:sdtEndPr>
            <w:rPr>
              <w:rFonts w:hint="eastAsia"/>
              <w:szCs w:val="21"/>
            </w:rPr>
          </w:sdtEndPr>
          <w:sdtContent>
            <w:p>
              <w:pPr>
                <w:ind w:firstLine="420" w:firstLineChars="200"/>
              </w:pPr>
              <w:r>
                <w:rPr>
                  <w:rFonts w:hint="eastAsia"/>
                </w:rPr>
                <w:t>鉴于中审华会计师事务所（特殊普通合伙）为公司进行了独立、客观、公正的财务会计审计，公司决定继续聘请中审华会计师事务所（特殊普通合伙）为公司2017年度财务会计审计机构，期限1年。2017年财务审计费用50万元，内控审计费用24万元。</w:t>
              </w:r>
            </w:p>
            <w:p>
              <w:pPr>
                <w:rPr>
                  <w:szCs w:val="21"/>
                </w:rPr>
              </w:pPr>
              <w:r>
                <w:rPr>
                  <w:rFonts w:hint="eastAsia"/>
                </w:rPr>
                <w:t xml:space="preserve">    该项议案于公司2017年第一次临时股东大会审议通过。（详见公告：2017-042）</w:t>
              </w:r>
            </w:p>
          </w:sdtContent>
        </w:sdt>
      </w:sdtContent>
    </w:sdt>
    <w:p/>
    <w:sdt>
      <w:sdtPr>
        <w:alias w:val="模块:审计期间改聘会计师事务所的情况说明"/>
        <w:tag w:val="_SEC_9e5ff31b39074841b1732f4693c6a461"/>
        <w:id w:val="6772989"/>
        <w:lock w:val="sdtLocked"/>
        <w:placeholder>
          <w:docPart w:val="GBC22222222222222222222222222222"/>
        </w:placeholder>
      </w:sdtPr>
      <w:sdtEndPr>
        <w:rPr>
          <w:rFonts w:hint="eastAsia"/>
        </w:rPr>
      </w:sdtEndPr>
      <w:sdtContent>
        <w:p>
          <w:r>
            <w:t>审计期间改聘会计师事务所的情况说明</w:t>
          </w:r>
        </w:p>
        <w:sdt>
          <w:sdtPr>
            <w:rPr>
              <w:rFonts w:hint="eastAsia"/>
            </w:rPr>
            <w:alias w:val="是否适用：审计期间改聘会计师事务所的情况说明[双击切换]"/>
            <w:tag w:val="_GBC_34c57619e2904c83a8840614e4e5d5d0"/>
            <w:id w:val="6772987"/>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
      <w:pPr>
        <w:pStyle w:val="3"/>
        <w:numPr>
          <w:ilvl w:val="0"/>
          <w:numId w:val="19"/>
        </w:numPr>
      </w:pPr>
      <w:r>
        <w:t>面临暂停上市风险的情况</w:t>
      </w:r>
    </w:p>
    <w:p>
      <w:pPr>
        <w:pStyle w:val="4"/>
        <w:numPr>
          <w:ilvl w:val="0"/>
          <w:numId w:val="23"/>
        </w:numPr>
        <w:rPr>
          <w:szCs w:val="21"/>
        </w:rPr>
      </w:pPr>
      <w:r>
        <w:rPr>
          <w:rFonts w:hint="eastAsia"/>
        </w:rPr>
        <w:t>导</w:t>
      </w:r>
      <w:r>
        <w:rPr>
          <w:szCs w:val="21"/>
        </w:rPr>
        <w:t>致暂停上市的原因</w:t>
      </w:r>
    </w:p>
    <w:sdt>
      <w:sdtPr>
        <w:rPr>
          <w:rFonts w:hint="eastAsia"/>
          <w:b/>
          <w:bCs/>
        </w:rPr>
        <w:alias w:val="模块:导致暂停上市或终止上市的原因以及公司采取的消除暂停上市或终止上市情形的措施"/>
        <w:tag w:val="_SEC_0941141f259f4f9f84f8189eb23f5979"/>
        <w:id w:val="6772992"/>
        <w:lock w:val="sdtLocked"/>
        <w:placeholder>
          <w:docPart w:val="GBC22222222222222222222222222222"/>
        </w:placeholder>
      </w:sdtPr>
      <w:sdtEndPr>
        <w:rPr>
          <w:rFonts w:hint="eastAsia"/>
          <w:b w:val="0"/>
          <w:bCs w:val="0"/>
        </w:rPr>
      </w:sdtEndPr>
      <w:sdtContent>
        <w:sdt>
          <w:sdtPr>
            <w:rPr>
              <w:rFonts w:hint="eastAsia"/>
              <w:szCs w:val="21"/>
            </w:rPr>
            <w:alias w:val="是否适用：导致暂停上市的原因[双击切换]"/>
            <w:tag w:val="_GBC_5be6e6fabf4849c7b63c5d08ac7706e1"/>
            <w:id w:val="6772990"/>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fldChar w:fldCharType="begin"/>
              </w:r>
              <w:r>
                <w:instrText xml:space="preserve"> MACROBUTTON  SnrToggleCheckbox √不适用 </w:instrText>
              </w:r>
              <w:r>
                <w:fldChar w:fldCharType="end"/>
              </w:r>
            </w:p>
          </w:sdtContent>
        </w:sdt>
      </w:sdtContent>
    </w:sdt>
    <w:p>
      <w:pPr>
        <w:rPr>
          <w:szCs w:val="21"/>
        </w:rPr>
      </w:pPr>
    </w:p>
    <w:sdt>
      <w:sdtPr>
        <w:rPr>
          <w:rFonts w:ascii="宋体" w:hAnsi="宋体" w:cs="宋体"/>
          <w:b w:val="0"/>
          <w:bCs w:val="0"/>
          <w:kern w:val="0"/>
          <w:szCs w:val="21"/>
        </w:rPr>
        <w:alias w:val="模块:公司拟采取的应对措施"/>
        <w:tag w:val="_SEC_9dd9fc587be540dab1fcdb757f5036d7"/>
        <w:id w:val="6772995"/>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23"/>
            </w:numPr>
            <w:rPr>
              <w:szCs w:val="21"/>
            </w:rPr>
          </w:pPr>
          <w:r>
            <w:rPr>
              <w:rFonts w:hint="eastAsia"/>
              <w:szCs w:val="21"/>
            </w:rPr>
            <w:t>公司拟采取的应对措施</w:t>
          </w:r>
        </w:p>
        <w:sdt>
          <w:sdtPr>
            <w:rPr>
              <w:szCs w:val="21"/>
            </w:rPr>
            <w:alias w:val="是否适用：公司拟采取的措施[双击切换]"/>
            <w:tag w:val="_GBC_8656f473b4d943fe8fa1477037f607c5"/>
            <w:id w:val="6772993"/>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fldChar w:fldCharType="begin"/>
              </w:r>
              <w:r>
                <w:instrText xml:space="preserve"> MACROBUTTON  SnrToggleCheckbox √不适用 </w:instrText>
              </w:r>
              <w:r>
                <w:fldChar w:fldCharType="end"/>
              </w:r>
            </w:p>
          </w:sdtContent>
        </w:sdt>
      </w:sdtContent>
    </w:sdt>
    <w:p>
      <w:pPr>
        <w:rPr>
          <w:szCs w:val="21"/>
        </w:rPr>
      </w:pPr>
    </w:p>
    <w:p>
      <w:pPr>
        <w:pStyle w:val="3"/>
        <w:numPr>
          <w:ilvl w:val="0"/>
          <w:numId w:val="19"/>
        </w:numPr>
      </w:pPr>
      <w:r>
        <w:rPr>
          <w:rFonts w:hint="eastAsia"/>
        </w:rPr>
        <w:t>面临终止上市的情况和原因</w:t>
      </w:r>
    </w:p>
    <w:sdt>
      <w:sdtPr>
        <w:rPr>
          <w:b/>
          <w:bCs/>
        </w:rPr>
        <w:alias w:val="模块:面临终止上市的情况和原因"/>
        <w:tag w:val="_SEC_51ab085506b64e5e89440b52989dee71"/>
        <w:id w:val="6772998"/>
        <w:lock w:val="sdtLocked"/>
        <w:placeholder>
          <w:docPart w:val="GBC22222222222222222222222222222"/>
        </w:placeholder>
      </w:sdtPr>
      <w:sdtEndPr>
        <w:rPr>
          <w:b w:val="0"/>
          <w:bCs w:val="0"/>
        </w:rPr>
      </w:sdtEndPr>
      <w:sdtContent>
        <w:sdt>
          <w:sdtPr>
            <w:rPr>
              <w:rFonts w:hint="eastAsia"/>
              <w:szCs w:val="21"/>
            </w:rPr>
            <w:alias w:val="是否适用：面临终止上市的情况和原因 [双击切换]"/>
            <w:tag w:val="_GBC_36002fff87954035b149cfd20b1790d5"/>
            <w:id w:val="677299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fldChar w:fldCharType="begin"/>
              </w:r>
              <w:r>
                <w:instrText xml:space="preserve"> MACROBUTTON  SnrToggleCheckbox √不适用 </w:instrText>
              </w:r>
              <w:r>
                <w:fldChar w:fldCharType="end"/>
              </w:r>
            </w:p>
          </w:sdtContent>
        </w:sdt>
        <w:p>
          <w:pPr>
            <w:rPr>
              <w:szCs w:val="21"/>
            </w:rPr>
          </w:pPr>
        </w:p>
      </w:sdtContent>
    </w:sdt>
    <w:sdt>
      <w:sdtPr>
        <w:rPr>
          <w:rFonts w:ascii="宋体" w:hAnsi="宋体" w:cs="宋体"/>
          <w:b w:val="0"/>
          <w:bCs w:val="0"/>
          <w:kern w:val="0"/>
          <w:szCs w:val="24"/>
        </w:rPr>
        <w:alias w:val="模块:破产重整相关事项"/>
        <w:tag w:val="_SEC_40f00e43fb5a4ec79cf5293b027262f4"/>
        <w:id w:val="6773001"/>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19"/>
            </w:numPr>
          </w:pPr>
          <w:r>
            <w:t>破产重整相关事项</w:t>
          </w:r>
        </w:p>
        <w:sdt>
          <w:sdtPr>
            <w:alias w:val="是否适用：破产重整相关事项[双击切换]"/>
            <w:tag w:val="_GBC_5840a694c2a04f98893394e6da3bc9cc"/>
            <w:id w:val="677299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
      <w:pPr>
        <w:pStyle w:val="3"/>
        <w:numPr>
          <w:ilvl w:val="0"/>
          <w:numId w:val="19"/>
        </w:numPr>
      </w:pPr>
      <w:r>
        <w:t>重大诉讼、仲裁事项</w:t>
      </w:r>
    </w:p>
    <w:sdt>
      <w:sdtPr>
        <w:alias w:val="本年度公司有无重大诉讼、仲裁事项"/>
        <w:tag w:val="_GBC_b7d97a978491465ca563fa610688ebef"/>
        <w:id w:val="6773002"/>
        <w:lock w:val="sdtContentLocked"/>
        <w:placeholder>
          <w:docPart w:val="GBC22222222222222222222222222222"/>
        </w:placeholder>
      </w:sdtPr>
      <w:sdtContent>
        <w:p>
          <w:r>
            <w:fldChar w:fldCharType="begin"/>
          </w:r>
          <w:r>
            <w:instrText xml:space="preserve"> MACROBUTTON  SnrToggleCheckbox √本年度公司有重大诉讼、仲裁事项 </w:instrText>
          </w:r>
          <w:r>
            <w:fldChar w:fldCharType="end"/>
          </w:r>
          <w:r>
            <w:fldChar w:fldCharType="begin"/>
          </w:r>
          <w:r>
            <w:instrText xml:space="preserve"> MACROBUTTON  SnrToggleCheckbox □本年度公司无重大诉讼、仲裁事项 </w:instrText>
          </w:r>
          <w:r>
            <w:fldChar w:fldCharType="end"/>
          </w:r>
        </w:p>
      </w:sdtContent>
    </w:sdt>
    <w:sdt>
      <w:sdtPr>
        <w:rPr>
          <w:rFonts w:ascii="宋体" w:hAnsi="宋体" w:cs="宋体"/>
          <w:b w:val="0"/>
          <w:bCs w:val="0"/>
          <w:kern w:val="0"/>
          <w:sz w:val="24"/>
          <w:szCs w:val="22"/>
        </w:rPr>
        <w:alias w:val="模块:诉讼、仲裁或媒体普遍质疑事项已在临时公告披露且无后续进展"/>
        <w:tag w:val="_SEC_85550bc7e18e4ae5950dac093e9d2f00"/>
        <w:id w:val="6773004"/>
        <w:lock w:val="sdtLocked"/>
        <w:placeholder>
          <w:docPart w:val="GBC22222222222222222222222222222"/>
        </w:placeholder>
      </w:sdtPr>
      <w:sdtEndPr>
        <w:rPr>
          <w:rFonts w:hint="eastAsia" w:cs="宋体" w:asciiTheme="minorEastAsia" w:hAnsiTheme="minorEastAsia"/>
          <w:b w:val="0"/>
          <w:bCs w:val="0"/>
          <w:kern w:val="0"/>
          <w:sz w:val="21"/>
          <w:szCs w:val="21"/>
        </w:rPr>
      </w:sdtEndPr>
      <w:sdtContent>
        <w:p>
          <w:pPr>
            <w:pStyle w:val="4"/>
            <w:numPr>
              <w:ilvl w:val="0"/>
              <w:numId w:val="24"/>
            </w:numPr>
          </w:pPr>
          <w:r>
            <w:t>诉讼、仲裁事项已在临时公告披露且无后续进展的</w:t>
          </w:r>
        </w:p>
        <w:sdt>
          <w:sdtPr>
            <w:alias w:val="是否适用：诉讼、仲裁事项已在临时公告披露且无后续进展的[双击切换]"/>
            <w:tag w:val="_GBC_df9c575188dd424d8b37483a3f491cca"/>
            <w:id w:val="6773003"/>
            <w:lock w:val="sdtContentLocked"/>
            <w:placeholder>
              <w:docPart w:val="GBC22222222222222222222222222222"/>
            </w:placeholder>
          </w:sdtPr>
          <w:sdtContent>
            <w:p>
              <w:pPr>
                <w:rPr>
                  <w:rFonts w:asciiTheme="minorEastAsia" w:hAnsiTheme="minorEastAsia"/>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val="0"/>
          <w:kern w:val="0"/>
          <w:sz w:val="24"/>
          <w:szCs w:val="22"/>
        </w:rPr>
        <w:alias w:val="模块:临时公告未披露或有后续进展的诉讼、仲裁情况"/>
        <w:tag w:val="_SEC_5418915b864f4e448357874add64e3f1"/>
        <w:id w:val="6773025"/>
        <w:lock w:val="sdtLocked"/>
        <w:placeholder>
          <w:docPart w:val="GBC22222222222222222222222222222"/>
        </w:placeholder>
      </w:sdtPr>
      <w:sdtEndPr>
        <w:rPr>
          <w:rFonts w:hint="eastAsia" w:ascii="宋体" w:hAnsi="宋体" w:cs="宋体"/>
          <w:b w:val="0"/>
          <w:bCs w:val="0"/>
          <w:kern w:val="0"/>
          <w:sz w:val="21"/>
          <w:szCs w:val="24"/>
        </w:rPr>
      </w:sdtEndPr>
      <w:sdtContent>
        <w:p>
          <w:pPr>
            <w:pStyle w:val="4"/>
            <w:numPr>
              <w:ilvl w:val="0"/>
              <w:numId w:val="24"/>
            </w:numPr>
          </w:pPr>
          <w:r>
            <w:t>临时公告未披露或有后续进展的诉讼、仲裁情况</w:t>
          </w:r>
        </w:p>
        <w:sdt>
          <w:sdtPr>
            <w:alias w:val="是否适用：临时公告未披露或有后续进展的诉讼、仲裁情况[双击切换]"/>
            <w:tag w:val="_GBC_35f7d90461484a06aaa4de37b11de834"/>
            <w:id w:val="677300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重大诉讼仲裁事项"/>
              <w:tag w:val="_GBC_9d97246aa01d4ad08e6284cc246abd9f"/>
              <w:id w:val="67730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r>
            <w:rPr>
              <w:rFonts w:hint="eastAsia"/>
            </w:rPr>
            <w:t xml:space="preserve">  币种:</w:t>
          </w:r>
          <w:sdt>
            <w:sdtPr>
              <w:rPr>
                <w:rFonts w:hint="eastAsia"/>
              </w:rPr>
              <w:alias w:val="币种：重大诉讼仲裁事项"/>
              <w:tag w:val="_GBC_a18222a537f349d088118dcd5db0706a"/>
              <w:id w:val="67730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86"/>
            <w:gridCol w:w="663"/>
            <w:gridCol w:w="708"/>
            <w:gridCol w:w="1134"/>
            <w:gridCol w:w="993"/>
            <w:gridCol w:w="850"/>
            <w:gridCol w:w="1418"/>
            <w:gridCol w:w="903"/>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41f71fd1aeb4ad2847c6534560b258a"/>
                <w:id w:val="6773008"/>
                <w:lock w:val="sdtLocked"/>
              </w:sdtPr>
              <w:sdtContent>
                <w:tc>
                  <w:tcPr>
                    <w:tcW w:w="9049" w:type="dxa"/>
                    <w:gridSpan w:val="10"/>
                  </w:tcPr>
                  <w:p>
                    <w:pPr>
                      <w:widowControl w:val="0"/>
                      <w:jc w:val="both"/>
                      <w:rPr>
                        <w:szCs w:val="21"/>
                      </w:rPr>
                    </w:pPr>
                    <w:r>
                      <w:rPr>
                        <w:rFonts w:hint="eastAsia"/>
                        <w:szCs w:val="21"/>
                      </w:rPr>
                      <w:t>报告期内:</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 w:val="18"/>
                  <w:szCs w:val="18"/>
                </w:rPr>
                <w:tag w:val="_PLD_4d9b112021884e699f90fb18615a7a2e"/>
                <w:id w:val="6773009"/>
                <w:lock w:val="sdtLocked"/>
              </w:sdtPr>
              <w:sdtEndPr>
                <w:rPr>
                  <w:rFonts w:ascii="Times New Roman" w:hAnsi="Times New Roman"/>
                  <w:sz w:val="18"/>
                  <w:szCs w:val="18"/>
                </w:rPr>
              </w:sdtEndPr>
              <w:sdtContent>
                <w:tc>
                  <w:tcPr>
                    <w:tcW w:w="786" w:type="dxa"/>
                    <w:vAlign w:val="center"/>
                  </w:tcPr>
                  <w:p>
                    <w:pPr>
                      <w:widowControl w:val="0"/>
                      <w:jc w:val="center"/>
                      <w:rPr>
                        <w:sz w:val="18"/>
                        <w:szCs w:val="18"/>
                      </w:rPr>
                    </w:pPr>
                    <w:r>
                      <w:rPr>
                        <w:sz w:val="18"/>
                        <w:szCs w:val="18"/>
                      </w:rPr>
                      <w:t>起诉(申请)方</w:t>
                    </w:r>
                  </w:p>
                </w:tc>
              </w:sdtContent>
            </w:sdt>
            <w:sdt>
              <w:sdtPr>
                <w:rPr>
                  <w:rFonts w:ascii="Times New Roman" w:hAnsi="Times New Roman"/>
                  <w:sz w:val="18"/>
                  <w:szCs w:val="18"/>
                </w:rPr>
                <w:tag w:val="_PLD_c32a293b7cc342f8b27e24280205fb5b"/>
                <w:id w:val="6773010"/>
                <w:lock w:val="sdtLocked"/>
              </w:sdtPr>
              <w:sdtEndPr>
                <w:rPr>
                  <w:rFonts w:ascii="Times New Roman" w:hAnsi="Times New Roman"/>
                  <w:sz w:val="18"/>
                  <w:szCs w:val="18"/>
                </w:rPr>
              </w:sdtEndPr>
              <w:sdtContent>
                <w:tc>
                  <w:tcPr>
                    <w:tcW w:w="786" w:type="dxa"/>
                    <w:vAlign w:val="center"/>
                  </w:tcPr>
                  <w:p>
                    <w:pPr>
                      <w:widowControl w:val="0"/>
                      <w:jc w:val="center"/>
                      <w:rPr>
                        <w:sz w:val="18"/>
                        <w:szCs w:val="18"/>
                      </w:rPr>
                    </w:pPr>
                    <w:r>
                      <w:rPr>
                        <w:sz w:val="18"/>
                        <w:szCs w:val="18"/>
                      </w:rPr>
                      <w:t>应诉</w:t>
                    </w:r>
                    <w:r>
                      <w:rPr>
                        <w:rFonts w:hint="eastAsia"/>
                        <w:sz w:val="18"/>
                        <w:szCs w:val="18"/>
                      </w:rPr>
                      <w:t>(</w:t>
                    </w:r>
                    <w:r>
                      <w:rPr>
                        <w:sz w:val="18"/>
                        <w:szCs w:val="18"/>
                      </w:rPr>
                      <w:t>被申请</w:t>
                    </w:r>
                    <w:r>
                      <w:rPr>
                        <w:rFonts w:hint="eastAsia"/>
                        <w:sz w:val="18"/>
                        <w:szCs w:val="18"/>
                      </w:rPr>
                      <w:t>)</w:t>
                    </w:r>
                    <w:r>
                      <w:rPr>
                        <w:sz w:val="18"/>
                        <w:szCs w:val="18"/>
                      </w:rPr>
                      <w:t>方</w:t>
                    </w:r>
                  </w:p>
                </w:tc>
              </w:sdtContent>
            </w:sdt>
            <w:sdt>
              <w:sdtPr>
                <w:rPr>
                  <w:rFonts w:ascii="Times New Roman" w:hAnsi="Times New Roman"/>
                  <w:sz w:val="18"/>
                  <w:szCs w:val="18"/>
                </w:rPr>
                <w:tag w:val="_PLD_eff0fb32b4bd49df8045de6cb1eb61f6"/>
                <w:id w:val="6773011"/>
                <w:lock w:val="sdtLocked"/>
              </w:sdtPr>
              <w:sdtEndPr>
                <w:rPr>
                  <w:rFonts w:ascii="Times New Roman" w:hAnsi="Times New Roman"/>
                  <w:sz w:val="18"/>
                  <w:szCs w:val="18"/>
                </w:rPr>
              </w:sdtEndPr>
              <w:sdtContent>
                <w:tc>
                  <w:tcPr>
                    <w:tcW w:w="663" w:type="dxa"/>
                    <w:vAlign w:val="center"/>
                  </w:tcPr>
                  <w:p>
                    <w:pPr>
                      <w:widowControl w:val="0"/>
                      <w:jc w:val="center"/>
                      <w:rPr>
                        <w:sz w:val="18"/>
                        <w:szCs w:val="18"/>
                      </w:rPr>
                    </w:pPr>
                    <w:r>
                      <w:rPr>
                        <w:sz w:val="18"/>
                        <w:szCs w:val="18"/>
                      </w:rPr>
                      <w:t>承担连带责任方</w:t>
                    </w:r>
                  </w:p>
                </w:tc>
              </w:sdtContent>
            </w:sdt>
            <w:sdt>
              <w:sdtPr>
                <w:rPr>
                  <w:rFonts w:ascii="Times New Roman" w:hAnsi="Times New Roman"/>
                  <w:sz w:val="18"/>
                  <w:szCs w:val="18"/>
                </w:rPr>
                <w:tag w:val="_PLD_3182b9e352674cfca450ce843b2abe09"/>
                <w:id w:val="6773012"/>
                <w:lock w:val="sdtLocked"/>
              </w:sdtPr>
              <w:sdtEndPr>
                <w:rPr>
                  <w:rFonts w:ascii="Times New Roman" w:hAnsi="Times New Roman"/>
                  <w:sz w:val="18"/>
                  <w:szCs w:val="18"/>
                </w:rPr>
              </w:sdtEndPr>
              <w:sdtContent>
                <w:tc>
                  <w:tcPr>
                    <w:tcW w:w="708" w:type="dxa"/>
                    <w:vAlign w:val="center"/>
                  </w:tcPr>
                  <w:p>
                    <w:pPr>
                      <w:widowControl w:val="0"/>
                      <w:jc w:val="center"/>
                      <w:rPr>
                        <w:sz w:val="18"/>
                        <w:szCs w:val="18"/>
                      </w:rPr>
                    </w:pPr>
                    <w:r>
                      <w:rPr>
                        <w:sz w:val="18"/>
                        <w:szCs w:val="18"/>
                      </w:rPr>
                      <w:t>诉讼仲裁类型</w:t>
                    </w:r>
                  </w:p>
                </w:tc>
              </w:sdtContent>
            </w:sdt>
            <w:sdt>
              <w:sdtPr>
                <w:rPr>
                  <w:rFonts w:ascii="Times New Roman" w:hAnsi="Times New Roman"/>
                  <w:sz w:val="18"/>
                  <w:szCs w:val="18"/>
                </w:rPr>
                <w:tag w:val="_PLD_86e4a2e13ad5461d8f77a09cb45ddc71"/>
                <w:id w:val="6773013"/>
                <w:lock w:val="sdtLocked"/>
              </w:sdtPr>
              <w:sdtEndPr>
                <w:rPr>
                  <w:rFonts w:ascii="Times New Roman" w:hAnsi="Times New Roman"/>
                  <w:sz w:val="18"/>
                  <w:szCs w:val="18"/>
                </w:rPr>
              </w:sdtEndPr>
              <w:sdtContent>
                <w:tc>
                  <w:tcPr>
                    <w:tcW w:w="1134" w:type="dxa"/>
                    <w:vAlign w:val="center"/>
                  </w:tcPr>
                  <w:p>
                    <w:pPr>
                      <w:widowControl w:val="0"/>
                      <w:jc w:val="center"/>
                      <w:rPr>
                        <w:sz w:val="18"/>
                        <w:szCs w:val="18"/>
                      </w:rPr>
                    </w:pPr>
                    <w:r>
                      <w:rPr>
                        <w:sz w:val="18"/>
                        <w:szCs w:val="18"/>
                      </w:rPr>
                      <w:t>诉讼(仲裁)基本情况</w:t>
                    </w:r>
                  </w:p>
                </w:tc>
              </w:sdtContent>
            </w:sdt>
            <w:sdt>
              <w:sdtPr>
                <w:rPr>
                  <w:rFonts w:ascii="Times New Roman" w:hAnsi="Times New Roman"/>
                  <w:sz w:val="18"/>
                  <w:szCs w:val="18"/>
                </w:rPr>
                <w:tag w:val="_PLD_b491f23ec9e248f9902c5c1b2081b024"/>
                <w:id w:val="6773014"/>
                <w:lock w:val="sdtLocked"/>
              </w:sdtPr>
              <w:sdtEndPr>
                <w:rPr>
                  <w:rFonts w:ascii="Times New Roman" w:hAnsi="Times New Roman"/>
                  <w:sz w:val="18"/>
                  <w:szCs w:val="18"/>
                </w:rPr>
              </w:sdtEndPr>
              <w:sdtContent>
                <w:tc>
                  <w:tcPr>
                    <w:tcW w:w="993" w:type="dxa"/>
                    <w:vAlign w:val="center"/>
                  </w:tcPr>
                  <w:p>
                    <w:pPr>
                      <w:widowControl w:val="0"/>
                      <w:jc w:val="center"/>
                      <w:rPr>
                        <w:sz w:val="18"/>
                        <w:szCs w:val="18"/>
                      </w:rPr>
                    </w:pPr>
                    <w:r>
                      <w:rPr>
                        <w:sz w:val="18"/>
                        <w:szCs w:val="18"/>
                      </w:rPr>
                      <w:t>诉讼(仲裁)涉及金额</w:t>
                    </w:r>
                  </w:p>
                </w:tc>
              </w:sdtContent>
            </w:sdt>
            <w:sdt>
              <w:sdtPr>
                <w:rPr>
                  <w:rFonts w:ascii="Times New Roman" w:hAnsi="Times New Roman"/>
                  <w:sz w:val="18"/>
                  <w:szCs w:val="18"/>
                </w:rPr>
                <w:tag w:val="_PLD_2b415cbc1f944f409e2c471dbfd8a1b2"/>
                <w:id w:val="6773015"/>
                <w:lock w:val="sdtLocked"/>
              </w:sdtPr>
              <w:sdtEndPr>
                <w:rPr>
                  <w:rFonts w:ascii="Times New Roman" w:hAnsi="Times New Roman"/>
                  <w:sz w:val="18"/>
                  <w:szCs w:val="18"/>
                </w:rPr>
              </w:sdtEndPr>
              <w:sdtContent>
                <w:tc>
                  <w:tcPr>
                    <w:tcW w:w="850" w:type="dxa"/>
                    <w:vAlign w:val="center"/>
                  </w:tcPr>
                  <w:p>
                    <w:pPr>
                      <w:widowControl w:val="0"/>
                      <w:jc w:val="center"/>
                      <w:rPr>
                        <w:sz w:val="18"/>
                        <w:szCs w:val="18"/>
                      </w:rPr>
                    </w:pPr>
                    <w:r>
                      <w:rPr>
                        <w:sz w:val="18"/>
                        <w:szCs w:val="18"/>
                      </w:rPr>
                      <w:t>诉讼(仲裁)是否形成预计负债及金额</w:t>
                    </w:r>
                  </w:p>
                </w:tc>
              </w:sdtContent>
            </w:sdt>
            <w:sdt>
              <w:sdtPr>
                <w:rPr>
                  <w:rFonts w:ascii="Times New Roman" w:hAnsi="Times New Roman"/>
                  <w:sz w:val="18"/>
                  <w:szCs w:val="18"/>
                </w:rPr>
                <w:tag w:val="_PLD_f02309bf6efe44ff86d44f16620b132d"/>
                <w:id w:val="6773016"/>
                <w:lock w:val="sdtLocked"/>
              </w:sdtPr>
              <w:sdtEndPr>
                <w:rPr>
                  <w:rFonts w:ascii="Times New Roman" w:hAnsi="Times New Roman"/>
                  <w:sz w:val="18"/>
                  <w:szCs w:val="18"/>
                </w:rPr>
              </w:sdtEndPr>
              <w:sdtContent>
                <w:tc>
                  <w:tcPr>
                    <w:tcW w:w="1418" w:type="dxa"/>
                    <w:vAlign w:val="center"/>
                  </w:tcPr>
                  <w:p>
                    <w:pPr>
                      <w:widowControl w:val="0"/>
                      <w:jc w:val="center"/>
                      <w:rPr>
                        <w:sz w:val="18"/>
                        <w:szCs w:val="18"/>
                      </w:rPr>
                    </w:pPr>
                    <w:r>
                      <w:rPr>
                        <w:sz w:val="18"/>
                        <w:szCs w:val="18"/>
                      </w:rPr>
                      <w:t>诉讼(仲裁)进展情况</w:t>
                    </w:r>
                  </w:p>
                </w:tc>
              </w:sdtContent>
            </w:sdt>
            <w:sdt>
              <w:sdtPr>
                <w:rPr>
                  <w:rFonts w:ascii="Times New Roman" w:hAnsi="Times New Roman"/>
                  <w:sz w:val="18"/>
                  <w:szCs w:val="18"/>
                </w:rPr>
                <w:tag w:val="_PLD_0716dc47d25e4a39b22e4eec6c623d38"/>
                <w:id w:val="6773017"/>
                <w:lock w:val="sdtLocked"/>
              </w:sdtPr>
              <w:sdtEndPr>
                <w:rPr>
                  <w:rFonts w:ascii="Times New Roman" w:hAnsi="Times New Roman"/>
                  <w:sz w:val="18"/>
                  <w:szCs w:val="18"/>
                </w:rPr>
              </w:sdtEndPr>
              <w:sdtContent>
                <w:tc>
                  <w:tcPr>
                    <w:tcW w:w="903" w:type="dxa"/>
                    <w:vAlign w:val="center"/>
                  </w:tcPr>
                  <w:p>
                    <w:pPr>
                      <w:widowControl w:val="0"/>
                      <w:jc w:val="center"/>
                      <w:rPr>
                        <w:sz w:val="18"/>
                        <w:szCs w:val="18"/>
                      </w:rPr>
                    </w:pPr>
                    <w:r>
                      <w:rPr>
                        <w:sz w:val="18"/>
                        <w:szCs w:val="18"/>
                      </w:rPr>
                      <w:t>诉讼(仲裁)审理结果及影响</w:t>
                    </w:r>
                  </w:p>
                </w:tc>
              </w:sdtContent>
            </w:sdt>
            <w:sdt>
              <w:sdtPr>
                <w:rPr>
                  <w:rFonts w:ascii="Times New Roman" w:hAnsi="Times New Roman"/>
                  <w:sz w:val="18"/>
                  <w:szCs w:val="18"/>
                </w:rPr>
                <w:tag w:val="_PLD_8bc1db95a90849249b1a09fa51190e2b"/>
                <w:id w:val="6773018"/>
                <w:lock w:val="sdtLocked"/>
              </w:sdtPr>
              <w:sdtEndPr>
                <w:rPr>
                  <w:rFonts w:ascii="Times New Roman" w:hAnsi="Times New Roman"/>
                  <w:sz w:val="18"/>
                  <w:szCs w:val="18"/>
                </w:rPr>
              </w:sdtEndPr>
              <w:sdtContent>
                <w:tc>
                  <w:tcPr>
                    <w:tcW w:w="808" w:type="dxa"/>
                    <w:vAlign w:val="center"/>
                  </w:tcPr>
                  <w:p>
                    <w:pPr>
                      <w:widowControl w:val="0"/>
                      <w:jc w:val="center"/>
                      <w:rPr>
                        <w:sz w:val="18"/>
                        <w:szCs w:val="18"/>
                      </w:rPr>
                    </w:pPr>
                    <w:r>
                      <w:rPr>
                        <w:sz w:val="18"/>
                        <w:szCs w:val="18"/>
                      </w:rPr>
                      <w:t>诉讼(仲裁)判决执行情况</w:t>
                    </w:r>
                  </w:p>
                </w:tc>
              </w:sdtContent>
            </w:sdt>
          </w:tr>
          <w:sdt>
            <w:sdtPr>
              <w:rPr>
                <w:rFonts w:hint="eastAsia" w:ascii="Calibri" w:hAnsi="Calibri" w:eastAsiaTheme="minorEastAsia" w:cstheme="minorBidi"/>
                <w:kern w:val="2"/>
                <w:sz w:val="18"/>
                <w:szCs w:val="18"/>
              </w:rPr>
              <w:alias w:val="重大诉讼、仲裁事项"/>
              <w:tag w:val="_TUP_f252d4ec6fcd41908cebf11001f20989"/>
              <w:id w:val="6773019"/>
              <w:lock w:val="sdtLocked"/>
            </w:sdtPr>
            <w:sdtEndPr>
              <w:rPr>
                <w:rFonts w:hint="eastAsia"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widowControl w:val="0"/>
                      <w:jc w:val="both"/>
                      <w:rPr>
                        <w:sz w:val="18"/>
                        <w:szCs w:val="18"/>
                      </w:rPr>
                    </w:pPr>
                    <w:r>
                      <w:rPr>
                        <w:sz w:val="18"/>
                        <w:szCs w:val="18"/>
                      </w:rPr>
                      <w:t>柳钢股份</w:t>
                    </w:r>
                  </w:p>
                </w:tc>
                <w:tc>
                  <w:tcPr>
                    <w:tcW w:w="786" w:type="dxa"/>
                  </w:tcPr>
                  <w:p>
                    <w:pPr>
                      <w:widowControl w:val="0"/>
                      <w:jc w:val="both"/>
                      <w:rPr>
                        <w:sz w:val="18"/>
                        <w:szCs w:val="18"/>
                      </w:rPr>
                    </w:pPr>
                    <w:r>
                      <w:rPr>
                        <w:sz w:val="18"/>
                        <w:szCs w:val="18"/>
                      </w:rPr>
                      <w:t>华夏银行股份有限公司南宁青秀支行、广西利澳贸易有限公司</w:t>
                    </w:r>
                  </w:p>
                </w:tc>
                <w:tc>
                  <w:tcPr>
                    <w:tcW w:w="663" w:type="dxa"/>
                  </w:tcPr>
                  <w:p>
                    <w:pPr>
                      <w:widowControl w:val="0"/>
                      <w:jc w:val="both"/>
                      <w:rPr>
                        <w:sz w:val="18"/>
                        <w:szCs w:val="18"/>
                      </w:rPr>
                    </w:pPr>
                    <w:r>
                      <w:rPr>
                        <w:sz w:val="18"/>
                        <w:szCs w:val="18"/>
                      </w:rPr>
                      <w:t>无</w:t>
                    </w:r>
                  </w:p>
                </w:tc>
                <w:tc>
                  <w:tcPr>
                    <w:tcW w:w="708" w:type="dxa"/>
                  </w:tcPr>
                  <w:p>
                    <w:pPr>
                      <w:widowControl w:val="0"/>
                      <w:jc w:val="both"/>
                      <w:rPr>
                        <w:sz w:val="18"/>
                        <w:szCs w:val="18"/>
                      </w:rPr>
                    </w:pPr>
                    <w:r>
                      <w:rPr>
                        <w:sz w:val="18"/>
                        <w:szCs w:val="18"/>
                      </w:rPr>
                      <w:t>票据合同纠纷</w:t>
                    </w:r>
                  </w:p>
                </w:tc>
                <w:tc>
                  <w:tcPr>
                    <w:tcW w:w="1134" w:type="dxa"/>
                  </w:tcPr>
                  <w:p>
                    <w:pPr>
                      <w:widowControl w:val="0"/>
                      <w:jc w:val="both"/>
                      <w:rPr>
                        <w:sz w:val="18"/>
                        <w:szCs w:val="18"/>
                      </w:rPr>
                    </w:pPr>
                    <w:r>
                      <w:rPr>
                        <w:sz w:val="18"/>
                        <w:szCs w:val="18"/>
                      </w:rPr>
                      <w:t>柳钢股份诉华夏银行股份有限公司南宁青秀支行、广西利澳贸易有限公司票据合同纠纷</w:t>
                    </w:r>
                  </w:p>
                </w:tc>
                <w:tc>
                  <w:tcPr>
                    <w:tcW w:w="993" w:type="dxa"/>
                  </w:tcPr>
                  <w:p>
                    <w:pPr>
                      <w:widowControl w:val="0"/>
                      <w:jc w:val="right"/>
                      <w:rPr>
                        <w:sz w:val="18"/>
                        <w:szCs w:val="18"/>
                      </w:rPr>
                    </w:pPr>
                    <w:r>
                      <w:rPr>
                        <w:sz w:val="18"/>
                        <w:szCs w:val="18"/>
                      </w:rPr>
                      <w:t>1,700.00</w:t>
                    </w:r>
                  </w:p>
                </w:tc>
                <w:tc>
                  <w:tcPr>
                    <w:tcW w:w="850" w:type="dxa"/>
                  </w:tcPr>
                  <w:p>
                    <w:pPr>
                      <w:widowControl w:val="0"/>
                      <w:jc w:val="both"/>
                      <w:rPr>
                        <w:sz w:val="18"/>
                        <w:szCs w:val="18"/>
                      </w:rPr>
                    </w:pPr>
                    <w:r>
                      <w:rPr>
                        <w:sz w:val="18"/>
                        <w:szCs w:val="18"/>
                      </w:rPr>
                      <w:t>否</w:t>
                    </w:r>
                  </w:p>
                </w:tc>
                <w:tc>
                  <w:tcPr>
                    <w:tcW w:w="1418" w:type="dxa"/>
                  </w:tcPr>
                  <w:p>
                    <w:pPr>
                      <w:widowControl w:val="0"/>
                      <w:jc w:val="both"/>
                      <w:rPr>
                        <w:sz w:val="18"/>
                        <w:szCs w:val="18"/>
                      </w:rPr>
                    </w:pPr>
                    <w:r>
                      <w:rPr>
                        <w:rFonts w:hint="eastAsia"/>
                        <w:sz w:val="18"/>
                        <w:szCs w:val="18"/>
                      </w:rPr>
                      <w:t>2017年6月16日南宁市青秀区人民法院一审判决驳回柳钢股份所有诉请，</w:t>
                    </w:r>
                    <w:r>
                      <w:rPr>
                        <w:rFonts w:hint="eastAsia"/>
                        <w:color w:val="000000" w:themeColor="text1"/>
                        <w:sz w:val="18"/>
                        <w:szCs w:val="18"/>
                      </w:rPr>
                      <w:t>2017年7月，柳钢股份不服一审判决，已向南宁中院提起上诉</w:t>
                    </w:r>
                    <w:r>
                      <w:rPr>
                        <w:rFonts w:hint="eastAsia"/>
                        <w:sz w:val="18"/>
                        <w:szCs w:val="18"/>
                      </w:rPr>
                      <w:t>，2018年2月收到法院传票等待开庭。</w:t>
                    </w:r>
                  </w:p>
                </w:tc>
                <w:tc>
                  <w:tcPr>
                    <w:tcW w:w="903" w:type="dxa"/>
                  </w:tcPr>
                  <w:p>
                    <w:pPr>
                      <w:widowControl w:val="0"/>
                      <w:jc w:val="both"/>
                      <w:rPr>
                        <w:sz w:val="18"/>
                        <w:szCs w:val="18"/>
                      </w:rPr>
                    </w:pPr>
                    <w:r>
                      <w:rPr>
                        <w:rFonts w:hint="eastAsia"/>
                        <w:color w:val="000000" w:themeColor="text1"/>
                        <w:sz w:val="18"/>
                        <w:szCs w:val="18"/>
                      </w:rPr>
                      <w:t>截至2017年12月31日柳钢股份应收广西利澳贸易有限公司款项金额</w:t>
                    </w:r>
                    <w:r>
                      <w:rPr>
                        <w:rFonts w:hint="eastAsia"/>
                        <w:sz w:val="18"/>
                        <w:szCs w:val="18"/>
                      </w:rPr>
                      <w:t>17,000,000.00元，已全额计提坏账。</w:t>
                    </w:r>
                  </w:p>
                </w:tc>
                <w:tc>
                  <w:tcPr>
                    <w:tcW w:w="808" w:type="dxa"/>
                  </w:tcPr>
                  <w:p>
                    <w:pPr>
                      <w:widowControl w:val="0"/>
                      <w:jc w:val="both"/>
                      <w:rPr>
                        <w:sz w:val="18"/>
                        <w:szCs w:val="18"/>
                      </w:rPr>
                    </w:pPr>
                    <w:r>
                      <w:rPr>
                        <w:sz w:val="18"/>
                        <w:szCs w:val="18"/>
                      </w:rPr>
                      <w:t>公告期间</w:t>
                    </w:r>
                  </w:p>
                </w:tc>
              </w:tr>
            </w:sdtContent>
          </w:sdt>
          <w:sdt>
            <w:sdtPr>
              <w:rPr>
                <w:rFonts w:hint="eastAsia" w:ascii="Calibri" w:hAnsi="Calibri" w:eastAsiaTheme="minorEastAsia" w:cstheme="minorBidi"/>
                <w:kern w:val="2"/>
                <w:sz w:val="18"/>
                <w:szCs w:val="18"/>
              </w:rPr>
              <w:alias w:val="重大诉讼、仲裁事项"/>
              <w:tag w:val="_TUP_f252d4ec6fcd41908cebf11001f20989"/>
              <w:id w:val="6773020"/>
              <w:lock w:val="sdtLocked"/>
            </w:sdtPr>
            <w:sdtEndPr>
              <w:rPr>
                <w:rFonts w:hint="eastAsia"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widowControl w:val="0"/>
                      <w:jc w:val="both"/>
                      <w:rPr>
                        <w:sz w:val="18"/>
                        <w:szCs w:val="18"/>
                      </w:rPr>
                    </w:pPr>
                    <w:r>
                      <w:rPr>
                        <w:sz w:val="18"/>
                        <w:szCs w:val="18"/>
                      </w:rPr>
                      <w:t>南宁农村信用社</w:t>
                    </w:r>
                  </w:p>
                </w:tc>
                <w:tc>
                  <w:tcPr>
                    <w:tcW w:w="786" w:type="dxa"/>
                  </w:tcPr>
                  <w:p>
                    <w:pPr>
                      <w:widowControl w:val="0"/>
                      <w:jc w:val="both"/>
                      <w:rPr>
                        <w:sz w:val="18"/>
                        <w:szCs w:val="18"/>
                      </w:rPr>
                    </w:pPr>
                    <w:r>
                      <w:rPr>
                        <w:sz w:val="18"/>
                        <w:szCs w:val="18"/>
                      </w:rPr>
                      <w:t>广西恒赢公司、吴璘等4人、柳钢股份公司</w:t>
                    </w:r>
                  </w:p>
                </w:tc>
                <w:tc>
                  <w:tcPr>
                    <w:tcW w:w="663" w:type="dxa"/>
                  </w:tcPr>
                  <w:p>
                    <w:pPr>
                      <w:widowControl w:val="0"/>
                      <w:jc w:val="both"/>
                      <w:rPr>
                        <w:sz w:val="18"/>
                        <w:szCs w:val="18"/>
                      </w:rPr>
                    </w:pPr>
                    <w:r>
                      <w:rPr>
                        <w:sz w:val="18"/>
                        <w:szCs w:val="18"/>
                      </w:rPr>
                      <w:t>无</w:t>
                    </w:r>
                  </w:p>
                </w:tc>
                <w:tc>
                  <w:tcPr>
                    <w:tcW w:w="708" w:type="dxa"/>
                  </w:tcPr>
                  <w:p>
                    <w:pPr>
                      <w:widowControl w:val="0"/>
                      <w:jc w:val="both"/>
                      <w:rPr>
                        <w:sz w:val="18"/>
                        <w:szCs w:val="18"/>
                      </w:rPr>
                    </w:pPr>
                    <w:r>
                      <w:rPr>
                        <w:sz w:val="18"/>
                        <w:szCs w:val="18"/>
                      </w:rPr>
                      <w:t>金融借款合同纠纷</w:t>
                    </w:r>
                  </w:p>
                </w:tc>
                <w:tc>
                  <w:tcPr>
                    <w:tcW w:w="1134" w:type="dxa"/>
                  </w:tcPr>
                  <w:p>
                    <w:pPr>
                      <w:widowControl w:val="0"/>
                      <w:jc w:val="both"/>
                      <w:rPr>
                        <w:sz w:val="18"/>
                        <w:szCs w:val="18"/>
                      </w:rPr>
                    </w:pPr>
                    <w:r>
                      <w:rPr>
                        <w:sz w:val="18"/>
                        <w:szCs w:val="18"/>
                      </w:rPr>
                      <w:t>南宁信用社诉称，广西恒赢公司将其在柳钢股份公司应收账款质押给南宁信用社融资，融资到期，无法还款，要求柳钢支付应收账款</w:t>
                    </w:r>
                  </w:p>
                </w:tc>
                <w:tc>
                  <w:tcPr>
                    <w:tcW w:w="993" w:type="dxa"/>
                  </w:tcPr>
                  <w:p>
                    <w:pPr>
                      <w:widowControl w:val="0"/>
                      <w:jc w:val="right"/>
                      <w:rPr>
                        <w:sz w:val="18"/>
                        <w:szCs w:val="18"/>
                      </w:rPr>
                    </w:pPr>
                    <w:r>
                      <w:rPr>
                        <w:sz w:val="18"/>
                        <w:szCs w:val="18"/>
                      </w:rPr>
                      <w:t>2,356.5</w:t>
                    </w:r>
                  </w:p>
                </w:tc>
                <w:tc>
                  <w:tcPr>
                    <w:tcW w:w="850" w:type="dxa"/>
                  </w:tcPr>
                  <w:p>
                    <w:pPr>
                      <w:widowControl w:val="0"/>
                      <w:jc w:val="both"/>
                      <w:rPr>
                        <w:sz w:val="18"/>
                        <w:szCs w:val="18"/>
                      </w:rPr>
                    </w:pPr>
                    <w:r>
                      <w:rPr>
                        <w:sz w:val="18"/>
                        <w:szCs w:val="18"/>
                      </w:rPr>
                      <w:t>　</w:t>
                    </w:r>
                  </w:p>
                </w:tc>
                <w:tc>
                  <w:tcPr>
                    <w:tcW w:w="1418" w:type="dxa"/>
                  </w:tcPr>
                  <w:p>
                    <w:pPr>
                      <w:widowControl w:val="0"/>
                      <w:jc w:val="both"/>
                      <w:rPr>
                        <w:sz w:val="18"/>
                        <w:szCs w:val="18"/>
                      </w:rPr>
                    </w:pPr>
                    <w:r>
                      <w:rPr>
                        <w:rFonts w:hint="eastAsia"/>
                        <w:sz w:val="18"/>
                        <w:szCs w:val="18"/>
                      </w:rPr>
                      <w:t>已裁决</w:t>
                    </w:r>
                  </w:p>
                </w:tc>
                <w:tc>
                  <w:tcPr>
                    <w:tcW w:w="903" w:type="dxa"/>
                  </w:tcPr>
                  <w:p>
                    <w:pPr>
                      <w:widowControl w:val="0"/>
                      <w:jc w:val="both"/>
                      <w:rPr>
                        <w:sz w:val="18"/>
                        <w:szCs w:val="18"/>
                      </w:rPr>
                    </w:pPr>
                    <w:r>
                      <w:rPr>
                        <w:rFonts w:hint="eastAsia"/>
                        <w:sz w:val="18"/>
                        <w:szCs w:val="18"/>
                      </w:rPr>
                      <w:t>案件在南宁中院、南宁青秀区法院已裁决，认为本案有经济犯罪嫌疑，驳回南宁信用社的起</w:t>
                    </w:r>
                    <w:r>
                      <w:rPr>
                        <w:rFonts w:hint="eastAsia"/>
                        <w:color w:val="000000" w:themeColor="text1"/>
                        <w:sz w:val="18"/>
                        <w:szCs w:val="18"/>
                      </w:rPr>
                      <w:t>诉，案件移送公安机关处理。</w:t>
                    </w:r>
                  </w:p>
                </w:tc>
                <w:tc>
                  <w:tcPr>
                    <w:tcW w:w="808" w:type="dxa"/>
                  </w:tcPr>
                  <w:p>
                    <w:pPr>
                      <w:widowControl w:val="0"/>
                      <w:jc w:val="both"/>
                      <w:rPr>
                        <w:sz w:val="18"/>
                        <w:szCs w:val="18"/>
                      </w:rPr>
                    </w:pPr>
                    <w:r>
                      <w:rPr>
                        <w:sz w:val="18"/>
                        <w:szCs w:val="18"/>
                      </w:rPr>
                      <w:t>　</w:t>
                    </w:r>
                  </w:p>
                </w:tc>
              </w:tr>
            </w:sdtContent>
          </w:sdt>
          <w:sdt>
            <w:sdtPr>
              <w:rPr>
                <w:rFonts w:hint="eastAsia" w:ascii="Calibri" w:hAnsi="Calibri" w:eastAsiaTheme="minorEastAsia" w:cstheme="minorBidi"/>
                <w:kern w:val="2"/>
                <w:sz w:val="18"/>
                <w:szCs w:val="18"/>
              </w:rPr>
              <w:alias w:val="重大诉讼、仲裁事项"/>
              <w:tag w:val="_TUP_f252d4ec6fcd41908cebf11001f20989"/>
              <w:id w:val="6773021"/>
              <w:lock w:val="sdtLocked"/>
            </w:sdtPr>
            <w:sdtEndPr>
              <w:rPr>
                <w:rFonts w:hint="eastAsia"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widowControl w:val="0"/>
                      <w:jc w:val="both"/>
                      <w:rPr>
                        <w:sz w:val="18"/>
                        <w:szCs w:val="18"/>
                      </w:rPr>
                    </w:pPr>
                    <w:r>
                      <w:rPr>
                        <w:sz w:val="18"/>
                        <w:szCs w:val="18"/>
                      </w:rPr>
                      <w:t>南宁农村信用社</w:t>
                    </w:r>
                  </w:p>
                </w:tc>
                <w:tc>
                  <w:tcPr>
                    <w:tcW w:w="786" w:type="dxa"/>
                  </w:tcPr>
                  <w:p>
                    <w:pPr>
                      <w:widowControl w:val="0"/>
                      <w:jc w:val="both"/>
                      <w:rPr>
                        <w:sz w:val="18"/>
                        <w:szCs w:val="18"/>
                      </w:rPr>
                    </w:pPr>
                    <w:r>
                      <w:rPr>
                        <w:sz w:val="18"/>
                        <w:szCs w:val="18"/>
                      </w:rPr>
                      <w:t>广西天佑公司、吴璘等4人、柳钢股份公司</w:t>
                    </w:r>
                  </w:p>
                </w:tc>
                <w:tc>
                  <w:tcPr>
                    <w:tcW w:w="663" w:type="dxa"/>
                  </w:tcPr>
                  <w:p>
                    <w:pPr>
                      <w:widowControl w:val="0"/>
                      <w:jc w:val="both"/>
                      <w:rPr>
                        <w:sz w:val="18"/>
                        <w:szCs w:val="18"/>
                      </w:rPr>
                    </w:pPr>
                    <w:r>
                      <w:rPr>
                        <w:sz w:val="18"/>
                        <w:szCs w:val="18"/>
                      </w:rPr>
                      <w:t>无</w:t>
                    </w:r>
                  </w:p>
                </w:tc>
                <w:tc>
                  <w:tcPr>
                    <w:tcW w:w="708" w:type="dxa"/>
                  </w:tcPr>
                  <w:p>
                    <w:pPr>
                      <w:widowControl w:val="0"/>
                      <w:jc w:val="both"/>
                      <w:rPr>
                        <w:sz w:val="18"/>
                        <w:szCs w:val="18"/>
                      </w:rPr>
                    </w:pPr>
                    <w:r>
                      <w:rPr>
                        <w:sz w:val="18"/>
                        <w:szCs w:val="18"/>
                      </w:rPr>
                      <w:t>金融借款合同纠纷</w:t>
                    </w:r>
                  </w:p>
                </w:tc>
                <w:tc>
                  <w:tcPr>
                    <w:tcW w:w="1134" w:type="dxa"/>
                  </w:tcPr>
                  <w:p>
                    <w:pPr>
                      <w:widowControl w:val="0"/>
                      <w:jc w:val="both"/>
                      <w:rPr>
                        <w:sz w:val="18"/>
                        <w:szCs w:val="18"/>
                      </w:rPr>
                    </w:pPr>
                    <w:r>
                      <w:rPr>
                        <w:sz w:val="18"/>
                        <w:szCs w:val="18"/>
                      </w:rPr>
                      <w:t>南宁信用社诉称，广西天佑公司将其在柳钢股份公司应收账款质押给南宁信用社融资，融资到期，无法还款，要求柳钢支付应收账款</w:t>
                    </w:r>
                  </w:p>
                </w:tc>
                <w:tc>
                  <w:tcPr>
                    <w:tcW w:w="993" w:type="dxa"/>
                  </w:tcPr>
                  <w:p>
                    <w:pPr>
                      <w:widowControl w:val="0"/>
                      <w:jc w:val="right"/>
                      <w:rPr>
                        <w:sz w:val="18"/>
                        <w:szCs w:val="18"/>
                      </w:rPr>
                    </w:pPr>
                    <w:r>
                      <w:rPr>
                        <w:sz w:val="18"/>
                        <w:szCs w:val="18"/>
                      </w:rPr>
                      <w:t>2,381.4</w:t>
                    </w:r>
                  </w:p>
                </w:tc>
                <w:tc>
                  <w:tcPr>
                    <w:tcW w:w="850" w:type="dxa"/>
                  </w:tcPr>
                  <w:p>
                    <w:pPr>
                      <w:widowControl w:val="0"/>
                      <w:jc w:val="both"/>
                      <w:rPr>
                        <w:sz w:val="18"/>
                        <w:szCs w:val="18"/>
                      </w:rPr>
                    </w:pPr>
                    <w:r>
                      <w:rPr>
                        <w:sz w:val="18"/>
                        <w:szCs w:val="18"/>
                      </w:rPr>
                      <w:t>　</w:t>
                    </w:r>
                  </w:p>
                </w:tc>
                <w:tc>
                  <w:tcPr>
                    <w:tcW w:w="1418" w:type="dxa"/>
                  </w:tcPr>
                  <w:p>
                    <w:pPr>
                      <w:widowControl w:val="0"/>
                      <w:jc w:val="both"/>
                      <w:rPr>
                        <w:sz w:val="18"/>
                        <w:szCs w:val="18"/>
                      </w:rPr>
                    </w:pPr>
                    <w:r>
                      <w:rPr>
                        <w:rFonts w:hint="eastAsia"/>
                        <w:sz w:val="18"/>
                        <w:szCs w:val="18"/>
                      </w:rPr>
                      <w:t>已裁决</w:t>
                    </w:r>
                  </w:p>
                </w:tc>
                <w:tc>
                  <w:tcPr>
                    <w:tcW w:w="903" w:type="dxa"/>
                  </w:tcPr>
                  <w:p>
                    <w:pPr>
                      <w:widowControl w:val="0"/>
                      <w:jc w:val="both"/>
                      <w:rPr>
                        <w:sz w:val="18"/>
                        <w:szCs w:val="18"/>
                      </w:rPr>
                    </w:pPr>
                    <w:r>
                      <w:rPr>
                        <w:rFonts w:hint="eastAsia"/>
                        <w:sz w:val="18"/>
                        <w:szCs w:val="18"/>
                      </w:rPr>
                      <w:t>案件在南宁中院、南宁青秀区法院已裁决，认为本案有经济犯罪嫌疑，驳回南宁信用社的起</w:t>
                    </w:r>
                    <w:r>
                      <w:rPr>
                        <w:rFonts w:hint="eastAsia"/>
                        <w:color w:val="000000" w:themeColor="text1"/>
                        <w:sz w:val="18"/>
                        <w:szCs w:val="18"/>
                      </w:rPr>
                      <w:t>诉，案件移送公安机关处理。</w:t>
                    </w:r>
                  </w:p>
                </w:tc>
                <w:tc>
                  <w:tcPr>
                    <w:tcW w:w="808" w:type="dxa"/>
                  </w:tcPr>
                  <w:p>
                    <w:pPr>
                      <w:widowControl w:val="0"/>
                      <w:jc w:val="both"/>
                      <w:rPr>
                        <w:sz w:val="18"/>
                        <w:szCs w:val="18"/>
                      </w:rPr>
                    </w:pPr>
                    <w:r>
                      <w:rPr>
                        <w:sz w:val="18"/>
                        <w:szCs w:val="18"/>
                      </w:rPr>
                      <w:t>　</w:t>
                    </w:r>
                  </w:p>
                </w:tc>
              </w:tr>
            </w:sdtContent>
          </w:sdt>
          <w:sdt>
            <w:sdtPr>
              <w:rPr>
                <w:rFonts w:hint="eastAsia" w:ascii="Calibri" w:hAnsi="Calibri" w:eastAsiaTheme="minorEastAsia" w:cstheme="minorBidi"/>
                <w:kern w:val="2"/>
                <w:sz w:val="18"/>
                <w:szCs w:val="18"/>
              </w:rPr>
              <w:alias w:val="重大诉讼、仲裁事项"/>
              <w:tag w:val="_TUP_f252d4ec6fcd41908cebf11001f20989"/>
              <w:id w:val="6773022"/>
              <w:lock w:val="sdtLocked"/>
            </w:sdtPr>
            <w:sdtEndPr>
              <w:rPr>
                <w:rFonts w:hint="eastAsia"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widowControl w:val="0"/>
                      <w:jc w:val="both"/>
                      <w:rPr>
                        <w:sz w:val="18"/>
                        <w:szCs w:val="18"/>
                      </w:rPr>
                    </w:pPr>
                    <w:r>
                      <w:rPr>
                        <w:sz w:val="18"/>
                        <w:szCs w:val="18"/>
                      </w:rPr>
                      <w:t>南宁农村信用社</w:t>
                    </w:r>
                  </w:p>
                </w:tc>
                <w:tc>
                  <w:tcPr>
                    <w:tcW w:w="786" w:type="dxa"/>
                  </w:tcPr>
                  <w:p>
                    <w:pPr>
                      <w:widowControl w:val="0"/>
                      <w:jc w:val="both"/>
                      <w:rPr>
                        <w:sz w:val="18"/>
                        <w:szCs w:val="18"/>
                      </w:rPr>
                    </w:pPr>
                    <w:r>
                      <w:rPr>
                        <w:sz w:val="18"/>
                        <w:szCs w:val="18"/>
                      </w:rPr>
                      <w:t>广西盛钢公司、吴璘等4人、柳钢股份公司</w:t>
                    </w:r>
                  </w:p>
                </w:tc>
                <w:tc>
                  <w:tcPr>
                    <w:tcW w:w="663" w:type="dxa"/>
                  </w:tcPr>
                  <w:p>
                    <w:pPr>
                      <w:widowControl w:val="0"/>
                      <w:jc w:val="both"/>
                      <w:rPr>
                        <w:sz w:val="18"/>
                        <w:szCs w:val="18"/>
                      </w:rPr>
                    </w:pPr>
                    <w:r>
                      <w:rPr>
                        <w:sz w:val="18"/>
                        <w:szCs w:val="18"/>
                      </w:rPr>
                      <w:t>无</w:t>
                    </w:r>
                  </w:p>
                </w:tc>
                <w:tc>
                  <w:tcPr>
                    <w:tcW w:w="708" w:type="dxa"/>
                  </w:tcPr>
                  <w:p>
                    <w:pPr>
                      <w:widowControl w:val="0"/>
                      <w:jc w:val="both"/>
                      <w:rPr>
                        <w:sz w:val="18"/>
                        <w:szCs w:val="18"/>
                      </w:rPr>
                    </w:pPr>
                    <w:r>
                      <w:rPr>
                        <w:sz w:val="18"/>
                        <w:szCs w:val="18"/>
                      </w:rPr>
                      <w:t>金融借款合同纠纷</w:t>
                    </w:r>
                  </w:p>
                </w:tc>
                <w:tc>
                  <w:tcPr>
                    <w:tcW w:w="1134" w:type="dxa"/>
                  </w:tcPr>
                  <w:p>
                    <w:pPr>
                      <w:widowControl w:val="0"/>
                      <w:jc w:val="both"/>
                      <w:rPr>
                        <w:sz w:val="18"/>
                        <w:szCs w:val="18"/>
                      </w:rPr>
                    </w:pPr>
                    <w:r>
                      <w:rPr>
                        <w:sz w:val="18"/>
                        <w:szCs w:val="18"/>
                      </w:rPr>
                      <w:t>南宁信用社诉称，广西盛钢公司将其在柳钢股份公司应收账款质押给南宁信用社融资，融资到期，无法还款，要求柳钢支付应收账款</w:t>
                    </w:r>
                  </w:p>
                </w:tc>
                <w:tc>
                  <w:tcPr>
                    <w:tcW w:w="993" w:type="dxa"/>
                  </w:tcPr>
                  <w:p>
                    <w:pPr>
                      <w:widowControl w:val="0"/>
                      <w:jc w:val="right"/>
                      <w:rPr>
                        <w:sz w:val="18"/>
                        <w:szCs w:val="18"/>
                      </w:rPr>
                    </w:pPr>
                    <w:r>
                      <w:rPr>
                        <w:sz w:val="18"/>
                        <w:szCs w:val="18"/>
                      </w:rPr>
                      <w:t>4,195.4</w:t>
                    </w:r>
                  </w:p>
                </w:tc>
                <w:tc>
                  <w:tcPr>
                    <w:tcW w:w="850" w:type="dxa"/>
                  </w:tcPr>
                  <w:p>
                    <w:pPr>
                      <w:widowControl w:val="0"/>
                      <w:jc w:val="both"/>
                      <w:rPr>
                        <w:sz w:val="18"/>
                        <w:szCs w:val="18"/>
                      </w:rPr>
                    </w:pPr>
                    <w:r>
                      <w:rPr>
                        <w:sz w:val="18"/>
                        <w:szCs w:val="18"/>
                      </w:rPr>
                      <w:t>　</w:t>
                    </w:r>
                  </w:p>
                </w:tc>
                <w:tc>
                  <w:tcPr>
                    <w:tcW w:w="1418" w:type="dxa"/>
                  </w:tcPr>
                  <w:p>
                    <w:pPr>
                      <w:widowControl w:val="0"/>
                      <w:jc w:val="both"/>
                      <w:rPr>
                        <w:sz w:val="18"/>
                        <w:szCs w:val="18"/>
                      </w:rPr>
                    </w:pPr>
                    <w:r>
                      <w:rPr>
                        <w:rFonts w:hint="eastAsia"/>
                        <w:sz w:val="18"/>
                        <w:szCs w:val="18"/>
                      </w:rPr>
                      <w:t>已裁决</w:t>
                    </w:r>
                  </w:p>
                </w:tc>
                <w:tc>
                  <w:tcPr>
                    <w:tcW w:w="903" w:type="dxa"/>
                  </w:tcPr>
                  <w:p>
                    <w:pPr>
                      <w:widowControl w:val="0"/>
                      <w:jc w:val="both"/>
                      <w:rPr>
                        <w:sz w:val="18"/>
                        <w:szCs w:val="18"/>
                      </w:rPr>
                    </w:pPr>
                    <w:r>
                      <w:rPr>
                        <w:rFonts w:hint="eastAsia"/>
                        <w:sz w:val="18"/>
                        <w:szCs w:val="18"/>
                      </w:rPr>
                      <w:t>案件在南宁中院、南宁青秀区法院已裁决，认为本案有经济犯罪嫌疑，驳回南宁信用社的起</w:t>
                    </w:r>
                    <w:r>
                      <w:rPr>
                        <w:rFonts w:hint="eastAsia"/>
                        <w:color w:val="000000" w:themeColor="text1"/>
                        <w:sz w:val="18"/>
                        <w:szCs w:val="18"/>
                      </w:rPr>
                      <w:t>诉，案件移送公安机关处理。</w:t>
                    </w:r>
                  </w:p>
                </w:tc>
                <w:tc>
                  <w:tcPr>
                    <w:tcW w:w="808" w:type="dxa"/>
                  </w:tcPr>
                  <w:p>
                    <w:pPr>
                      <w:widowControl w:val="0"/>
                      <w:jc w:val="both"/>
                      <w:rPr>
                        <w:sz w:val="18"/>
                        <w:szCs w:val="18"/>
                      </w:rPr>
                    </w:pPr>
                    <w:r>
                      <w:rPr>
                        <w:sz w:val="18"/>
                        <w:szCs w:val="18"/>
                      </w:rPr>
                      <w:t>　</w:t>
                    </w:r>
                  </w:p>
                </w:tc>
              </w:tr>
            </w:sdtContent>
          </w:sdt>
          <w:sdt>
            <w:sdtPr>
              <w:rPr>
                <w:rFonts w:hint="eastAsia" w:ascii="Calibri" w:hAnsi="Calibri" w:eastAsiaTheme="minorEastAsia" w:cstheme="minorBidi"/>
                <w:kern w:val="2"/>
                <w:sz w:val="18"/>
                <w:szCs w:val="18"/>
              </w:rPr>
              <w:alias w:val="重大诉讼、仲裁事项"/>
              <w:tag w:val="_TUP_f252d4ec6fcd41908cebf11001f20989"/>
              <w:id w:val="6773023"/>
              <w:lock w:val="sdtLocked"/>
            </w:sdtPr>
            <w:sdtEndPr>
              <w:rPr>
                <w:rFonts w:hint="eastAsia"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widowControl w:val="0"/>
                      <w:jc w:val="both"/>
                      <w:rPr>
                        <w:sz w:val="18"/>
                        <w:szCs w:val="18"/>
                      </w:rPr>
                    </w:pPr>
                    <w:r>
                      <w:rPr>
                        <w:sz w:val="18"/>
                        <w:szCs w:val="18"/>
                      </w:rPr>
                      <w:t>工商银行衡阳分行</w:t>
                    </w:r>
                  </w:p>
                </w:tc>
                <w:tc>
                  <w:tcPr>
                    <w:tcW w:w="786" w:type="dxa"/>
                  </w:tcPr>
                  <w:p>
                    <w:pPr>
                      <w:widowControl w:val="0"/>
                      <w:jc w:val="both"/>
                      <w:rPr>
                        <w:sz w:val="18"/>
                        <w:szCs w:val="18"/>
                      </w:rPr>
                    </w:pPr>
                    <w:r>
                      <w:rPr>
                        <w:sz w:val="18"/>
                        <w:szCs w:val="18"/>
                      </w:rPr>
                      <w:t>湖南衡阳泽丰园公司</w:t>
                    </w:r>
                  </w:p>
                </w:tc>
                <w:tc>
                  <w:tcPr>
                    <w:tcW w:w="663" w:type="dxa"/>
                  </w:tcPr>
                  <w:p>
                    <w:pPr>
                      <w:widowControl w:val="0"/>
                      <w:jc w:val="both"/>
                      <w:rPr>
                        <w:sz w:val="18"/>
                        <w:szCs w:val="18"/>
                      </w:rPr>
                    </w:pPr>
                    <w:r>
                      <w:rPr>
                        <w:sz w:val="18"/>
                        <w:szCs w:val="18"/>
                      </w:rPr>
                      <w:t>柳钢瑞昱国贸公司柳钢股份</w:t>
                    </w:r>
                  </w:p>
                </w:tc>
                <w:tc>
                  <w:tcPr>
                    <w:tcW w:w="708" w:type="dxa"/>
                  </w:tcPr>
                  <w:p>
                    <w:pPr>
                      <w:widowControl w:val="0"/>
                      <w:jc w:val="both"/>
                      <w:rPr>
                        <w:sz w:val="18"/>
                        <w:szCs w:val="18"/>
                      </w:rPr>
                    </w:pPr>
                    <w:r>
                      <w:rPr>
                        <w:sz w:val="18"/>
                        <w:szCs w:val="18"/>
                      </w:rPr>
                      <w:t>金融借款合同纠纷</w:t>
                    </w:r>
                  </w:p>
                </w:tc>
                <w:tc>
                  <w:tcPr>
                    <w:tcW w:w="1134" w:type="dxa"/>
                  </w:tcPr>
                  <w:p>
                    <w:pPr>
                      <w:widowControl w:val="0"/>
                      <w:jc w:val="both"/>
                      <w:rPr>
                        <w:sz w:val="18"/>
                        <w:szCs w:val="18"/>
                      </w:rPr>
                    </w:pPr>
                    <w:r>
                      <w:rPr>
                        <w:sz w:val="18"/>
                        <w:szCs w:val="18"/>
                      </w:rPr>
                      <w:t>要求柳钢瑞昱国贸公司、柳钢股份向工商银行衡阳分行支付泽丰园公司的应收账款</w:t>
                    </w:r>
                  </w:p>
                </w:tc>
                <w:tc>
                  <w:tcPr>
                    <w:tcW w:w="993" w:type="dxa"/>
                  </w:tcPr>
                  <w:p>
                    <w:pPr>
                      <w:widowControl w:val="0"/>
                      <w:jc w:val="right"/>
                      <w:rPr>
                        <w:sz w:val="18"/>
                        <w:szCs w:val="18"/>
                      </w:rPr>
                    </w:pPr>
                    <w:r>
                      <w:rPr>
                        <w:sz w:val="18"/>
                        <w:szCs w:val="18"/>
                      </w:rPr>
                      <w:t>2,762.8</w:t>
                    </w:r>
                  </w:p>
                </w:tc>
                <w:tc>
                  <w:tcPr>
                    <w:tcW w:w="850" w:type="dxa"/>
                  </w:tcPr>
                  <w:p>
                    <w:pPr>
                      <w:widowControl w:val="0"/>
                      <w:jc w:val="both"/>
                      <w:rPr>
                        <w:sz w:val="18"/>
                        <w:szCs w:val="18"/>
                      </w:rPr>
                    </w:pPr>
                    <w:r>
                      <w:rPr>
                        <w:sz w:val="18"/>
                        <w:szCs w:val="18"/>
                      </w:rPr>
                      <w:t>　</w:t>
                    </w:r>
                  </w:p>
                </w:tc>
                <w:tc>
                  <w:tcPr>
                    <w:tcW w:w="1418" w:type="dxa"/>
                  </w:tcPr>
                  <w:p>
                    <w:pPr>
                      <w:widowControl w:val="0"/>
                      <w:jc w:val="both"/>
                      <w:rPr>
                        <w:sz w:val="18"/>
                        <w:szCs w:val="18"/>
                      </w:rPr>
                    </w:pPr>
                    <w:r>
                      <w:rPr>
                        <w:sz w:val="18"/>
                        <w:szCs w:val="18"/>
                      </w:rPr>
                      <w:t>一审</w:t>
                    </w:r>
                    <w:r>
                      <w:rPr>
                        <w:rFonts w:hint="eastAsia"/>
                        <w:sz w:val="18"/>
                        <w:szCs w:val="18"/>
                      </w:rPr>
                      <w:t>已判决</w:t>
                    </w:r>
                  </w:p>
                </w:tc>
                <w:tc>
                  <w:tcPr>
                    <w:tcW w:w="903" w:type="dxa"/>
                  </w:tcPr>
                  <w:p>
                    <w:pPr>
                      <w:widowControl w:val="0"/>
                      <w:jc w:val="both"/>
                      <w:rPr>
                        <w:sz w:val="18"/>
                        <w:szCs w:val="18"/>
                      </w:rPr>
                    </w:pPr>
                    <w:r>
                      <w:rPr>
                        <w:rFonts w:hint="eastAsia"/>
                        <w:sz w:val="18"/>
                        <w:szCs w:val="18"/>
                      </w:rPr>
                      <w:t>法院已驳回原告要求</w:t>
                    </w:r>
                    <w:r>
                      <w:rPr>
                        <w:sz w:val="18"/>
                        <w:szCs w:val="18"/>
                      </w:rPr>
                      <w:t>柳钢瑞昱国贸公司、柳钢股份向工商银行衡阳分行支付泽丰园公司的应收账款</w:t>
                    </w:r>
                    <w:r>
                      <w:rPr>
                        <w:rFonts w:hint="eastAsia"/>
                        <w:sz w:val="18"/>
                        <w:szCs w:val="18"/>
                      </w:rPr>
                      <w:t>的诉讼请求</w:t>
                    </w:r>
                  </w:p>
                </w:tc>
                <w:tc>
                  <w:tcPr>
                    <w:tcW w:w="808" w:type="dxa"/>
                  </w:tcPr>
                  <w:p>
                    <w:pPr>
                      <w:widowControl w:val="0"/>
                      <w:jc w:val="both"/>
                      <w:rPr>
                        <w:sz w:val="18"/>
                        <w:szCs w:val="18"/>
                      </w:rPr>
                    </w:pPr>
                  </w:p>
                </w:tc>
              </w:tr>
            </w:sdtContent>
          </w:sdt>
          <w:sdt>
            <w:sdtPr>
              <w:rPr>
                <w:rFonts w:hint="eastAsia" w:ascii="Calibri" w:hAnsi="Calibri" w:eastAsiaTheme="minorEastAsia" w:cstheme="minorBidi"/>
                <w:kern w:val="2"/>
                <w:sz w:val="18"/>
                <w:szCs w:val="18"/>
              </w:rPr>
              <w:alias w:val="重大诉讼、仲裁事项"/>
              <w:tag w:val="_TUP_f252d4ec6fcd41908cebf11001f20989"/>
              <w:id w:val="6773024"/>
              <w:lock w:val="sdtLocked"/>
            </w:sdtPr>
            <w:sdtEndPr>
              <w:rPr>
                <w:rFonts w:hint="eastAsia" w:ascii="Calibri" w:hAnsi="Calibr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widowControl w:val="0"/>
                      <w:jc w:val="both"/>
                      <w:rPr>
                        <w:sz w:val="18"/>
                        <w:szCs w:val="18"/>
                      </w:rPr>
                    </w:pPr>
                    <w:r>
                      <w:rPr>
                        <w:rFonts w:hint="eastAsia" w:ascii="Calibri" w:hAnsi="Calibri" w:eastAsiaTheme="minorEastAsia" w:cstheme="minorBidi"/>
                        <w:kern w:val="2"/>
                        <w:sz w:val="18"/>
                        <w:szCs w:val="18"/>
                      </w:rPr>
                      <w:t>柳钢股份</w:t>
                    </w:r>
                  </w:p>
                </w:tc>
                <w:tc>
                  <w:tcPr>
                    <w:tcW w:w="786" w:type="dxa"/>
                  </w:tcPr>
                  <w:p>
                    <w:pPr>
                      <w:widowControl w:val="0"/>
                      <w:jc w:val="both"/>
                      <w:rPr>
                        <w:sz w:val="18"/>
                        <w:szCs w:val="18"/>
                      </w:rPr>
                    </w:pPr>
                    <w:r>
                      <w:rPr>
                        <w:rFonts w:hint="eastAsia"/>
                        <w:sz w:val="18"/>
                        <w:szCs w:val="18"/>
                      </w:rPr>
                      <w:t>厦门拓兴成集团有限责任公司</w:t>
                    </w:r>
                  </w:p>
                </w:tc>
                <w:tc>
                  <w:tcPr>
                    <w:tcW w:w="663" w:type="dxa"/>
                  </w:tcPr>
                  <w:p>
                    <w:pPr>
                      <w:widowControl w:val="0"/>
                      <w:jc w:val="both"/>
                      <w:rPr>
                        <w:sz w:val="18"/>
                        <w:szCs w:val="18"/>
                      </w:rPr>
                    </w:pPr>
                    <w:r>
                      <w:rPr>
                        <w:rFonts w:hint="eastAsia"/>
                        <w:sz w:val="18"/>
                        <w:szCs w:val="18"/>
                      </w:rPr>
                      <w:t>无</w:t>
                    </w:r>
                  </w:p>
                </w:tc>
                <w:tc>
                  <w:tcPr>
                    <w:tcW w:w="708" w:type="dxa"/>
                  </w:tcPr>
                  <w:p>
                    <w:pPr>
                      <w:widowControl w:val="0"/>
                      <w:jc w:val="both"/>
                      <w:rPr>
                        <w:sz w:val="18"/>
                        <w:szCs w:val="18"/>
                      </w:rPr>
                    </w:pPr>
                    <w:r>
                      <w:rPr>
                        <w:sz w:val="18"/>
                        <w:szCs w:val="18"/>
                      </w:rPr>
                      <w:t>金融借款合同纠纷</w:t>
                    </w:r>
                  </w:p>
                </w:tc>
                <w:tc>
                  <w:tcPr>
                    <w:tcW w:w="1134" w:type="dxa"/>
                  </w:tcPr>
                  <w:p>
                    <w:pPr>
                      <w:widowControl w:val="0"/>
                      <w:jc w:val="both"/>
                      <w:rPr>
                        <w:sz w:val="18"/>
                        <w:szCs w:val="18"/>
                      </w:rPr>
                    </w:pPr>
                    <w:r>
                      <w:rPr>
                        <w:rFonts w:hint="eastAsia"/>
                        <w:sz w:val="18"/>
                        <w:szCs w:val="18"/>
                      </w:rPr>
                      <w:t>中信银行厦门分行起诉柳钢股份、厦门拓兴成公司的诉讼事项已由福建省高级人民法院已做出二审判决（详见公司2015-001,2016-024号公告）。柳钢股份向厦门拓兴成集团有限责任公司开展追偿，起诉至柳州市柳北区人民法院。</w:t>
                    </w:r>
                  </w:p>
                </w:tc>
                <w:tc>
                  <w:tcPr>
                    <w:tcW w:w="993" w:type="dxa"/>
                  </w:tcPr>
                  <w:p>
                    <w:pPr>
                      <w:widowControl w:val="0"/>
                      <w:jc w:val="right"/>
                      <w:rPr>
                        <w:sz w:val="18"/>
                        <w:szCs w:val="18"/>
                      </w:rPr>
                    </w:pPr>
                    <w:r>
                      <w:rPr>
                        <w:sz w:val="18"/>
                        <w:szCs w:val="18"/>
                      </w:rPr>
                      <w:t>1,637.64</w:t>
                    </w:r>
                  </w:p>
                </w:tc>
                <w:tc>
                  <w:tcPr>
                    <w:tcW w:w="850" w:type="dxa"/>
                  </w:tcPr>
                  <w:p>
                    <w:pPr>
                      <w:widowControl w:val="0"/>
                      <w:jc w:val="both"/>
                      <w:rPr>
                        <w:sz w:val="18"/>
                        <w:szCs w:val="18"/>
                      </w:rPr>
                    </w:pPr>
                  </w:p>
                </w:tc>
                <w:tc>
                  <w:tcPr>
                    <w:tcW w:w="1418" w:type="dxa"/>
                  </w:tcPr>
                  <w:p>
                    <w:pPr>
                      <w:widowControl w:val="0"/>
                      <w:jc w:val="both"/>
                      <w:rPr>
                        <w:sz w:val="18"/>
                        <w:szCs w:val="18"/>
                      </w:rPr>
                    </w:pPr>
                    <w:r>
                      <w:rPr>
                        <w:rFonts w:hint="eastAsia"/>
                        <w:sz w:val="18"/>
                        <w:szCs w:val="18"/>
                      </w:rPr>
                      <w:t>被告无正当理由未到庭参加诉讼，一审已判决</w:t>
                    </w:r>
                  </w:p>
                </w:tc>
                <w:tc>
                  <w:tcPr>
                    <w:tcW w:w="903" w:type="dxa"/>
                  </w:tcPr>
                  <w:p>
                    <w:pPr>
                      <w:widowControl w:val="0"/>
                      <w:jc w:val="both"/>
                      <w:rPr>
                        <w:sz w:val="18"/>
                        <w:szCs w:val="18"/>
                      </w:rPr>
                    </w:pPr>
                    <w:r>
                      <w:rPr>
                        <w:rFonts w:hint="eastAsia"/>
                        <w:sz w:val="18"/>
                        <w:szCs w:val="18"/>
                      </w:rPr>
                      <w:t>判令被告立即赔付1637.64万元及支付相应利息</w:t>
                    </w:r>
                  </w:p>
                </w:tc>
                <w:tc>
                  <w:tcPr>
                    <w:tcW w:w="808" w:type="dxa"/>
                  </w:tcPr>
                  <w:p>
                    <w:pPr>
                      <w:widowControl w:val="0"/>
                      <w:jc w:val="both"/>
                      <w:rPr>
                        <w:sz w:val="18"/>
                        <w:szCs w:val="18"/>
                      </w:rPr>
                    </w:pPr>
                  </w:p>
                </w:tc>
              </w:tr>
            </w:sdtContent>
          </w:sdt>
        </w:tbl>
        <w:p/>
      </w:sdtContent>
    </w:sdt>
    <w:sdt>
      <w:sdtPr>
        <w:rPr>
          <w:rFonts w:hint="eastAsia" w:ascii="宋体" w:hAnsi="宋体" w:cs="宋体"/>
          <w:b w:val="0"/>
          <w:bCs w:val="0"/>
          <w:kern w:val="0"/>
          <w:szCs w:val="21"/>
        </w:rPr>
        <w:alias w:val="模块:重大诉讼、仲裁事项的说明"/>
        <w:tag w:val="_SEC_d48e48b1d43741b4bf7cdf012e359c8e"/>
        <w:id w:val="6773028"/>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24"/>
            </w:numPr>
            <w:rPr>
              <w:szCs w:val="21"/>
            </w:rPr>
          </w:pPr>
          <w:r>
            <w:rPr>
              <w:szCs w:val="21"/>
            </w:rPr>
            <w:t>其他说明</w:t>
          </w:r>
        </w:p>
        <w:sdt>
          <w:sdtPr>
            <w:rPr>
              <w:rFonts w:hint="eastAsia"/>
              <w:szCs w:val="21"/>
            </w:rPr>
            <w:alias w:val="是否适用：重大诉讼、仲裁事项其他说明[双击切换]"/>
            <w:tag w:val="_GBC_08b4ed5586904b67b0e5328f25166753"/>
            <w:id w:val="677302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ascii="宋体" w:hAnsi="宋体" w:cs="宋体"/>
          <w:b w:val="0"/>
          <w:bCs w:val="0"/>
          <w:kern w:val="0"/>
          <w:szCs w:val="24"/>
        </w:rPr>
        <w:alias w:val="模块:上市公司及其董事、监事、高级管理人员、控股股东、实际控制人、..."/>
        <w:tag w:val="_SEC_ab4d5b987db046049f25c9a37c5fcef6"/>
        <w:id w:val="6773031"/>
        <w:lock w:val="sdtLocked"/>
        <w:placeholder>
          <w:docPart w:val="GBC22222222222222222222222222222"/>
        </w:placeholder>
      </w:sdtPr>
      <w:sdtEndPr>
        <w:rPr>
          <w:rFonts w:ascii="宋体" w:hAnsi="宋体" w:cs="宋体"/>
          <w:b w:val="0"/>
          <w:bCs w:val="0"/>
          <w:kern w:val="0"/>
          <w:szCs w:val="24"/>
        </w:rPr>
      </w:sdtEndPr>
      <w:sdtContent>
        <w:p>
          <w:pPr>
            <w:pStyle w:val="3"/>
            <w:numPr>
              <w:ilvl w:val="0"/>
              <w:numId w:val="19"/>
            </w:numPr>
          </w:pPr>
          <w:r>
            <w:t>上市公司及其董事、监事、高级管理人员、</w:t>
          </w:r>
          <w:r>
            <w:rPr>
              <w:rFonts w:hint="eastAsia"/>
            </w:rPr>
            <w:t>控股</w:t>
          </w:r>
          <w:r>
            <w:t>股东、实际控制人、收购人处罚及整改情况</w:t>
          </w:r>
        </w:p>
        <w:sdt>
          <w:sdtPr>
            <w:alias w:val="是否适用：上市公司及其董事、监事、高级管理人员、持有5%以上股份的股东、实际控制人、收购人处罚及整改情况[双击切换]"/>
            <w:tag w:val="_GBC_123762bb7717485a933e24f7a072833b"/>
            <w:id w:val="6773029"/>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sdt>
      <w:sdtPr>
        <w:rPr>
          <w:rFonts w:hint="eastAsia" w:ascii="宋体" w:hAnsi="宋体" w:cs="宋体"/>
          <w:b w:val="0"/>
          <w:bCs w:val="0"/>
          <w:kern w:val="0"/>
          <w:szCs w:val="24"/>
        </w:rPr>
        <w:alias w:val="模块:报告期内公司及其控股股东、实际控制人诚信状况的说明"/>
        <w:tag w:val="_SEC_a173054d21f9405fa83bf7d1309bfdc4"/>
        <w:id w:val="6773034"/>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19"/>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677303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报告期内公司及其控股股东、实际控制人诚信状况的说明"/>
            <w:tag w:val="_GBC_6638694178ac4812ad4db9fd5a458b9a"/>
            <w:id w:val="6773033"/>
            <w:lock w:val="sdtLocked"/>
            <w:placeholder>
              <w:docPart w:val="GBC22222222222222222222222222222"/>
            </w:placeholder>
          </w:sdtPr>
          <w:sdtEndPr>
            <w:rPr>
              <w:rFonts w:hint="eastAsia"/>
              <w:szCs w:val="21"/>
            </w:rPr>
          </w:sdtEndPr>
          <w:sdtContent>
            <w:p>
              <w:pPr>
                <w:rPr>
                  <w:szCs w:val="21"/>
                </w:rPr>
              </w:pPr>
              <w:r>
                <w:rPr>
                  <w:rFonts w:hint="eastAsia"/>
                </w:rPr>
                <w:t>报告期内，公司及公司实际控制人不存在未履行法院生效判决、所负大额债务到期未清偿等情况。</w:t>
              </w:r>
            </w:p>
          </w:sdtContent>
        </w:sdt>
      </w:sdtContent>
    </w:sdt>
    <w:p>
      <w:pPr>
        <w:rPr>
          <w:szCs w:val="21"/>
        </w:rPr>
      </w:pPr>
    </w:p>
    <w:p>
      <w:pPr>
        <w:pStyle w:val="3"/>
        <w:numPr>
          <w:ilvl w:val="0"/>
          <w:numId w:val="19"/>
        </w:numPr>
        <w:rPr>
          <w:color w:val="FF0000"/>
        </w:rPr>
      </w:pPr>
      <w:bookmarkStart w:id="28" w:name="_Toc342565948"/>
      <w:bookmarkStart w:id="29" w:name="_Toc342491956"/>
      <w:r>
        <w:rPr>
          <w:rFonts w:hint="eastAsia"/>
        </w:rPr>
        <w:t>公司股权激励计划、员工持股计划或其他员工激励措施的情况及其影响</w:t>
      </w:r>
      <w:bookmarkEnd w:id="28"/>
      <w:bookmarkEnd w:id="29"/>
    </w:p>
    <w:sdt>
      <w:sdtPr>
        <w:rPr>
          <w:rFonts w:hint="eastAsia" w:ascii="宋体" w:hAnsi="宋体" w:cs="宋体"/>
          <w:b w:val="0"/>
          <w:bCs w:val="0"/>
          <w:kern w:val="44"/>
          <w:sz w:val="24"/>
          <w:szCs w:val="21"/>
        </w:rPr>
        <w:alias w:val="模块:相关股权激励事项已在临时公告披露且后续实施无进展或变化"/>
        <w:tag w:val="_SEC_0fef5a8a9a1f47b5be982489f74109f3"/>
        <w:id w:val="6773036"/>
        <w:lock w:val="sdtLocked"/>
        <w:placeholder>
          <w:docPart w:val="GBC22222222222222222222222222222"/>
        </w:placeholder>
      </w:sdtPr>
      <w:sdtEndPr>
        <w:rPr>
          <w:rFonts w:hint="default" w:ascii="宋体" w:hAnsi="宋体" w:cs="宋体"/>
          <w:b w:val="0"/>
          <w:bCs w:val="0"/>
          <w:kern w:val="0"/>
          <w:sz w:val="21"/>
          <w:szCs w:val="24"/>
        </w:rPr>
      </w:sdtEndPr>
      <w:sdtContent>
        <w:p>
          <w:pPr>
            <w:pStyle w:val="4"/>
            <w:numPr>
              <w:ilvl w:val="1"/>
              <w:numId w:val="25"/>
            </w:numPr>
            <w:rPr>
              <w:kern w:val="44"/>
              <w:szCs w:val="21"/>
            </w:rPr>
          </w:pPr>
          <w:bookmarkStart w:id="30" w:name="_Toc342491957"/>
          <w:bookmarkStart w:id="31" w:name="_Toc342565949"/>
          <w:r>
            <w:rPr>
              <w:rFonts w:hint="eastAsia"/>
              <w:kern w:val="44"/>
              <w:szCs w:val="21"/>
            </w:rPr>
            <w:t>相关激励事项已在临时公告披露且后续实施无进展或变化的</w:t>
          </w:r>
          <w:bookmarkEnd w:id="30"/>
          <w:bookmarkEnd w:id="31"/>
        </w:p>
        <w:sdt>
          <w:sdtPr>
            <w:alias w:val="是否适用：相关激励事项已在临时公告披露且后续实施无进展或变化的[双击切换]"/>
            <w:tag w:val="_GBC_0af9dca2858d42619c57d7878f3a7792"/>
            <w:id w:val="6773035"/>
            <w:lock w:val="sdtLocked"/>
            <w:placeholder>
              <w:docPart w:val="GBC22222222222222222222222222222"/>
            </w:placeholder>
          </w:sdtPr>
          <w:sdtContent>
            <w:p>
              <w:r>
                <w:fldChar w:fldCharType="begin"/>
              </w:r>
              <w:r>
                <w:rPr>
                  <w:rFonts w:hint="eastAsia"/>
                </w:rPr>
                <w:instrText xml:space="preserve">MACROBUTTON  SnrToggleCheckbox □适用 </w:instrText>
              </w:r>
              <w: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4"/>
        <w:numPr>
          <w:ilvl w:val="1"/>
          <w:numId w:val="25"/>
        </w:numPr>
        <w:rPr>
          <w:kern w:val="44"/>
          <w:szCs w:val="21"/>
        </w:rPr>
      </w:pPr>
      <w:bookmarkStart w:id="32" w:name="_Toc342491958"/>
      <w:bookmarkStart w:id="33" w:name="_Toc342565950"/>
      <w:r>
        <w:rPr>
          <w:rFonts w:hint="eastAsia"/>
          <w:kern w:val="44"/>
          <w:szCs w:val="21"/>
        </w:rPr>
        <w:t>临时公告未披露或有后续进展的激励情况</w:t>
      </w:r>
    </w:p>
    <w:p>
      <w:r>
        <w:rPr>
          <w:rFonts w:hint="eastAsia"/>
        </w:rPr>
        <w:t>股权激励情况</w:t>
      </w:r>
    </w:p>
    <w:p>
      <w:pPr>
        <w:rPr>
          <w:szCs w:val="21"/>
        </w:rPr>
      </w:pPr>
      <w:sdt>
        <w:sdtPr>
          <w:alias w:val="是否适用：股权激励情况[双击切换]"/>
          <w:tag w:val="_GBC_002ad948ce1449c2a805bfbb132b2202"/>
          <w:id w:val="6773037"/>
          <w:lock w:val="sdtContentLocked"/>
          <w:placeholder>
            <w:docPart w:val="GBC22222222222222222222222222222"/>
          </w:placeholder>
        </w:sdtPr>
        <w:sdtContent>
          <w:r>
            <w:fldChar w:fldCharType="begin"/>
          </w:r>
          <w:r>
            <w:instrText xml:space="preserve">MACROBUTTON  SnrToggleCheckbox □适用 </w:instrText>
          </w:r>
          <w:r>
            <w:fldChar w:fldCharType="end"/>
          </w:r>
          <w:r>
            <w:rPr>
              <w:szCs w:val="21"/>
            </w:rPr>
            <w:fldChar w:fldCharType="begin"/>
          </w:r>
          <w:r>
            <w:rPr>
              <w:szCs w:val="21"/>
            </w:rPr>
            <w:instrText xml:space="preserve"> MACROBUTTON  SnrToggleCheckbox √不适用 </w:instrText>
          </w:r>
          <w:r>
            <w:rPr>
              <w:szCs w:val="21"/>
            </w:rPr>
            <w:fldChar w:fldCharType="end"/>
          </w:r>
          <w:bookmarkEnd w:id="32"/>
          <w:bookmarkEnd w:id="33"/>
        </w:sdtContent>
      </w:sdt>
    </w:p>
    <w:sdt>
      <w:sdtPr>
        <w:rPr>
          <w:rFonts w:hint="eastAsia"/>
          <w:szCs w:val="21"/>
        </w:rPr>
        <w:alias w:val="模块:其他说明  "/>
        <w:tag w:val="_SEC_12c50bf247d34661bdbc91376a5f0abc"/>
        <w:id w:val="6773040"/>
        <w:lock w:val="sdtLocked"/>
        <w:placeholder>
          <w:docPart w:val="GBC22222222222222222222222222222"/>
        </w:placeholder>
      </w:sdtPr>
      <w:sdtEndPr>
        <w:rPr>
          <w:rFonts w:hint="default"/>
          <w:szCs w:val="21"/>
        </w:rPr>
      </w:sdtEndPr>
      <w:sdtContent>
        <w:p>
          <w:pPr>
            <w:rPr>
              <w:szCs w:val="21"/>
            </w:rPr>
          </w:pPr>
        </w:p>
        <w:p>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6773039"/>
            <w:lock w:val="sdtLocked"/>
            <w:placeholder>
              <w:docPart w:val="GBC22222222222222222222222222222"/>
            </w:placeholder>
          </w:sdtPr>
          <w:sdtEndPr>
            <w:rPr>
              <w:rFonts w:hint="eastAsia"/>
              <w:szCs w:val="21"/>
            </w:rPr>
          </w:sdtEndPr>
          <w:sdtContent>
            <w:p>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bCs/>
          <w:szCs w:val="21"/>
        </w:rPr>
        <w:alias w:val="模块:员工持股计划情况"/>
        <w:tag w:val="_SEC_e76ced04f0774d5494f667355c3809ba"/>
        <w:id w:val="6773042"/>
        <w:lock w:val="sdtLocked"/>
        <w:placeholder>
          <w:docPart w:val="GBC22222222222222222222222222222"/>
        </w:placeholder>
      </w:sdtPr>
      <w:sdtEndPr>
        <w:rPr>
          <w:rFonts w:hint="eastAsia"/>
          <w:bCs/>
          <w:szCs w:val="21"/>
        </w:rPr>
      </w:sdtEndPr>
      <w:sdtContent>
        <w:p>
          <w:pPr>
            <w:rPr>
              <w:bCs/>
              <w:szCs w:val="21"/>
            </w:rPr>
          </w:pPr>
        </w:p>
        <w:p>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6773041"/>
            <w:lock w:val="sdtLocked"/>
            <w:placeholder>
              <w:docPart w:val="GBC22222222222222222222222222222"/>
            </w:placeholder>
          </w:sdtPr>
          <w:sdtEndPr>
            <w:rPr>
              <w:rFonts w:hint="eastAsia"/>
              <w:bCs/>
              <w:szCs w:val="21"/>
            </w:rPr>
          </w:sdtEndPr>
          <w:sdtContent>
            <w:p>
              <w:pPr>
                <w:rPr>
                  <w:bCs/>
                  <w:szCs w:val="21"/>
                </w:rPr>
              </w:pPr>
              <w:r>
                <w:rPr>
                  <w:bCs/>
                  <w:szCs w:val="21"/>
                </w:rPr>
                <w:fldChar w:fldCharType="begin"/>
              </w:r>
              <w:r>
                <w:rPr>
                  <w:rFonts w:hint="eastAsia"/>
                  <w:bCs/>
                  <w:szCs w:val="21"/>
                </w:rPr>
                <w:instrText xml:space="preserve">MACROBUTTON  SnrToggleCheckbox □适用 </w:instrText>
              </w:r>
              <w:r>
                <w:rPr>
                  <w:bCs/>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bCs/>
          <w:szCs w:val="21"/>
        </w:rPr>
        <w:alias w:val="模块:其他激励措施"/>
        <w:tag w:val="_SEC_614d59c9502f4f76b99b0f6a5227009b"/>
        <w:id w:val="6773044"/>
        <w:lock w:val="sdtLocked"/>
        <w:placeholder>
          <w:docPart w:val="GBC22222222222222222222222222222"/>
        </w:placeholder>
      </w:sdtPr>
      <w:sdtEndPr>
        <w:rPr>
          <w:rFonts w:hint="eastAsia"/>
          <w:bCs/>
          <w:szCs w:val="21"/>
        </w:rPr>
      </w:sdtEndPr>
      <w:sdtContent>
        <w:p>
          <w:pPr>
            <w:rPr>
              <w:bCs/>
              <w:szCs w:val="21"/>
            </w:rPr>
          </w:pPr>
        </w:p>
        <w:p>
          <w:pPr>
            <w:rPr>
              <w:bCs/>
              <w:szCs w:val="21"/>
            </w:rPr>
          </w:pPr>
          <w:r>
            <w:rPr>
              <w:rFonts w:hint="eastAsia"/>
              <w:bCs/>
              <w:szCs w:val="21"/>
            </w:rPr>
            <w:t>其他激励措施</w:t>
          </w:r>
        </w:p>
        <w:sdt>
          <w:sdtPr>
            <w:rPr>
              <w:szCs w:val="21"/>
            </w:rPr>
            <w:alias w:val="是否适用：其他激励措施[双击切换]"/>
            <w:tag w:val="_GBC_1273f753309d4658962c7982b10fa010"/>
            <w:id w:val="6773043"/>
            <w:lock w:val="sdtLocked"/>
            <w:placeholder>
              <w:docPart w:val="GBC22222222222222222222222222222"/>
            </w:placeholder>
          </w:sdtPr>
          <w:sdtEndPr>
            <w:rPr>
              <w:szCs w:val="21"/>
            </w:rPr>
          </w:sdtEndPr>
          <w:sdtContent>
            <w:p>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3"/>
        <w:numPr>
          <w:ilvl w:val="0"/>
          <w:numId w:val="19"/>
        </w:numPr>
      </w:pPr>
      <w:r>
        <w:rPr>
          <w:rFonts w:hint="eastAsia"/>
        </w:rPr>
        <w:t>重大关联交易</w:t>
      </w:r>
    </w:p>
    <w:p>
      <w:pPr>
        <w:pStyle w:val="4"/>
        <w:numPr>
          <w:ilvl w:val="2"/>
          <w:numId w:val="5"/>
        </w:numPr>
        <w:rPr>
          <w:szCs w:val="21"/>
        </w:rPr>
      </w:pPr>
      <w:bookmarkStart w:id="34" w:name="_Toc342491961"/>
      <w:bookmarkStart w:id="35" w:name="_Toc342565953"/>
      <w:r>
        <w:rPr>
          <w:rFonts w:hint="eastAsia"/>
          <w:szCs w:val="21"/>
        </w:rPr>
        <w:t>与日常经营相关的关联交易</w:t>
      </w:r>
      <w:bookmarkEnd w:id="34"/>
      <w:bookmarkEnd w:id="35"/>
    </w:p>
    <w:sdt>
      <w:sdtPr>
        <w:rPr>
          <w:rFonts w:ascii="Calibri" w:hAnsi="Calibri" w:cs="宋体"/>
          <w:b w:val="0"/>
          <w:bCs w:val="0"/>
          <w:kern w:val="0"/>
          <w:sz w:val="24"/>
          <w:szCs w:val="21"/>
        </w:rPr>
        <w:alias w:val="模块:已在临时公告披露且后续实施无进展或变化的事项"/>
        <w:tag w:val="_SEC_9b2b3d5bc53a45ad87e57bafa9cc658c"/>
        <w:id w:val="6773046"/>
        <w:lock w:val="sdtLocked"/>
        <w:placeholder>
          <w:docPart w:val="GBC22222222222222222222222222222"/>
        </w:placeholder>
      </w:sdtPr>
      <w:sdtEndPr>
        <w:rPr>
          <w:rFonts w:ascii="宋体" w:hAnsi="宋体" w:cs="宋体"/>
          <w:b w:val="0"/>
          <w:bCs w:val="0"/>
          <w:kern w:val="0"/>
          <w:sz w:val="21"/>
          <w:szCs w:val="24"/>
        </w:rPr>
      </w:sdtEndPr>
      <w:sdtContent>
        <w:p>
          <w:pPr>
            <w:pStyle w:val="5"/>
            <w:numPr>
              <w:ilvl w:val="2"/>
              <w:numId w:val="26"/>
            </w:numPr>
            <w:rPr>
              <w:szCs w:val="21"/>
            </w:rPr>
          </w:pPr>
          <w:r>
            <w:rPr>
              <w:szCs w:val="21"/>
            </w:rP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6773045"/>
            <w:lock w:val="sdtLocked"/>
            <w:placeholder>
              <w:docPart w:val="GBC22222222222222222222222222222"/>
            </w:placeholder>
          </w:sdtPr>
          <w:sdtContent>
            <w:p>
              <w:r>
                <w:fldChar w:fldCharType="begin"/>
              </w:r>
              <w:r>
                <w:rPr>
                  <w:rFonts w:hint="eastAsia"/>
                </w:rPr>
                <w:instrText xml:space="preserve">MACROBUTTON  SnrToggleCheckbox □适用 </w:instrText>
              </w:r>
              <w: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ascii="Calibri" w:hAnsi="Calibri" w:cs="宋体"/>
          <w:b w:val="0"/>
          <w:bCs w:val="0"/>
          <w:kern w:val="0"/>
          <w:sz w:val="24"/>
          <w:szCs w:val="21"/>
        </w:rPr>
        <w:alias w:val="模块:已在临时公告披露，但有后续实施的进展或变化的事项"/>
        <w:tag w:val="_SEC_c2c70cd3f9974feb98c2265569f9b212"/>
        <w:id w:val="6773049"/>
        <w:lock w:val="sdtLocked"/>
        <w:placeholder>
          <w:docPart w:val="GBC22222222222222222222222222222"/>
        </w:placeholder>
      </w:sdtPr>
      <w:sdtEndPr>
        <w:rPr>
          <w:rFonts w:hint="eastAsia" w:ascii="宋体" w:hAnsi="宋体" w:cs="宋体"/>
          <w:b w:val="0"/>
          <w:bCs w:val="0"/>
          <w:kern w:val="0"/>
          <w:sz w:val="21"/>
          <w:szCs w:val="21"/>
        </w:rPr>
      </w:sdtEndPr>
      <w:sdtContent>
        <w:p>
          <w:pPr>
            <w:pStyle w:val="5"/>
            <w:numPr>
              <w:ilvl w:val="2"/>
              <w:numId w:val="26"/>
            </w:numPr>
            <w:rPr>
              <w:szCs w:val="21"/>
            </w:rPr>
          </w:pPr>
          <w:r>
            <w:rPr>
              <w:szCs w:val="21"/>
            </w:rP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6773047"/>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与日常经营相关的关联交易事项已在临时报告披露，后续实施的进展或变化"/>
            <w:tag w:val="_GBC_5fbfc287aede44a486960ae219233887"/>
            <w:id w:val="6773048"/>
            <w:lock w:val="sdtLocked"/>
          </w:sdtPr>
          <w:sdtEndPr>
            <w:rPr>
              <w:rFonts w:hint="eastAsia"/>
              <w:szCs w:val="21"/>
            </w:rPr>
          </w:sdtEndPr>
          <w:sdtContent>
            <w:p>
              <w:pPr>
                <w:rPr>
                  <w:szCs w:val="21"/>
                </w:rPr>
              </w:pPr>
            </w:p>
            <w:tbl>
              <w:tblPr>
                <w:tblStyle w:val="40"/>
                <w:tblW w:w="10221" w:type="dxa"/>
                <w:tblInd w:w="-318" w:type="dxa"/>
                <w:tblLayout w:type="fixed"/>
                <w:tblCellMar>
                  <w:top w:w="0" w:type="dxa"/>
                  <w:left w:w="108" w:type="dxa"/>
                  <w:bottom w:w="0" w:type="dxa"/>
                  <w:right w:w="108" w:type="dxa"/>
                </w:tblCellMar>
              </w:tblPr>
              <w:tblGrid>
                <w:gridCol w:w="2553"/>
                <w:gridCol w:w="1342"/>
                <w:gridCol w:w="960"/>
                <w:gridCol w:w="1108"/>
                <w:gridCol w:w="900"/>
                <w:gridCol w:w="1222"/>
                <w:gridCol w:w="915"/>
                <w:gridCol w:w="1221"/>
              </w:tblGrid>
              <w:tr>
                <w:tblPrEx>
                  <w:tblLayout w:type="fixed"/>
                  <w:tblCellMar>
                    <w:top w:w="0" w:type="dxa"/>
                    <w:left w:w="108" w:type="dxa"/>
                    <w:bottom w:w="0" w:type="dxa"/>
                    <w:right w:w="108" w:type="dxa"/>
                  </w:tblCellMar>
                </w:tblPrEx>
                <w:trPr>
                  <w:trHeight w:val="405" w:hRule="atLeast"/>
                </w:trPr>
                <w:tc>
                  <w:tcPr>
                    <w:tcW w:w="2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关联关系</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关联交易类型</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关联交易内容</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关联交易定价原则</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关联交易金额（万元）</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占同类交易金额的比例(%)</w:t>
                    </w:r>
                  </w:p>
                </w:tc>
                <w:tc>
                  <w:tcPr>
                    <w:tcW w:w="12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关联交易结算方式</w:t>
                    </w:r>
                  </w:p>
                </w:tc>
              </w:tr>
              <w:tr>
                <w:tblPrEx>
                  <w:tblLayout w:type="fixed"/>
                  <w:tblCellMar>
                    <w:top w:w="0" w:type="dxa"/>
                    <w:left w:w="108" w:type="dxa"/>
                    <w:bottom w:w="0" w:type="dxa"/>
                    <w:right w:w="108" w:type="dxa"/>
                  </w:tblCellMar>
                </w:tblPrEx>
                <w:trPr>
                  <w:trHeight w:val="255" w:hRule="atLeast"/>
                </w:trPr>
                <w:tc>
                  <w:tcPr>
                    <w:tcW w:w="2553"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1342"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生产用水</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协议价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9,761.40</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100.00</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生产用电</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157,491.35</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79.92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煤气</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协议价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77,287.73</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100.00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氧气</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协议价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48,011.81</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100.00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其他气体</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协议价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49,541.74</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100.00</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耐火材料</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32,641.52</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61.61</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接受劳务</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劳务</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协议价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5,975.51</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6.67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备件材料</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14,808.73</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33.58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设备</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10,464.93</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23.73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废钢</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18,070.10</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9.01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柳州兴钢建筑安装工程处</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母公司的全资子公司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接受劳务</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劳务</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themeColor="text1"/>
                        <w:sz w:val="18"/>
                        <w:szCs w:val="18"/>
                      </w:rPr>
                    </w:pPr>
                    <w:r>
                      <w:rPr>
                        <w:rFonts w:hint="eastAsia"/>
                        <w:color w:val="000000" w:themeColor="text1"/>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13,072.82</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14.60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65"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柳州市运天运运输有限公司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接受劳务</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劳务</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themeColor="text1"/>
                        <w:sz w:val="18"/>
                        <w:szCs w:val="18"/>
                      </w:rPr>
                    </w:pPr>
                    <w:r>
                      <w:rPr>
                        <w:rFonts w:hint="eastAsia"/>
                        <w:color w:val="000000" w:themeColor="text1"/>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12,668.78</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14.15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志港实业有限公司</w:t>
                    </w:r>
                  </w:p>
                </w:tc>
                <w:tc>
                  <w:tcPr>
                    <w:tcW w:w="1342" w:type="dxa"/>
                    <w:tcBorders>
                      <w:top w:val="nil"/>
                      <w:left w:val="nil"/>
                      <w:bottom w:val="single" w:color="auto" w:sz="4" w:space="0"/>
                      <w:right w:val="single" w:color="auto" w:sz="4" w:space="0"/>
                    </w:tcBorders>
                    <w:shd w:val="clear" w:color="auto" w:fill="auto"/>
                    <w:vAlign w:val="center"/>
                  </w:tcPr>
                  <w:p>
                    <w:pPr>
                      <w:rPr>
                        <w:color w:val="FF0000"/>
                        <w:sz w:val="18"/>
                        <w:szCs w:val="18"/>
                      </w:rPr>
                    </w:pPr>
                    <w:r>
                      <w:rPr>
                        <w:rFonts w:hint="eastAsia"/>
                        <w:sz w:val="18"/>
                        <w:szCs w:val="18"/>
                      </w:rPr>
                      <w:t>母公司的全资子公司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矿石、煤</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337,848.26</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13.46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信用证</w:t>
                    </w:r>
                  </w:p>
                </w:tc>
              </w:tr>
              <w:tr>
                <w:tblPrEx>
                  <w:tblLayout w:type="fixed"/>
                  <w:tblCellMar>
                    <w:top w:w="0" w:type="dxa"/>
                    <w:left w:w="108" w:type="dxa"/>
                    <w:bottom w:w="0" w:type="dxa"/>
                    <w:right w:w="108" w:type="dxa"/>
                  </w:tblCellMar>
                </w:tblPrEx>
                <w:trPr>
                  <w:trHeight w:val="555"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广西柳钢国际贸易有限公司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矿石、煤</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192,153.59</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7.65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630"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广西柳钢资产经营管理有限公司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母公司的全资子公司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煤碳</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8,355.05</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0.33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540"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柳州兴远劳务有限公司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8"/>
                        <w:szCs w:val="18"/>
                        <w:lang w:eastAsia="zh-CN"/>
                      </w:rPr>
                    </w:pPr>
                    <w:r>
                      <w:rPr>
                        <w:rFonts w:hint="eastAsia"/>
                        <w:color w:val="000000"/>
                        <w:sz w:val="18"/>
                        <w:szCs w:val="18"/>
                        <w:lang w:eastAsia="zh-CN"/>
                      </w:rPr>
                      <w:t>接受劳务</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劳务、装卸费</w:t>
                    </w:r>
                  </w:p>
                </w:tc>
                <w:tc>
                  <w:tcPr>
                    <w:tcW w:w="900" w:type="dxa"/>
                    <w:tcBorders>
                      <w:top w:val="nil"/>
                      <w:left w:val="nil"/>
                      <w:bottom w:val="single" w:color="auto" w:sz="4" w:space="0"/>
                      <w:right w:val="single" w:color="auto" w:sz="4" w:space="0"/>
                    </w:tcBorders>
                    <w:shd w:val="clear" w:color="auto" w:fill="auto"/>
                    <w:vAlign w:val="center"/>
                  </w:tcPr>
                  <w:p>
                    <w:pPr>
                      <w:rPr>
                        <w:color w:val="000000" w:themeColor="text1"/>
                        <w:sz w:val="20"/>
                        <w:szCs w:val="20"/>
                      </w:rPr>
                    </w:pPr>
                    <w:r>
                      <w:rPr>
                        <w:rFonts w:hint="eastAsia"/>
                        <w:color w:val="000000" w:themeColor="text1"/>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olor w:val="000000" w:themeColor="text1"/>
                        <w:sz w:val="18"/>
                        <w:szCs w:val="18"/>
                      </w:rPr>
                    </w:pPr>
                    <w:r>
                      <w:rPr>
                        <w:rFonts w:ascii="Arial Narrow" w:hAnsi="Arial Narrow"/>
                        <w:color w:val="000000" w:themeColor="text1"/>
                        <w:sz w:val="18"/>
                        <w:szCs w:val="18"/>
                      </w:rPr>
                      <w:t>7,732.09</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8.64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555"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柳州市环源利环境资源技术开发有限公司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购买商品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废渣、装卸</w:t>
                    </w:r>
                  </w:p>
                </w:tc>
                <w:tc>
                  <w:tcPr>
                    <w:tcW w:w="900" w:type="dxa"/>
                    <w:tcBorders>
                      <w:top w:val="nil"/>
                      <w:left w:val="nil"/>
                      <w:bottom w:val="single" w:color="auto" w:sz="4" w:space="0"/>
                      <w:right w:val="single" w:color="auto" w:sz="4" w:space="0"/>
                    </w:tcBorders>
                    <w:shd w:val="clear" w:color="auto" w:fill="auto"/>
                    <w:vAlign w:val="center"/>
                  </w:tcPr>
                  <w:p>
                    <w:pPr>
                      <w:rPr>
                        <w:color w:val="000000" w:themeColor="text1"/>
                        <w:sz w:val="20"/>
                        <w:szCs w:val="20"/>
                      </w:rPr>
                    </w:pPr>
                    <w:r>
                      <w:rPr>
                        <w:rFonts w:hint="eastAsia"/>
                        <w:color w:val="000000" w:themeColor="text1"/>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olor w:val="000000" w:themeColor="text1"/>
                        <w:sz w:val="18"/>
                        <w:szCs w:val="18"/>
                      </w:rPr>
                    </w:pPr>
                    <w:r>
                      <w:rPr>
                        <w:rFonts w:ascii="Arial Narrow" w:hAnsi="Arial Narrow"/>
                        <w:color w:val="000000" w:themeColor="text1"/>
                        <w:sz w:val="18"/>
                        <w:szCs w:val="18"/>
                      </w:rPr>
                      <w:t>9,519.44</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10.63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销售商品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煤气</w:t>
                    </w:r>
                  </w:p>
                </w:tc>
                <w:tc>
                  <w:tcPr>
                    <w:tcW w:w="900" w:type="dxa"/>
                    <w:tcBorders>
                      <w:top w:val="nil"/>
                      <w:left w:val="nil"/>
                      <w:bottom w:val="single" w:color="auto" w:sz="4" w:space="0"/>
                      <w:right w:val="single" w:color="auto" w:sz="4" w:space="0"/>
                    </w:tcBorders>
                    <w:shd w:val="clear" w:color="auto" w:fill="auto"/>
                    <w:vAlign w:val="center"/>
                  </w:tcPr>
                  <w:p>
                    <w:pPr>
                      <w:rPr>
                        <w:color w:val="000000" w:themeColor="text1"/>
                        <w:sz w:val="20"/>
                        <w:szCs w:val="20"/>
                      </w:rPr>
                    </w:pPr>
                    <w:r>
                      <w:rPr>
                        <w:rFonts w:hint="eastAsia"/>
                        <w:color w:val="000000" w:themeColor="text1"/>
                        <w:sz w:val="20"/>
                        <w:szCs w:val="20"/>
                      </w:rPr>
                      <w:t>协议价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olor w:val="000000" w:themeColor="text1"/>
                        <w:sz w:val="18"/>
                        <w:szCs w:val="18"/>
                      </w:rPr>
                    </w:pPr>
                    <w:r>
                      <w:rPr>
                        <w:rFonts w:ascii="Arial Narrow" w:hAnsi="Arial Narrow"/>
                        <w:color w:val="000000" w:themeColor="text1"/>
                        <w:sz w:val="18"/>
                        <w:szCs w:val="18"/>
                      </w:rPr>
                      <w:t>270,295.64</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100.00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销售商品</w:t>
                    </w:r>
                  </w:p>
                </w:tc>
                <w:tc>
                  <w:tcPr>
                    <w:tcW w:w="110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TRT</w:t>
                    </w:r>
                    <w:r>
                      <w:rPr>
                        <w:rFonts w:hint="eastAsia" w:cs="Times New Roman"/>
                        <w:sz w:val="18"/>
                        <w:szCs w:val="18"/>
                      </w:rPr>
                      <w:t>发电</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themeColor="text1"/>
                        <w:sz w:val="18"/>
                        <w:szCs w:val="18"/>
                      </w:rPr>
                    </w:pPr>
                    <w:r>
                      <w:rPr>
                        <w:rFonts w:hint="eastAsia"/>
                        <w:color w:val="000000" w:themeColor="text1"/>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olor w:val="000000" w:themeColor="text1"/>
                        <w:sz w:val="18"/>
                        <w:szCs w:val="18"/>
                      </w:rPr>
                    </w:pPr>
                    <w:r>
                      <w:rPr>
                        <w:rFonts w:ascii="Arial Narrow" w:hAnsi="Arial Narrow"/>
                        <w:color w:val="000000" w:themeColor="text1"/>
                        <w:sz w:val="18"/>
                        <w:szCs w:val="18"/>
                      </w:rPr>
                      <w:t>9,046.99</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100.00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销售商品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辅料</w:t>
                    </w:r>
                  </w:p>
                </w:tc>
                <w:tc>
                  <w:tcPr>
                    <w:tcW w:w="900" w:type="dxa"/>
                    <w:tcBorders>
                      <w:top w:val="nil"/>
                      <w:left w:val="nil"/>
                      <w:bottom w:val="single" w:color="auto" w:sz="4" w:space="0"/>
                      <w:right w:val="single" w:color="auto" w:sz="4" w:space="0"/>
                    </w:tcBorders>
                    <w:shd w:val="clear" w:color="auto" w:fill="auto"/>
                    <w:vAlign w:val="center"/>
                  </w:tcPr>
                  <w:p>
                    <w:pPr>
                      <w:rPr>
                        <w:color w:val="000000" w:themeColor="text1"/>
                        <w:sz w:val="20"/>
                        <w:szCs w:val="20"/>
                      </w:rPr>
                    </w:pPr>
                    <w:r>
                      <w:rPr>
                        <w:rFonts w:hint="eastAsia"/>
                        <w:color w:val="000000" w:themeColor="text1"/>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olor w:val="000000" w:themeColor="text1"/>
                        <w:sz w:val="18"/>
                        <w:szCs w:val="18"/>
                      </w:rPr>
                    </w:pPr>
                    <w:r>
                      <w:rPr>
                        <w:rFonts w:ascii="Arial Narrow" w:hAnsi="Arial Narrow"/>
                        <w:color w:val="000000" w:themeColor="text1"/>
                        <w:sz w:val="18"/>
                        <w:szCs w:val="18"/>
                      </w:rPr>
                      <w:t>20,162.29</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74.28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销售商品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蒸汽</w:t>
                    </w:r>
                  </w:p>
                </w:tc>
                <w:tc>
                  <w:tcPr>
                    <w:tcW w:w="900"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协议价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25,595.52</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100.00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广西柳州钢铁集团有限公司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销售商品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钢材</w:t>
                    </w:r>
                  </w:p>
                </w:tc>
                <w:tc>
                  <w:tcPr>
                    <w:tcW w:w="900" w:type="dxa"/>
                    <w:tcBorders>
                      <w:top w:val="nil"/>
                      <w:left w:val="nil"/>
                      <w:bottom w:val="single" w:color="auto" w:sz="4" w:space="0"/>
                      <w:right w:val="single" w:color="auto" w:sz="4" w:space="0"/>
                    </w:tcBorders>
                    <w:shd w:val="clear" w:color="auto" w:fill="auto"/>
                    <w:vAlign w:val="center"/>
                  </w:tcPr>
                  <w:p>
                    <w:pPr>
                      <w:jc w:val="both"/>
                      <w:rPr>
                        <w:color w:val="000000"/>
                        <w:sz w:val="18"/>
                        <w:szCs w:val="18"/>
                      </w:rPr>
                    </w:pPr>
                    <w:r>
                      <w:rPr>
                        <w:rFonts w:hint="eastAsia"/>
                        <w:color w:val="000000"/>
                        <w:sz w:val="18"/>
                        <w:szCs w:val="18"/>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81,324.87</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3.46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柳州市品成金属材料有限公司</w:t>
                    </w:r>
                  </w:p>
                </w:tc>
                <w:tc>
                  <w:tcPr>
                    <w:tcW w:w="1342" w:type="dxa"/>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其他</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销售商品</w:t>
                    </w:r>
                  </w:p>
                </w:tc>
                <w:tc>
                  <w:tcPr>
                    <w:tcW w:w="1108"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钢坯</w:t>
                    </w:r>
                  </w:p>
                </w:tc>
                <w:tc>
                  <w:tcPr>
                    <w:tcW w:w="900" w:type="dxa"/>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成本加成</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olor w:val="000000"/>
                        <w:sz w:val="18"/>
                        <w:szCs w:val="18"/>
                      </w:rPr>
                    </w:pPr>
                    <w:r>
                      <w:rPr>
                        <w:rFonts w:ascii="Arial Narrow" w:hAnsi="Arial Narrow"/>
                        <w:color w:val="000000"/>
                        <w:sz w:val="18"/>
                        <w:szCs w:val="18"/>
                      </w:rPr>
                      <w:t>1,372,479.05</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100.00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80"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柳州市强实科技有限公司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销售商品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炉渣</w:t>
                    </w:r>
                  </w:p>
                </w:tc>
                <w:tc>
                  <w:tcPr>
                    <w:tcW w:w="900"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22,444.58</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76.15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510"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桂林市刚茂升贸易有限公司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销售商品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钢材</w:t>
                    </w:r>
                  </w:p>
                </w:tc>
                <w:tc>
                  <w:tcPr>
                    <w:tcW w:w="900"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46,330.29</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1.97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510"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柳州市新游化工有限责任公司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母公司的控股子公司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销售商品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化工产品</w:t>
                    </w:r>
                  </w:p>
                </w:tc>
                <w:tc>
                  <w:tcPr>
                    <w:tcW w:w="900"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63,467.04</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100.00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r>
                <w:tblPrEx>
                  <w:tblLayout w:type="fixed"/>
                  <w:tblCellMar>
                    <w:top w:w="0" w:type="dxa"/>
                    <w:left w:w="108" w:type="dxa"/>
                    <w:bottom w:w="0" w:type="dxa"/>
                    <w:right w:w="108" w:type="dxa"/>
                  </w:tblCellMar>
                </w:tblPrEx>
                <w:trPr>
                  <w:trHeight w:val="480" w:hRule="atLeast"/>
                </w:trPr>
                <w:tc>
                  <w:tcPr>
                    <w:tcW w:w="2553" w:type="dxa"/>
                    <w:tcBorders>
                      <w:top w:val="nil"/>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广西南宁柳钢钢材销售有限公司</w:t>
                    </w:r>
                  </w:p>
                </w:tc>
                <w:tc>
                  <w:tcPr>
                    <w:tcW w:w="1342"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母公司的全资子公司</w:t>
                    </w:r>
                  </w:p>
                </w:tc>
                <w:tc>
                  <w:tcPr>
                    <w:tcW w:w="960"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销售商品</w:t>
                    </w:r>
                  </w:p>
                </w:tc>
                <w:tc>
                  <w:tcPr>
                    <w:tcW w:w="1108"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钢材</w:t>
                    </w:r>
                  </w:p>
                </w:tc>
                <w:tc>
                  <w:tcPr>
                    <w:tcW w:w="900" w:type="dxa"/>
                    <w:tcBorders>
                      <w:top w:val="nil"/>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市场价</w:t>
                    </w:r>
                  </w:p>
                </w:tc>
                <w:tc>
                  <w:tcPr>
                    <w:tcW w:w="1222"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56,632.41</w:t>
                    </w:r>
                  </w:p>
                </w:tc>
                <w:tc>
                  <w:tcPr>
                    <w:tcW w:w="915" w:type="dxa"/>
                    <w:tcBorders>
                      <w:top w:val="nil"/>
                      <w:left w:val="nil"/>
                      <w:bottom w:val="single" w:color="auto" w:sz="4" w:space="0"/>
                      <w:right w:val="single" w:color="auto" w:sz="4" w:space="0"/>
                    </w:tcBorders>
                    <w:shd w:val="clear" w:color="auto" w:fill="auto"/>
                    <w:vAlign w:val="center"/>
                  </w:tcPr>
                  <w:p>
                    <w:pPr>
                      <w:jc w:val="right"/>
                      <w:rPr>
                        <w:rFonts w:ascii="Arial Narrow" w:hAnsi="Arial Narrow" w:cs="Times New Roman"/>
                        <w:sz w:val="18"/>
                        <w:szCs w:val="18"/>
                      </w:rPr>
                    </w:pPr>
                    <w:r>
                      <w:rPr>
                        <w:rFonts w:ascii="Arial Narrow" w:hAnsi="Arial Narrow" w:cs="Times New Roman"/>
                        <w:sz w:val="18"/>
                        <w:szCs w:val="18"/>
                      </w:rPr>
                      <w:t xml:space="preserve"> 2.41 </w:t>
                    </w:r>
                  </w:p>
                </w:tc>
                <w:tc>
                  <w:tcPr>
                    <w:tcW w:w="1221" w:type="dxa"/>
                    <w:tcBorders>
                      <w:top w:val="nil"/>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银行转账或承兑汇票</w:t>
                    </w:r>
                  </w:p>
                </w:tc>
              </w:tr>
            </w:tbl>
            <w:p>
              <w:pPr>
                <w:rPr>
                  <w:szCs w:val="21"/>
                </w:rPr>
              </w:pPr>
            </w:p>
          </w:sdtContent>
        </w:sdt>
      </w:sdtContent>
    </w:sdt>
    <w:sdt>
      <w:sdtPr>
        <w:rPr>
          <w:rFonts w:hint="eastAsia" w:ascii="Calibri" w:hAnsi="Calibri" w:cs="宋体"/>
          <w:b w:val="0"/>
          <w:bCs w:val="0"/>
          <w:kern w:val="0"/>
          <w:sz w:val="24"/>
          <w:szCs w:val="21"/>
        </w:rPr>
        <w:alias w:val="模块:临时公告未披露的事项"/>
        <w:tag w:val="_SEC_18ede113eb9d4e58b96677300bb03f7d"/>
        <w:id w:val="6773073"/>
        <w:lock w:val="sdtLocked"/>
        <w:placeholder>
          <w:docPart w:val="GBC22222222222222222222222222222"/>
        </w:placeholder>
      </w:sdtPr>
      <w:sdtEndPr>
        <w:rPr>
          <w:rFonts w:hint="default" w:ascii="宋体" w:hAnsi="宋体" w:cs="宋体"/>
          <w:b w:val="0"/>
          <w:bCs w:val="0"/>
          <w:kern w:val="0"/>
          <w:sz w:val="21"/>
          <w:szCs w:val="21"/>
        </w:rPr>
      </w:sdtEndPr>
      <w:sdtContent>
        <w:p>
          <w:pPr>
            <w:pStyle w:val="5"/>
            <w:numPr>
              <w:ilvl w:val="2"/>
              <w:numId w:val="26"/>
            </w:numPr>
            <w:rPr>
              <w:szCs w:val="21"/>
            </w:rPr>
          </w:pPr>
          <w:bookmarkStart w:id="36" w:name="_Toc342491964"/>
          <w:bookmarkStart w:id="37" w:name="_Toc342565956"/>
          <w:r>
            <w:rPr>
              <w:rFonts w:hint="eastAsia"/>
              <w:szCs w:val="21"/>
            </w:rPr>
            <w:t>临时公告未披露的事</w:t>
          </w:r>
          <w:bookmarkEnd w:id="36"/>
          <w:bookmarkEnd w:id="37"/>
          <w:r>
            <w:rPr>
              <w:rFonts w:hint="eastAsia"/>
              <w:szCs w:val="21"/>
            </w:rPr>
            <w:t>项</w:t>
          </w:r>
        </w:p>
        <w:p>
          <w:sdt>
            <w:sdtPr>
              <w:alias w:val="是否适用：与日常经营相关的关联交易_临时公告未披露的事项[双击切换]"/>
              <w:tag w:val="_GBC_3f1135e0d6d440e6a4af283441bd65d2"/>
              <w:id w:val="677305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rPr>
              <w:szCs w:val="21"/>
            </w:rPr>
          </w:pPr>
        </w:p>
      </w:sdtContent>
    </w:sdt>
    <w:p>
      <w:pPr>
        <w:pStyle w:val="4"/>
        <w:numPr>
          <w:ilvl w:val="2"/>
          <w:numId w:val="5"/>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sdt>
      <w:sdtPr>
        <w:rPr>
          <w:rFonts w:ascii="Calibri" w:hAnsi="Calibri" w:cs="宋体"/>
          <w:b w:val="0"/>
          <w:bCs w:val="0"/>
          <w:kern w:val="0"/>
          <w:sz w:val="24"/>
          <w:szCs w:val="21"/>
        </w:rPr>
        <w:alias w:val="模块:已在临时公告披露且后续实施无进展或变化的事项"/>
        <w:tag w:val="_SEC_5101ea14b3704066958f40b02b8e01b2"/>
        <w:id w:val="6773075"/>
        <w:lock w:val="sdtLocked"/>
        <w:placeholder>
          <w:docPart w:val="GBC22222222222222222222222222222"/>
        </w:placeholder>
      </w:sdtPr>
      <w:sdtEndPr>
        <w:rPr>
          <w:rFonts w:hint="eastAsia" w:ascii="宋体" w:hAnsi="宋体" w:cs="宋体"/>
          <w:b w:val="0"/>
          <w:bCs w:val="0"/>
          <w:kern w:val="0"/>
          <w:sz w:val="21"/>
          <w:szCs w:val="21"/>
        </w:rPr>
      </w:sdtEndPr>
      <w:sdtContent>
        <w:p>
          <w:pPr>
            <w:pStyle w:val="5"/>
            <w:numPr>
              <w:ilvl w:val="0"/>
              <w:numId w:val="27"/>
            </w:numPr>
            <w:rPr>
              <w:color w:val="000000" w:themeColor="text1"/>
              <w:szCs w:val="21"/>
            </w:rPr>
          </w:pPr>
          <w:r>
            <w:rPr>
              <w:color w:val="000000" w:themeColor="text1"/>
              <w:szCs w:val="21"/>
            </w:rPr>
            <w:t>已在临时公告披露且后续实施无进展或变化的事项</w:t>
          </w:r>
        </w:p>
        <w:p>
          <w:sdt>
            <w:sdtPr>
              <w:alias w:val="是否适用：已在临时公告披露且后续实施无进展或变化的事项_资产或股权收购、出售发生的关联交易[双击切换]"/>
              <w:tag w:val="_GBC_543ebf3bec89495c98a461a0509a331d"/>
              <w:id w:val="6773074"/>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rPr>
              <w:szCs w:val="21"/>
            </w:rPr>
          </w:pPr>
        </w:p>
      </w:sdtContent>
    </w:sdt>
    <w:sdt>
      <w:sdtPr>
        <w:rPr>
          <w:rFonts w:ascii="Calibri" w:hAnsi="Calibri" w:cs="宋体"/>
          <w:b w:val="0"/>
          <w:bCs w:val="0"/>
          <w:kern w:val="0"/>
          <w:sz w:val="24"/>
          <w:szCs w:val="21"/>
        </w:rPr>
        <w:alias w:val="模块:已在临时公告披露，但有后续实施的进展或变化的事项"/>
        <w:tag w:val="_SEC_1e051394e4c54345b8c73f9c2de10706"/>
        <w:id w:val="6773077"/>
        <w:lock w:val="sdtLocked"/>
        <w:placeholder>
          <w:docPart w:val="GBC22222222222222222222222222222"/>
        </w:placeholder>
      </w:sdtPr>
      <w:sdtEndPr>
        <w:rPr>
          <w:rFonts w:hint="eastAsia" w:ascii="宋体" w:hAnsi="宋体" w:cs="宋体"/>
          <w:b w:val="0"/>
          <w:bCs w:val="0"/>
          <w:kern w:val="0"/>
          <w:sz w:val="21"/>
          <w:szCs w:val="21"/>
        </w:rPr>
      </w:sdtEndPr>
      <w:sdtContent>
        <w:p>
          <w:pPr>
            <w:pStyle w:val="5"/>
            <w:numPr>
              <w:ilvl w:val="0"/>
              <w:numId w:val="27"/>
            </w:numPr>
            <w:rPr>
              <w:szCs w:val="21"/>
            </w:rPr>
          </w:pPr>
          <w:r>
            <w:rPr>
              <w:szCs w:val="21"/>
            </w:rP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677307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ascii="Calibri" w:hAnsi="Calibri" w:cs="宋体"/>
          <w:b w:val="0"/>
          <w:bCs w:val="0"/>
          <w:kern w:val="0"/>
          <w:sz w:val="24"/>
          <w:szCs w:val="21"/>
        </w:rPr>
        <w:alias w:val="模块:临时公告未披露的事项"/>
        <w:tag w:val="_SEC_0cf43ef9267042f5910eeb382017750a"/>
        <w:id w:val="6773079"/>
        <w:lock w:val="sdtLocked"/>
        <w:placeholder>
          <w:docPart w:val="GBC22222222222222222222222222222"/>
        </w:placeholder>
      </w:sdtPr>
      <w:sdtEndPr>
        <w:rPr>
          <w:rFonts w:hint="eastAsia" w:ascii="宋体" w:hAnsi="宋体" w:cs="宋体"/>
          <w:b w:val="0"/>
          <w:bCs w:val="0"/>
          <w:kern w:val="0"/>
          <w:sz w:val="21"/>
          <w:szCs w:val="21"/>
        </w:rPr>
      </w:sdtEndPr>
      <w:sdtContent>
        <w:p>
          <w:pPr>
            <w:pStyle w:val="5"/>
            <w:numPr>
              <w:ilvl w:val="0"/>
              <w:numId w:val="27"/>
            </w:numPr>
            <w:rPr>
              <w:szCs w:val="21"/>
            </w:rPr>
          </w:pPr>
          <w:r>
            <w:rPr>
              <w:szCs w:val="21"/>
            </w:rPr>
            <w:t>临时公告未披露的事项</w:t>
          </w:r>
        </w:p>
        <w:sdt>
          <w:sdtPr>
            <w:alias w:val="是否适用：资产收购、出售发生的关联交易_临时公告未披露的事项[双击切换]"/>
            <w:tag w:val="_GBC_c2403e21caad4498842c2f1cf3384c0d"/>
            <w:id w:val="677307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sdt>
      <w:sdtPr>
        <w:rPr>
          <w:rFonts w:hint="eastAsia" w:ascii="宋体" w:hAnsi="宋体" w:cs="宋体"/>
          <w:b w:val="0"/>
          <w:bCs w:val="0"/>
          <w:kern w:val="0"/>
          <w:szCs w:val="24"/>
        </w:rPr>
        <w:alias w:val="模块:涉及业绩约定的，应当披露报告期内的业绩实现情况"/>
        <w:tag w:val="_SEC_2377f3c46fe8488f9d7f53b4f8ba80b1"/>
        <w:id w:val="6773081"/>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27"/>
            </w:numPr>
            <w:rPr>
              <w:szCs w:val="21"/>
            </w:rPr>
          </w:pPr>
          <w:r>
            <w:rPr>
              <w:rFonts w:hint="eastAsia"/>
              <w:szCs w:val="21"/>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6773080"/>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
      <w:pPr>
        <w:pStyle w:val="4"/>
        <w:numPr>
          <w:ilvl w:val="2"/>
          <w:numId w:val="5"/>
        </w:numPr>
        <w:rPr>
          <w:szCs w:val="21"/>
        </w:rPr>
      </w:pPr>
      <w:r>
        <w:rPr>
          <w:szCs w:val="21"/>
        </w:rPr>
        <w:t>共同对外投资的重大关联交易</w:t>
      </w:r>
    </w:p>
    <w:sdt>
      <w:sdtPr>
        <w:rPr>
          <w:rFonts w:ascii="Calibri" w:hAnsi="Calibri" w:cs="宋体"/>
          <w:b w:val="0"/>
          <w:bCs w:val="0"/>
          <w:kern w:val="0"/>
          <w:sz w:val="24"/>
          <w:szCs w:val="21"/>
        </w:rPr>
        <w:alias w:val="模块:已在临时公告披露且后续实施无进展或变化的事项"/>
        <w:tag w:val="_SEC_51b6cf40b087426eb6434404a0feb888"/>
        <w:id w:val="6773083"/>
        <w:lock w:val="sdtLocked"/>
        <w:placeholder>
          <w:docPart w:val="GBC22222222222222222222222222222"/>
        </w:placeholder>
      </w:sdtPr>
      <w:sdtEndPr>
        <w:rPr>
          <w:rFonts w:hint="eastAsia" w:ascii="宋体" w:hAnsi="宋体" w:cs="宋体"/>
          <w:b/>
          <w:bCs/>
          <w:kern w:val="0"/>
          <w:sz w:val="21"/>
          <w:szCs w:val="21"/>
        </w:rPr>
      </w:sdtEndPr>
      <w:sdtContent>
        <w:p>
          <w:pPr>
            <w:pStyle w:val="5"/>
            <w:numPr>
              <w:ilvl w:val="0"/>
              <w:numId w:val="28"/>
            </w:numPr>
            <w:rPr>
              <w:szCs w:val="21"/>
            </w:rPr>
          </w:pPr>
          <w:r>
            <w:rPr>
              <w:szCs w:val="21"/>
            </w:rPr>
            <w:t>已在临时公告披露且后续实施无进展或变化的事项</w:t>
          </w:r>
        </w:p>
        <w:p>
          <w:sdt>
            <w:sdtPr>
              <w:alias w:val="是否适用：已在临时公告披露且后续实施无进展或变化的事项_共同对外投资的重大关联交易[双击切换]"/>
              <w:tag w:val="_GBC_7eea3c6d3d6245c4a1388637f61fccce"/>
              <w:id w:val="6773082"/>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Calibri" w:hAnsi="Calibri" w:cs="宋体"/>
          <w:b w:val="0"/>
          <w:bCs w:val="0"/>
          <w:kern w:val="0"/>
          <w:sz w:val="24"/>
          <w:szCs w:val="21"/>
        </w:rPr>
        <w:alias w:val="模块:已在临时公告披露，但有后续实施的进展或变化的事项"/>
        <w:tag w:val="_SEC_6fb162dfa53544919d9b59362cf9fe07"/>
        <w:id w:val="6773085"/>
        <w:lock w:val="sdtLocked"/>
        <w:placeholder>
          <w:docPart w:val="GBC22222222222222222222222222222"/>
        </w:placeholder>
      </w:sdtPr>
      <w:sdtEndPr>
        <w:rPr>
          <w:rFonts w:hint="eastAsia" w:ascii="宋体" w:hAnsi="宋体" w:cs="宋体"/>
          <w:b w:val="0"/>
          <w:bCs w:val="0"/>
          <w:kern w:val="0"/>
          <w:sz w:val="21"/>
          <w:szCs w:val="21"/>
        </w:rPr>
      </w:sdtEndPr>
      <w:sdtContent>
        <w:p>
          <w:pPr>
            <w:pStyle w:val="5"/>
            <w:numPr>
              <w:ilvl w:val="0"/>
              <w:numId w:val="28"/>
            </w:numPr>
            <w:rPr>
              <w:szCs w:val="21"/>
            </w:rPr>
          </w:pPr>
          <w:r>
            <w:rPr>
              <w:szCs w:val="21"/>
            </w:rP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6773084"/>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sdt>
      <w:sdtPr>
        <w:rPr>
          <w:rFonts w:ascii="Calibri" w:hAnsi="Calibri" w:cs="宋体"/>
          <w:b w:val="0"/>
          <w:bCs w:val="0"/>
          <w:kern w:val="0"/>
          <w:sz w:val="24"/>
          <w:szCs w:val="21"/>
        </w:rPr>
        <w:alias w:val="模块:临时公告未披露的事项"/>
        <w:tag w:val="_SEC_c27b95cb91e04e0cb1142e21dcff5adc"/>
        <w:id w:val="6773087"/>
        <w:lock w:val="sdtLocked"/>
        <w:placeholder>
          <w:docPart w:val="GBC22222222222222222222222222222"/>
        </w:placeholder>
      </w:sdtPr>
      <w:sdtEndPr>
        <w:rPr>
          <w:rFonts w:hint="eastAsia" w:ascii="宋体" w:hAnsi="宋体" w:cs="宋体"/>
          <w:b w:val="0"/>
          <w:bCs w:val="0"/>
          <w:kern w:val="0"/>
          <w:sz w:val="21"/>
          <w:szCs w:val="21"/>
        </w:rPr>
      </w:sdtEndPr>
      <w:sdtContent>
        <w:p>
          <w:pPr>
            <w:pStyle w:val="5"/>
            <w:numPr>
              <w:ilvl w:val="0"/>
              <w:numId w:val="28"/>
            </w:numPr>
            <w:rPr>
              <w:szCs w:val="21"/>
            </w:rPr>
          </w:pPr>
          <w:r>
            <w:rPr>
              <w:szCs w:val="21"/>
            </w:rPr>
            <w:t>临时公告未披露的事项</w:t>
          </w:r>
        </w:p>
        <w:sdt>
          <w:sdtPr>
            <w:alias w:val="是否适用：共同对外投资的重大关联交易_临时公告未披露的事项[双击切换]"/>
            <w:tag w:val="_GBC_0a8e93fe81464e209d3619d1be6a3349"/>
            <w:id w:val="677308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p>
      <w:pPr>
        <w:rPr>
          <w:szCs w:val="21"/>
        </w:rPr>
      </w:pPr>
    </w:p>
    <w:p>
      <w:pPr>
        <w:pStyle w:val="4"/>
        <w:numPr>
          <w:ilvl w:val="2"/>
          <w:numId w:val="5"/>
        </w:numPr>
        <w:rPr>
          <w:szCs w:val="21"/>
        </w:rPr>
      </w:pPr>
      <w:r>
        <w:rPr>
          <w:rFonts w:hint="eastAsia"/>
          <w:szCs w:val="21"/>
        </w:rPr>
        <w:t>关联债权债务往来</w:t>
      </w:r>
    </w:p>
    <w:sdt>
      <w:sdtPr>
        <w:rPr>
          <w:rFonts w:ascii="Calibri" w:hAnsi="Calibri" w:cs="宋体"/>
          <w:b w:val="0"/>
          <w:bCs w:val="0"/>
          <w:kern w:val="0"/>
          <w:sz w:val="24"/>
          <w:szCs w:val="21"/>
        </w:rPr>
        <w:alias w:val="模块:已在临时公告披露且后续实施无进展或变化的事项"/>
        <w:tag w:val="_SEC_1159433f604446c4a73e7743924d5bde"/>
        <w:id w:val="6773089"/>
        <w:lock w:val="sdtLocked"/>
        <w:placeholder>
          <w:docPart w:val="GBC22222222222222222222222222222"/>
        </w:placeholder>
      </w:sdtPr>
      <w:sdtEndPr>
        <w:rPr>
          <w:rFonts w:hint="eastAsia" w:ascii="宋体" w:hAnsi="宋体" w:cs="宋体"/>
          <w:b/>
          <w:bCs/>
          <w:kern w:val="0"/>
          <w:sz w:val="21"/>
          <w:szCs w:val="21"/>
        </w:rPr>
      </w:sdtEndPr>
      <w:sdtContent>
        <w:p>
          <w:pPr>
            <w:pStyle w:val="5"/>
            <w:numPr>
              <w:ilvl w:val="0"/>
              <w:numId w:val="29"/>
            </w:numPr>
            <w:rPr>
              <w:szCs w:val="21"/>
            </w:rPr>
          </w:pPr>
          <w:r>
            <w:rPr>
              <w:szCs w:val="21"/>
            </w:rPr>
            <w:t>已在临时公告披露且后续实施无进展或变化的事项</w:t>
          </w:r>
        </w:p>
        <w:p>
          <w:sdt>
            <w:sdtPr>
              <w:alias w:val="是否适用：已在临时公告披露且后续实施无进展或变化的事项_关联债权债务往来[双击切换]"/>
              <w:tag w:val="_GBC_7465d4a4508a455591694c4e59f1f59b"/>
              <w:id w:val="6773088"/>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Calibri" w:hAnsi="Calibri" w:cs="宋体"/>
          <w:b w:val="0"/>
          <w:bCs w:val="0"/>
          <w:kern w:val="0"/>
          <w:sz w:val="24"/>
          <w:szCs w:val="21"/>
        </w:rPr>
        <w:alias w:val="模块:已在临时公告披露，但有后续实施的进展或变化的事项"/>
        <w:tag w:val="_SEC_ce119db951414db2a004501c8a65a54b"/>
        <w:id w:val="6773091"/>
        <w:lock w:val="sdtLocked"/>
        <w:placeholder>
          <w:docPart w:val="GBC22222222222222222222222222222"/>
        </w:placeholder>
      </w:sdtPr>
      <w:sdtEndPr>
        <w:rPr>
          <w:rFonts w:hint="eastAsia" w:ascii="宋体" w:hAnsi="宋体" w:cs="宋体"/>
          <w:b w:val="0"/>
          <w:bCs w:val="0"/>
          <w:kern w:val="0"/>
          <w:sz w:val="21"/>
          <w:szCs w:val="21"/>
        </w:rPr>
      </w:sdtEndPr>
      <w:sdtContent>
        <w:p>
          <w:pPr>
            <w:pStyle w:val="5"/>
            <w:numPr>
              <w:ilvl w:val="0"/>
              <w:numId w:val="29"/>
            </w:numPr>
            <w:rPr>
              <w:szCs w:val="21"/>
            </w:rPr>
          </w:pPr>
          <w:r>
            <w:rPr>
              <w:szCs w:val="21"/>
            </w:rP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6773090"/>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sdt>
      <w:sdtPr>
        <w:rPr>
          <w:rFonts w:hint="eastAsia" w:ascii="Calibri" w:hAnsi="Calibri" w:cs="宋体"/>
          <w:b w:val="0"/>
          <w:bCs w:val="0"/>
          <w:kern w:val="0"/>
          <w:sz w:val="24"/>
          <w:szCs w:val="21"/>
        </w:rPr>
        <w:alias w:val="模块:临时公告未披露的事项"/>
        <w:tag w:val="_SEC_5a41258e75f8445f9f091dbefa9eab6b"/>
        <w:id w:val="6773093"/>
        <w:lock w:val="sdtLocked"/>
        <w:placeholder>
          <w:docPart w:val="GBC22222222222222222222222222222"/>
        </w:placeholder>
      </w:sdtPr>
      <w:sdtEndPr>
        <w:rPr>
          <w:rFonts w:hint="eastAsia" w:cs="宋体" w:asciiTheme="minorEastAsia" w:hAnsiTheme="minorEastAsia" w:eastAsiaTheme="minorEastAsia"/>
          <w:b w:val="0"/>
          <w:bCs w:val="0"/>
          <w:kern w:val="0"/>
          <w:sz w:val="21"/>
          <w:szCs w:val="21"/>
        </w:rPr>
      </w:sdtEndPr>
      <w:sdtContent>
        <w:p>
          <w:pPr>
            <w:pStyle w:val="5"/>
            <w:numPr>
              <w:ilvl w:val="0"/>
              <w:numId w:val="29"/>
            </w:numPr>
            <w:rPr>
              <w:szCs w:val="21"/>
            </w:rPr>
          </w:pPr>
          <w:r>
            <w:rPr>
              <w:rFonts w:hint="eastAsia"/>
              <w:szCs w:val="21"/>
            </w:rPr>
            <w:t>临时公告未披露的事项</w:t>
          </w:r>
        </w:p>
        <w:sdt>
          <w:sdtPr>
            <w:alias w:val="是否适用：关联债权债务往来_临时公告未披露的事项[双击切换]"/>
            <w:tag w:val="_GBC_d9a88c6705ef48d49848c2b93cb503f2"/>
            <w:id w:val="6773092"/>
            <w:lock w:val="sdtContentLocked"/>
            <w:placeholder>
              <w:docPart w:val="GBC22222222222222222222222222222"/>
            </w:placeholder>
          </w:sdtPr>
          <w:sdtContent>
            <w:p>
              <w:pPr>
                <w:rPr>
                  <w:rFonts w:asciiTheme="minorEastAsia" w:hAnsiTheme="minorEastAsia" w:eastAsiaTheme="minorEastAsia"/>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其他"/>
        <w:tag w:val="_SEC_fdaa9d4446c44111831efafcc3898613"/>
        <w:id w:val="6773095"/>
        <w:lock w:val="sdtLocked"/>
        <w:placeholder>
          <w:docPart w:val="GBC22222222222222222222222222222"/>
        </w:placeholder>
      </w:sdtPr>
      <w:sdtEndPr>
        <w:rPr>
          <w:rFonts w:hint="default" w:ascii="宋体" w:hAnsi="宋体" w:cs="宋体"/>
          <w:b w:val="0"/>
          <w:bCs w:val="0"/>
          <w:kern w:val="0"/>
          <w:szCs w:val="21"/>
        </w:rPr>
      </w:sdtEndPr>
      <w:sdtContent>
        <w:p>
          <w:pPr>
            <w:pStyle w:val="4"/>
            <w:numPr>
              <w:ilvl w:val="2"/>
              <w:numId w:val="5"/>
            </w:numPr>
            <w:rPr>
              <w:szCs w:val="21"/>
            </w:rPr>
          </w:pPr>
          <w:r>
            <w:rPr>
              <w:rFonts w:hint="eastAsia"/>
              <w:szCs w:val="21"/>
            </w:rPr>
            <w:t>其他</w:t>
          </w:r>
        </w:p>
        <w:sdt>
          <w:sdtPr>
            <w:rPr>
              <w:rFonts w:hint="eastAsia" w:asciiTheme="minorEastAsia" w:hAnsiTheme="minorEastAsia" w:eastAsiaTheme="minorEastAsia"/>
              <w:szCs w:val="21"/>
            </w:rPr>
            <w:alias w:val="是否适用：重大关联交易其他说明[双击切换]"/>
            <w:tag w:val="_GBC_49b04883b7a84a83b6a8bfec05cbb445"/>
            <w:id w:val="6773094"/>
            <w:lock w:val="sdtContentLocked"/>
            <w:placeholder>
              <w:docPart w:val="GBC22222222222222222222222222222"/>
            </w:placeholder>
          </w:sdtPr>
          <w:sdtEndPr>
            <w:rPr>
              <w:rFonts w:hint="eastAsia" w:asciiTheme="minorEastAsia" w:hAnsiTheme="minorEastAsia" w:eastAsiaTheme="minor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3"/>
        <w:numPr>
          <w:ilvl w:val="0"/>
          <w:numId w:val="19"/>
        </w:numPr>
      </w:pPr>
      <w:r>
        <w:rPr>
          <w:rFonts w:hint="eastAsia"/>
        </w:rPr>
        <w:t>重大合同及其履行情况</w:t>
      </w:r>
    </w:p>
    <w:p>
      <w:pPr>
        <w:pStyle w:val="4"/>
        <w:numPr>
          <w:ilvl w:val="0"/>
          <w:numId w:val="30"/>
        </w:numPr>
        <w:rPr>
          <w:szCs w:val="21"/>
        </w:rPr>
      </w:pPr>
      <w:r>
        <w:rPr>
          <w:szCs w:val="21"/>
        </w:rPr>
        <w:t>托管、承包、租赁事项</w:t>
      </w:r>
    </w:p>
    <w:sdt>
      <w:sdtPr>
        <w:rPr>
          <w:rFonts w:hint="eastAsia" w:ascii="Calibri" w:hAnsi="Calibri" w:cs="宋体"/>
          <w:b w:val="0"/>
          <w:bCs w:val="0"/>
          <w:kern w:val="0"/>
          <w:sz w:val="24"/>
          <w:szCs w:val="21"/>
        </w:rPr>
        <w:alias w:val="模块:托管情况"/>
        <w:tag w:val="_SEC_0543ebbac7a94a11b10d8648f7254d13"/>
        <w:id w:val="6773117"/>
        <w:lock w:val="sdtLocked"/>
        <w:placeholder>
          <w:docPart w:val="GBC22222222222222222222222222222"/>
        </w:placeholder>
      </w:sdtPr>
      <w:sdtEndPr>
        <w:rPr>
          <w:rFonts w:hint="eastAsia" w:ascii="宋体" w:hAnsi="宋体" w:cs="宋体"/>
          <w:b w:val="0"/>
          <w:bCs w:val="0"/>
          <w:kern w:val="0"/>
          <w:sz w:val="21"/>
          <w:szCs w:val="21"/>
          <w:shd w:val="pct10" w:color="auto" w:fill="FFFFFF"/>
        </w:rPr>
      </w:sdtEndPr>
      <w:sdtContent>
        <w:p>
          <w:pPr>
            <w:pStyle w:val="5"/>
            <w:numPr>
              <w:ilvl w:val="0"/>
              <w:numId w:val="31"/>
            </w:numPr>
            <w:rPr>
              <w:szCs w:val="21"/>
            </w:rPr>
          </w:pPr>
          <w:r>
            <w:rPr>
              <w:rFonts w:hint="eastAsia"/>
              <w:szCs w:val="21"/>
            </w:rPr>
            <w:t>托管情况</w:t>
          </w:r>
        </w:p>
        <w:sdt>
          <w:sdtPr>
            <w:alias w:val="是否适用：托管情况[双击切换]"/>
            <w:tag w:val="_GBC_f528f5eedb9346f6b0fbdbe3967882e7"/>
            <w:id w:val="677309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shd w:val="pct10" w:color="auto" w:fill="FFFFFF"/>
            </w:rPr>
          </w:pPr>
        </w:p>
      </w:sdtContent>
    </w:sdt>
    <w:sdt>
      <w:sdtPr>
        <w:rPr>
          <w:rFonts w:ascii="Calibri" w:hAnsi="Calibri" w:cs="宋体"/>
          <w:b w:val="0"/>
          <w:bCs w:val="0"/>
          <w:kern w:val="0"/>
          <w:sz w:val="24"/>
          <w:szCs w:val="21"/>
        </w:rPr>
        <w:alias w:val="模块:承包情况                         ..."/>
        <w:tag w:val="_SEC_d3e1b22be78242a687413a4836e3009d"/>
        <w:id w:val="6773139"/>
        <w:lock w:val="sdtLocked"/>
        <w:placeholder>
          <w:docPart w:val="GBC22222222222222222222222222222"/>
        </w:placeholder>
      </w:sdtPr>
      <w:sdtEndPr>
        <w:rPr>
          <w:rFonts w:hint="eastAsia" w:ascii="宋体" w:hAnsi="宋体" w:cs="宋体"/>
          <w:b w:val="0"/>
          <w:bCs w:val="0"/>
          <w:kern w:val="0"/>
          <w:sz w:val="21"/>
          <w:szCs w:val="21"/>
          <w:shd w:val="pct10" w:color="auto" w:fill="FFFFFF"/>
        </w:rPr>
      </w:sdtEndPr>
      <w:sdtContent>
        <w:p>
          <w:pPr>
            <w:pStyle w:val="5"/>
            <w:numPr>
              <w:ilvl w:val="0"/>
              <w:numId w:val="31"/>
            </w:numPr>
            <w:rPr>
              <w:szCs w:val="21"/>
            </w:rPr>
          </w:pPr>
          <w:r>
            <w:rPr>
              <w:szCs w:val="21"/>
            </w:rPr>
            <w:t>承包情况</w:t>
          </w:r>
        </w:p>
        <w:sdt>
          <w:sdtPr>
            <w:alias w:val="是否适用：承包情况[双击切换]"/>
            <w:tag w:val="_GBC_ef45025eb2d84c78907511abec2bd222"/>
            <w:id w:val="6773118"/>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shd w:val="pct10" w:color="auto" w:fill="FFFFFF"/>
            </w:rPr>
          </w:pPr>
        </w:p>
      </w:sdtContent>
    </w:sdt>
    <w:sdt>
      <w:sdtPr>
        <w:rPr>
          <w:rFonts w:ascii="Calibri" w:hAnsi="Calibri" w:cs="宋体"/>
          <w:b w:val="0"/>
          <w:bCs w:val="0"/>
          <w:kern w:val="0"/>
          <w:sz w:val="24"/>
          <w:szCs w:val="21"/>
        </w:rPr>
        <w:alias w:val="模块:租赁情况                         ..."/>
        <w:tag w:val="_SEC_7309f241ae4444d2a7c93aa358e3eb6f"/>
        <w:id w:val="6773141"/>
        <w:lock w:val="sdtLocked"/>
        <w:placeholder>
          <w:docPart w:val="GBC22222222222222222222222222222"/>
        </w:placeholder>
      </w:sdtPr>
      <w:sdtEndPr>
        <w:rPr>
          <w:rFonts w:hint="eastAsia" w:ascii="宋体" w:hAnsi="宋体" w:cs="宋体"/>
          <w:b w:val="0"/>
          <w:bCs w:val="0"/>
          <w:kern w:val="0"/>
          <w:sz w:val="21"/>
          <w:szCs w:val="21"/>
          <w:shd w:val="pct10" w:color="auto" w:fill="FFFFFF"/>
        </w:rPr>
      </w:sdtEndPr>
      <w:sdtContent>
        <w:p>
          <w:pPr>
            <w:pStyle w:val="5"/>
            <w:numPr>
              <w:ilvl w:val="0"/>
              <w:numId w:val="31"/>
            </w:numPr>
            <w:rPr>
              <w:szCs w:val="21"/>
            </w:rPr>
          </w:pPr>
          <w:r>
            <w:rPr>
              <w:szCs w:val="21"/>
            </w:rPr>
            <w:t>租赁情况</w:t>
          </w:r>
        </w:p>
        <w:sdt>
          <w:sdtPr>
            <w:alias w:val="是否适用：租赁情况[双击切换]"/>
            <w:tag w:val="_GBC_c1d0d78a63af4d48a7427277c2db3ac5"/>
            <w:id w:val="677314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shd w:val="pct10" w:color="auto" w:fill="FFFFFF"/>
            </w:rPr>
          </w:pPr>
        </w:p>
      </w:sdtContent>
    </w:sdt>
    <w:p>
      <w:pPr>
        <w:pStyle w:val="4"/>
        <w:numPr>
          <w:ilvl w:val="0"/>
          <w:numId w:val="30"/>
        </w:numPr>
        <w:rPr>
          <w:szCs w:val="21"/>
        </w:rPr>
      </w:pPr>
      <w:bookmarkStart w:id="38" w:name="_Toc342565974"/>
      <w:bookmarkStart w:id="39" w:name="_Toc342491982"/>
      <w:bookmarkStart w:id="40" w:name="OLE_LINK3"/>
      <w:bookmarkStart w:id="41" w:name="OLE_LINK2"/>
      <w:r>
        <w:rPr>
          <w:rFonts w:hint="eastAsia"/>
          <w:szCs w:val="21"/>
        </w:rPr>
        <w:t>担保情况</w:t>
      </w:r>
      <w:bookmarkEnd w:id="38"/>
      <w:bookmarkEnd w:id="39"/>
    </w:p>
    <w:bookmarkEnd w:id="40"/>
    <w:bookmarkEnd w:id="41"/>
    <w:sdt>
      <w:sdtPr>
        <w:rPr>
          <w:szCs w:val="21"/>
        </w:rPr>
        <w:alias w:val="是否适用：担保情况[双击切换]"/>
        <w:tag w:val="_GBC_b799a3ac65f846e088fcfb2dd2591ede"/>
        <w:id w:val="6773142"/>
        <w:lock w:val="sdtContentLocked"/>
        <w:placeholder>
          <w:docPart w:val="GBC22222222222222222222222222222"/>
        </w:placeholder>
      </w:sdtPr>
      <w:sdtEndPr>
        <w:rPr>
          <w:szCs w:val="21"/>
        </w:rPr>
      </w:sdtEndPr>
      <w:sdtContent>
        <w:p>
          <w:pPr>
            <w:rPr>
              <w:rFonts w:asciiTheme="minorEastAsia" w:hAnsiTheme="minorEastAsia" w:eastAsiaTheme="minorEastAsia"/>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rFonts w:asciiTheme="minorEastAsia" w:hAnsiTheme="minorEastAsia" w:eastAsiaTheme="minorEastAsia"/>
          <w:szCs w:val="21"/>
        </w:rPr>
      </w:pPr>
    </w:p>
    <w:p>
      <w:pPr>
        <w:pStyle w:val="4"/>
        <w:numPr>
          <w:ilvl w:val="0"/>
          <w:numId w:val="30"/>
        </w:numPr>
        <w:rPr>
          <w:szCs w:val="21"/>
        </w:rPr>
      </w:pPr>
      <w:r>
        <w:rPr>
          <w:rFonts w:hint="eastAsia"/>
          <w:szCs w:val="21"/>
        </w:rPr>
        <w:t>委托他人进行现金资产管理的情况</w:t>
      </w:r>
    </w:p>
    <w:p>
      <w:pPr>
        <w:pStyle w:val="6"/>
        <w:numPr>
          <w:ilvl w:val="0"/>
          <w:numId w:val="32"/>
        </w:numPr>
        <w:ind w:left="422" w:hanging="422" w:hangingChars="200"/>
        <w:rPr>
          <w:kern w:val="0"/>
        </w:rPr>
      </w:pPr>
      <w:r>
        <w:rPr>
          <w:rFonts w:hint="eastAsia"/>
          <w:kern w:val="0"/>
        </w:rPr>
        <w:t>委托理财情况</w:t>
      </w:r>
    </w:p>
    <w:sdt>
      <w:sdtPr>
        <w:rPr>
          <w:rFonts w:ascii="宋体" w:hAnsi="宋体" w:cs="宋体"/>
          <w:kern w:val="0"/>
          <w:szCs w:val="24"/>
        </w:rPr>
        <w:alias w:val="模块:委托理财总体情况"/>
        <w:tag w:val="_SEC_1e15b8524c82495dad9c5426489ba6b9"/>
        <w:id w:val="6773153"/>
        <w:lock w:val="sdtLocked"/>
        <w:placeholder>
          <w:docPart w:val="GBC22222222222222222222222222222"/>
        </w:placeholder>
      </w:sdtPr>
      <w:sdtEndPr>
        <w:rPr>
          <w:rFonts w:hint="eastAsia" w:ascii="宋体" w:hAnsi="宋体" w:cs="宋体"/>
          <w:kern w:val="0"/>
          <w:szCs w:val="24"/>
        </w:rPr>
      </w:sdtEndPr>
      <w:sdtContent>
        <w:p>
          <w:pPr>
            <w:pStyle w:val="53"/>
            <w:numPr>
              <w:ilvl w:val="0"/>
              <w:numId w:val="33"/>
            </w:numPr>
            <w:ind w:firstLineChars="0"/>
            <w:outlineLvl w:val="5"/>
            <w:rPr>
              <w:b/>
            </w:rPr>
          </w:pPr>
          <w:r>
            <w:rPr>
              <w:b/>
            </w:rPr>
            <w:t>委托理财总体情况</w:t>
          </w:r>
        </w:p>
        <w:sdt>
          <w:sdtPr>
            <w:rPr>
              <w:rFonts w:hint="eastAsia"/>
            </w:rPr>
            <w:alias w:val="是否适用：委托理财总体情况[双击切换]"/>
            <w:tag w:val="_GBC_939edce711f74cc3bede852019388a3e"/>
            <w:id w:val="6773143"/>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委托理财总体其他情况"/>
        <w:tag w:val="_SEC_c74546ff2eb54c40a95f3d7a5ec247ac"/>
        <w:id w:val="6773156"/>
        <w:lock w:val="sdtLocked"/>
        <w:placeholder>
          <w:docPart w:val="GBC22222222222222222222222222222"/>
        </w:placeholder>
      </w:sdtPr>
      <w:sdtEndPr>
        <w:rPr>
          <w:rFonts w:hint="eastAsia"/>
        </w:rPr>
      </w:sdtEndPr>
      <w:sdtContent>
        <w:p>
          <w:pPr>
            <w:rPr>
              <w:b/>
            </w:rPr>
          </w:pPr>
          <w:r>
            <w:rPr>
              <w:rFonts w:hint="eastAsia"/>
              <w:b/>
            </w:rPr>
            <w:t>其他情况</w:t>
          </w:r>
        </w:p>
        <w:sdt>
          <w:sdtPr>
            <w:rPr>
              <w:rFonts w:hint="eastAsia"/>
            </w:rPr>
            <w:alias w:val="是否适用：委托理财总体其他情况[双击切换]"/>
            <w:tag w:val="_GBC_4fb72032e5bd4642bf5eb2d83d5ca874"/>
            <w:id w:val="6773154"/>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sdt>
      <w:sdtPr>
        <w:rPr>
          <w:rFonts w:ascii="宋体" w:hAnsi="宋体" w:cs="宋体"/>
          <w:kern w:val="0"/>
          <w:szCs w:val="24"/>
        </w:rPr>
        <w:alias w:val="模块:单项委托理财情况"/>
        <w:tag w:val="_SEC_b54bd17bb0da4771a60d17a9a56131e4"/>
        <w:id w:val="6773181"/>
        <w:lock w:val="sdtLocked"/>
        <w:placeholder>
          <w:docPart w:val="GBC22222222222222222222222222222"/>
        </w:placeholder>
      </w:sdtPr>
      <w:sdtEndPr>
        <w:rPr>
          <w:rFonts w:hint="eastAsia" w:ascii="宋体" w:hAnsi="宋体" w:cs="宋体"/>
          <w:kern w:val="0"/>
          <w:szCs w:val="24"/>
        </w:rPr>
      </w:sdtEndPr>
      <w:sdtContent>
        <w:p>
          <w:pPr>
            <w:pStyle w:val="53"/>
            <w:numPr>
              <w:ilvl w:val="0"/>
              <w:numId w:val="33"/>
            </w:numPr>
            <w:ind w:firstLineChars="0"/>
            <w:outlineLvl w:val="5"/>
            <w:rPr>
              <w:b/>
            </w:rPr>
          </w:pPr>
          <w:r>
            <w:rPr>
              <w:b/>
            </w:rPr>
            <w:t>单项委托理财情况</w:t>
          </w:r>
        </w:p>
        <w:sdt>
          <w:sdtPr>
            <w:rPr>
              <w:rFonts w:hint="eastAsia"/>
            </w:rPr>
            <w:alias w:val="是否适用：单项委托理财情况[双击切换]"/>
            <w:tag w:val="_GBC_049960b74e79480d8781c2d7d6a997dc"/>
            <w:id w:val="6773157"/>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cs="Times New Roman"/>
          <w:kern w:val="2"/>
          <w:szCs w:val="21"/>
        </w:rPr>
        <w:alias w:val="模块:单项委托理财其他情况"/>
        <w:tag w:val="_SEC_758c95ca546e4d8d9735adf2c606a653"/>
        <w:id w:val="6773184"/>
        <w:lock w:val="sdtLocked"/>
        <w:placeholder>
          <w:docPart w:val="GBC22222222222222222222222222222"/>
        </w:placeholder>
      </w:sdtPr>
      <w:sdtEndPr>
        <w:rPr>
          <w:rFonts w:hint="eastAsia" w:cs="Times New Roman"/>
          <w:kern w:val="2"/>
          <w:szCs w:val="21"/>
        </w:rPr>
      </w:sdtEndPr>
      <w:sdtContent>
        <w:p>
          <w:pPr>
            <w:rPr>
              <w:b/>
            </w:rPr>
          </w:pPr>
          <w:r>
            <w:rPr>
              <w:rFonts w:hint="eastAsia"/>
              <w:b/>
            </w:rPr>
            <w:t>其他情况</w:t>
          </w:r>
        </w:p>
        <w:sdt>
          <w:sdtPr>
            <w:rPr>
              <w:rFonts w:hint="eastAsia"/>
            </w:rPr>
            <w:alias w:val="是否适用：单项委托理财其他情况[双击切换]"/>
            <w:tag w:val="_GBC_627c77e5ab674442a3b768741f653602"/>
            <w:id w:val="6773182"/>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sdt>
      <w:sdtPr>
        <w:rPr>
          <w:rFonts w:ascii="宋体" w:hAnsi="宋体" w:cs="宋体"/>
          <w:kern w:val="0"/>
          <w:szCs w:val="24"/>
        </w:rPr>
        <w:alias w:val="模块:委托理财减值准备"/>
        <w:tag w:val="_SEC_7452a82862434316834423d06c71379a"/>
        <w:id w:val="6773187"/>
        <w:lock w:val="sdtLocked"/>
        <w:placeholder>
          <w:docPart w:val="GBC22222222222222222222222222222"/>
        </w:placeholder>
      </w:sdtPr>
      <w:sdtEndPr>
        <w:rPr>
          <w:rFonts w:hint="eastAsia" w:ascii="宋体" w:hAnsi="宋体" w:cs="宋体"/>
          <w:kern w:val="0"/>
          <w:szCs w:val="24"/>
        </w:rPr>
      </w:sdtEndPr>
      <w:sdtContent>
        <w:p>
          <w:pPr>
            <w:pStyle w:val="53"/>
            <w:numPr>
              <w:ilvl w:val="0"/>
              <w:numId w:val="33"/>
            </w:numPr>
            <w:ind w:firstLineChars="0"/>
            <w:outlineLvl w:val="5"/>
            <w:rPr>
              <w:b/>
            </w:rPr>
          </w:pPr>
          <w:r>
            <w:rPr>
              <w:b/>
            </w:rPr>
            <w:t>委托理财减值准备</w:t>
          </w:r>
        </w:p>
        <w:sdt>
          <w:sdtPr>
            <w:rPr>
              <w:rFonts w:hint="eastAsia"/>
            </w:rPr>
            <w:alias w:val="是否适用：委托理财减值准备[双击切换]"/>
            <w:tag w:val="_GBC_8db4f6600a6746739610ffaaa34abeac"/>
            <w:id w:val="6773185"/>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
      <w:pPr>
        <w:pStyle w:val="6"/>
        <w:numPr>
          <w:ilvl w:val="0"/>
          <w:numId w:val="32"/>
        </w:numPr>
      </w:pPr>
      <w:r>
        <w:t>委托贷款情况</w:t>
      </w:r>
    </w:p>
    <w:sdt>
      <w:sdtPr>
        <w:rPr>
          <w:rFonts w:ascii="宋体" w:hAnsi="宋体" w:cs="宋体"/>
          <w:kern w:val="0"/>
          <w:szCs w:val="24"/>
        </w:rPr>
        <w:alias w:val="模块:委托贷款总体情况"/>
        <w:tag w:val="_SEC_9a8143f870bc4e57b202f414052a0b80"/>
        <w:id w:val="6773198"/>
        <w:lock w:val="sdtLocked"/>
        <w:placeholder>
          <w:docPart w:val="GBC22222222222222222222222222222"/>
        </w:placeholder>
      </w:sdtPr>
      <w:sdtEndPr>
        <w:rPr>
          <w:rFonts w:hint="eastAsia" w:ascii="宋体" w:hAnsi="宋体" w:cs="宋体"/>
          <w:kern w:val="0"/>
          <w:szCs w:val="24"/>
        </w:rPr>
      </w:sdtEndPr>
      <w:sdtContent>
        <w:p>
          <w:pPr>
            <w:pStyle w:val="53"/>
            <w:numPr>
              <w:ilvl w:val="0"/>
              <w:numId w:val="34"/>
            </w:numPr>
            <w:ind w:firstLineChars="0"/>
            <w:outlineLvl w:val="5"/>
          </w:pPr>
          <w:r>
            <w:rPr>
              <w:b/>
            </w:rPr>
            <w:t>委托贷款总体情况</w:t>
          </w:r>
        </w:p>
        <w:sdt>
          <w:sdtPr>
            <w:rPr>
              <w:rFonts w:hint="eastAsia"/>
            </w:rPr>
            <w:alias w:val="是否适用：委托贷款总体情况[双击切换]"/>
            <w:tag w:val="_GBC_6f663504a9e74d5c978e23554b4b84e4"/>
            <w:id w:val="6773188"/>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委托贷款总体其他情况"/>
        <w:tag w:val="_SEC_34e1ed3df0e1441ebcf87d7eb2c64ec3"/>
        <w:id w:val="6773201"/>
        <w:lock w:val="sdtLocked"/>
        <w:placeholder>
          <w:docPart w:val="GBC22222222222222222222222222222"/>
        </w:placeholder>
      </w:sdtPr>
      <w:sdtEndPr>
        <w:rPr>
          <w:rFonts w:hint="eastAsia"/>
        </w:rPr>
      </w:sdtEndPr>
      <w:sdtContent>
        <w:p>
          <w:pPr>
            <w:rPr>
              <w:b/>
            </w:rPr>
          </w:pPr>
          <w:r>
            <w:rPr>
              <w:rFonts w:hint="eastAsia"/>
              <w:b/>
            </w:rPr>
            <w:t>其他情况</w:t>
          </w:r>
        </w:p>
        <w:sdt>
          <w:sdtPr>
            <w:rPr>
              <w:rFonts w:hint="eastAsia"/>
            </w:rPr>
            <w:alias w:val="是否适用：委托贷款总体其他情况[双击切换]"/>
            <w:tag w:val="_GBC_a071e3ce40374c6bb1b2f2dc2158413e"/>
            <w:id w:val="6773199"/>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sdt>
      <w:sdtPr>
        <w:rPr>
          <w:rFonts w:ascii="宋体" w:hAnsi="宋体" w:cs="宋体"/>
          <w:b/>
          <w:kern w:val="0"/>
          <w:szCs w:val="24"/>
        </w:rPr>
        <w:alias w:val="模块:单项委托贷款情况"/>
        <w:tag w:val="_SEC_b6646f10bd22442798f985fd4ebdd061"/>
        <w:id w:val="6773226"/>
        <w:lock w:val="sdtLocked"/>
        <w:placeholder>
          <w:docPart w:val="GBC22222222222222222222222222222"/>
        </w:placeholder>
      </w:sdtPr>
      <w:sdtEndPr>
        <w:rPr>
          <w:rFonts w:hint="eastAsia" w:ascii="宋体" w:hAnsi="宋体" w:cs="宋体"/>
          <w:b w:val="0"/>
          <w:kern w:val="0"/>
          <w:szCs w:val="24"/>
        </w:rPr>
      </w:sdtEndPr>
      <w:sdtContent>
        <w:p>
          <w:pPr>
            <w:pStyle w:val="53"/>
            <w:numPr>
              <w:ilvl w:val="0"/>
              <w:numId w:val="34"/>
            </w:numPr>
            <w:ind w:firstLineChars="0"/>
            <w:outlineLvl w:val="5"/>
            <w:rPr>
              <w:b/>
            </w:rPr>
          </w:pPr>
          <w:r>
            <w:rPr>
              <w:b/>
            </w:rPr>
            <w:t>单项委托贷款情况</w:t>
          </w:r>
        </w:p>
        <w:sdt>
          <w:sdtPr>
            <w:rPr>
              <w:rFonts w:hint="eastAsia"/>
            </w:rPr>
            <w:alias w:val="是否适用：单项委托贷款情况[双击切换]"/>
            <w:tag w:val="_GBC_30b7c4837f704dff80c05190f23d6f3e"/>
            <w:id w:val="6773202"/>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cs="Times New Roman"/>
          <w:kern w:val="2"/>
          <w:szCs w:val="21"/>
        </w:rPr>
        <w:alias w:val="模块:单项委托贷款其他情况 "/>
        <w:tag w:val="_SEC_5b2e19ddb1654e038c545d348ccbd530"/>
        <w:id w:val="6773229"/>
        <w:lock w:val="sdtLocked"/>
        <w:placeholder>
          <w:docPart w:val="GBC22222222222222222222222222222"/>
        </w:placeholder>
      </w:sdtPr>
      <w:sdtEndPr>
        <w:rPr>
          <w:rFonts w:hint="eastAsia" w:cs="Times New Roman"/>
          <w:kern w:val="2"/>
          <w:szCs w:val="21"/>
        </w:rPr>
      </w:sdtEndPr>
      <w:sdtContent>
        <w:p>
          <w:pPr>
            <w:rPr>
              <w:b/>
            </w:rPr>
          </w:pPr>
          <w:r>
            <w:rPr>
              <w:rFonts w:hint="eastAsia"/>
              <w:b/>
            </w:rPr>
            <w:t>其他情况</w:t>
          </w:r>
        </w:p>
        <w:sdt>
          <w:sdtPr>
            <w:rPr>
              <w:rFonts w:hint="eastAsia"/>
            </w:rPr>
            <w:alias w:val="是否适用：单项委托贷款其他情况[双击切换]"/>
            <w:tag w:val="_GBC_7fbd63dcaf8a4899bcd830951796a261"/>
            <w:id w:val="6773227"/>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sdt>
      <w:sdtPr>
        <w:rPr>
          <w:rFonts w:ascii="宋体" w:hAnsi="宋体" w:cs="宋体"/>
          <w:kern w:val="0"/>
          <w:szCs w:val="24"/>
        </w:rPr>
        <w:alias w:val="模块:委托贷款减值准"/>
        <w:tag w:val="_SEC_0b6195f8785f4def8fa24b4658c28dab"/>
        <w:id w:val="6773232"/>
        <w:lock w:val="sdtLocked"/>
        <w:placeholder>
          <w:docPart w:val="GBC22222222222222222222222222222"/>
        </w:placeholder>
      </w:sdtPr>
      <w:sdtEndPr>
        <w:rPr>
          <w:rFonts w:ascii="宋体" w:hAnsi="宋体" w:cs="宋体"/>
          <w:kern w:val="0"/>
          <w:szCs w:val="24"/>
        </w:rPr>
      </w:sdtEndPr>
      <w:sdtContent>
        <w:p>
          <w:pPr>
            <w:pStyle w:val="53"/>
            <w:numPr>
              <w:ilvl w:val="0"/>
              <w:numId w:val="34"/>
            </w:numPr>
            <w:ind w:firstLineChars="0"/>
            <w:outlineLvl w:val="5"/>
            <w:rPr>
              <w:b/>
            </w:rPr>
          </w:pPr>
          <w:r>
            <w:rPr>
              <w:b/>
            </w:rPr>
            <w:t>委托贷款减值</w:t>
          </w:r>
          <w:r>
            <w:rPr>
              <w:rFonts w:hint="eastAsia"/>
              <w:b/>
            </w:rPr>
            <w:t>准备</w:t>
          </w:r>
        </w:p>
        <w:sdt>
          <w:sdtPr>
            <w:rPr>
              <w:rFonts w:hint="eastAsia"/>
            </w:rPr>
            <w:alias w:val="是否适用：委托贷款减值准备[双击切换]"/>
            <w:tag w:val="_GBC_72dc10eff44f4851bd80447a1199a033"/>
            <w:id w:val="6773230"/>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sdtContent>
    </w:sdt>
    <w:sdt>
      <w:sdtPr>
        <w:rPr>
          <w:rFonts w:ascii="宋体" w:hAnsi="宋体" w:cs="宋体"/>
          <w:b w:val="0"/>
          <w:bCs w:val="0"/>
          <w:kern w:val="0"/>
          <w:szCs w:val="24"/>
        </w:rPr>
        <w:alias w:val="模块:其他情况"/>
        <w:tag w:val="_SEC_3420a5610d744b6da7aed50323c980c9"/>
        <w:id w:val="6773235"/>
        <w:lock w:val="sdtLocked"/>
        <w:placeholder>
          <w:docPart w:val="GBC22222222222222222222222222222"/>
        </w:placeholder>
      </w:sdtPr>
      <w:sdtEndPr>
        <w:rPr>
          <w:rFonts w:hint="eastAsia" w:ascii="宋体" w:hAnsi="宋体" w:cs="宋体"/>
          <w:b w:val="0"/>
          <w:bCs w:val="0"/>
          <w:kern w:val="0"/>
          <w:szCs w:val="24"/>
        </w:rPr>
      </w:sdtEndPr>
      <w:sdtContent>
        <w:p>
          <w:pPr>
            <w:pStyle w:val="6"/>
            <w:numPr>
              <w:ilvl w:val="0"/>
              <w:numId w:val="32"/>
            </w:numPr>
          </w:pPr>
          <w:r>
            <w:t>其他</w:t>
          </w:r>
          <w:r>
            <w:rPr>
              <w:rFonts w:hint="eastAsia"/>
            </w:rPr>
            <w:t>情况</w:t>
          </w:r>
        </w:p>
        <w:sdt>
          <w:sdtPr>
            <w:rPr>
              <w:rFonts w:hint="eastAsia"/>
            </w:rPr>
            <w:alias w:val="是否适用：委托他人进行现金资产管理的其他情况[双击切换]"/>
            <w:tag w:val="_GBC_c408f1ecbaff4ed08e4dcfbbac8e0ccd"/>
            <w:id w:val="6773233"/>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sdt>
      <w:sdtPr>
        <w:rPr>
          <w:rFonts w:cs="宋体" w:asciiTheme="minorEastAsia" w:hAnsiTheme="minorEastAsia" w:eastAsiaTheme="minorEastAsia"/>
          <w:b w:val="0"/>
          <w:bCs w:val="0"/>
          <w:vanish/>
          <w:kern w:val="0"/>
          <w:szCs w:val="21"/>
        </w:rPr>
        <w:alias w:val="模块:其他重大合同或交易"/>
        <w:tag w:val="_SEC_9d125c8ad0cb430d9249029482fa1530"/>
        <w:id w:val="6773238"/>
        <w:lock w:val="sdtLocked"/>
        <w:placeholder>
          <w:docPart w:val="GBC22222222222222222222222222222"/>
        </w:placeholder>
      </w:sdtPr>
      <w:sdtEndPr>
        <w:rPr>
          <w:rFonts w:hint="eastAsia" w:ascii="宋体" w:hAnsi="宋体" w:eastAsia="宋体" w:cs="宋体"/>
          <w:b w:val="0"/>
          <w:bCs w:val="0"/>
          <w:vanish w:val="0"/>
          <w:kern w:val="0"/>
          <w:szCs w:val="21"/>
        </w:rPr>
      </w:sdtEndPr>
      <w:sdtContent>
        <w:p>
          <w:pPr>
            <w:pStyle w:val="4"/>
            <w:numPr>
              <w:ilvl w:val="0"/>
              <w:numId w:val="30"/>
            </w:numPr>
            <w:rPr>
              <w:szCs w:val="21"/>
            </w:rPr>
          </w:pPr>
          <w:r>
            <w:rPr>
              <w:szCs w:val="21"/>
            </w:rPr>
            <w:t>其他重大合同</w:t>
          </w:r>
        </w:p>
        <w:sdt>
          <w:sdtPr>
            <w:rPr>
              <w:rFonts w:hint="eastAsia"/>
              <w:szCs w:val="21"/>
            </w:rPr>
            <w:alias w:val="是否适用：其他重大合同[双击切换]"/>
            <w:tag w:val="_GBC_541dd80939ae4bafb641675f942c4c14"/>
            <w:id w:val="677323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hint="eastAsia" w:ascii="宋体" w:hAnsi="宋体" w:cs="宋体"/>
          <w:b w:val="0"/>
          <w:bCs w:val="0"/>
          <w:kern w:val="0"/>
          <w:szCs w:val="24"/>
        </w:rPr>
        <w:alias w:val="模块:"/>
        <w:tag w:val="_SEC_5c3258d364b244e3bd64f661e4156e0c"/>
        <w:id w:val="6773241"/>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19"/>
            </w:numPr>
          </w:pPr>
          <w:r>
            <w:rPr>
              <w:rFonts w:hint="eastAsia"/>
            </w:rPr>
            <w:t>其</w:t>
          </w:r>
          <w:r>
            <w:t>他重大事项的说明</w:t>
          </w:r>
        </w:p>
        <w:sdt>
          <w:sdtPr>
            <w:rPr>
              <w:szCs w:val="21"/>
            </w:rPr>
            <w:alias w:val="是否适用：其他重大事项的说明[双击切换]"/>
            <w:tag w:val="_GBC_a560f17fa4c7429db7d87dca59f4df08"/>
            <w:id w:val="6773239"/>
            <w:lock w:val="sdtContentLocked"/>
            <w:placeholder>
              <w:docPart w:val="GBC22222222222222222222222222222"/>
            </w:placeholder>
          </w:sdtPr>
          <w:sdtEndPr>
            <w:rPr>
              <w:szCs w:val="21"/>
            </w:rPr>
          </w:sdtEndPr>
          <w:sdtContent>
            <w:p>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3"/>
        <w:numPr>
          <w:ilvl w:val="0"/>
          <w:numId w:val="19"/>
        </w:numPr>
      </w:pPr>
      <w:r>
        <w:rPr>
          <w:rFonts w:hint="eastAsia"/>
        </w:rPr>
        <w:t>积极履行社会责任的工作情况</w:t>
      </w:r>
    </w:p>
    <w:p>
      <w:pPr>
        <w:pStyle w:val="4"/>
        <w:numPr>
          <w:ilvl w:val="0"/>
          <w:numId w:val="35"/>
        </w:numPr>
        <w:tabs>
          <w:tab w:val="left" w:pos="644"/>
        </w:tabs>
      </w:pPr>
      <w:r>
        <w:rPr>
          <w:rFonts w:hint="eastAsia"/>
        </w:rPr>
        <w:t>上市公司扶贫工作情况</w:t>
      </w:r>
    </w:p>
    <w:sdt>
      <w:sdtPr>
        <w:alias w:val="是否适用：上市公司扶贫工作情况[双击切换]"/>
        <w:tag w:val="_GBC_96c3539f85ab4ffaa9ca10b918c2ef64"/>
        <w:id w:val="677324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b w:val="0"/>
          <w:bCs w:val="0"/>
          <w:kern w:val="0"/>
          <w:szCs w:val="24"/>
        </w:rPr>
        <w:alias w:val="模块:精准扶贫规划"/>
        <w:tag w:val="_SEC_5d37f6a9c8104307a4d5b512e1f2cac9"/>
        <w:id w:val="6773244"/>
        <w:lock w:val="sdtLocked"/>
        <w:placeholder>
          <w:docPart w:val="GBC22222222222222222222222222222"/>
        </w:placeholder>
      </w:sdtPr>
      <w:sdtEndPr>
        <w:rPr>
          <w:rFonts w:ascii="宋体" w:hAnsi="宋体" w:cs="宋体"/>
          <w:b w:val="0"/>
          <w:bCs w:val="0"/>
          <w:kern w:val="0"/>
          <w:szCs w:val="24"/>
        </w:rPr>
      </w:sdtEndPr>
      <w:sdtContent>
        <w:p>
          <w:pPr>
            <w:pStyle w:val="5"/>
            <w:numPr>
              <w:ilvl w:val="0"/>
              <w:numId w:val="36"/>
            </w:numPr>
          </w:pPr>
          <w:r>
            <w:t>精准扶贫规划</w:t>
          </w:r>
        </w:p>
        <w:sdt>
          <w:sdtPr>
            <w:rPr>
              <w:rFonts w:hint="eastAsia"/>
            </w:rPr>
            <w:alias w:val="精准扶贫规划"/>
            <w:tag w:val="_GBC_70b0567df2ad4b60b8776c6fecae3d23"/>
            <w:id w:val="6773243"/>
            <w:lock w:val="sdtLocked"/>
            <w:placeholder>
              <w:docPart w:val="GBC22222222222222222222222222222"/>
            </w:placeholder>
          </w:sdtPr>
          <w:sdtEndPr>
            <w:rPr>
              <w:rFonts w:hint="eastAsia"/>
            </w:rPr>
          </w:sdtEndPr>
          <w:sdtContent>
            <w:p>
              <w:r>
                <w:rPr>
                  <w:rFonts w:hint="eastAsia"/>
                </w:rPr>
                <w:t>无</w:t>
              </w:r>
            </w:p>
          </w:sdtContent>
        </w:sdt>
        <w:p/>
      </w:sdtContent>
    </w:sdt>
    <w:sdt>
      <w:sdtPr>
        <w:rPr>
          <w:rFonts w:ascii="宋体" w:hAnsi="宋体" w:cs="宋体"/>
          <w:b w:val="0"/>
          <w:bCs w:val="0"/>
          <w:kern w:val="0"/>
          <w:szCs w:val="24"/>
        </w:rPr>
        <w:alias w:val="模块:年度精准扶贫概要"/>
        <w:tag w:val="_SEC_9220bfcf948f48c49e63ac87decfcc79"/>
        <w:id w:val="6773246"/>
        <w:lock w:val="sdtLocked"/>
        <w:placeholder>
          <w:docPart w:val="GBC22222222222222222222222222222"/>
        </w:placeholder>
      </w:sdtPr>
      <w:sdtEndPr>
        <w:rPr>
          <w:rFonts w:ascii="宋体" w:hAnsi="宋体" w:cs="宋体"/>
          <w:b w:val="0"/>
          <w:bCs w:val="0"/>
          <w:kern w:val="0"/>
          <w:szCs w:val="24"/>
        </w:rPr>
      </w:sdtEndPr>
      <w:sdtContent>
        <w:p>
          <w:pPr>
            <w:pStyle w:val="5"/>
            <w:numPr>
              <w:ilvl w:val="0"/>
              <w:numId w:val="36"/>
            </w:numPr>
          </w:pPr>
          <w:r>
            <w:t>年度精准扶贫概要</w:t>
          </w:r>
        </w:p>
        <w:sdt>
          <w:sdtPr>
            <w:alias w:val="精准扶贫概要"/>
            <w:tag w:val="_GBC_725e8bccd07a4d3eb16a0a3bde16b9e6"/>
            <w:id w:val="6773245"/>
            <w:lock w:val="sdtLocked"/>
            <w:placeholder>
              <w:docPart w:val="GBC22222222222222222222222222222"/>
            </w:placeholder>
          </w:sdtPr>
          <w:sdtContent>
            <w:p>
              <w:r>
                <w:rPr>
                  <w:rFonts w:hint="eastAsia"/>
                </w:rPr>
                <w:t>无</w:t>
              </w:r>
            </w:p>
          </w:sdtContent>
        </w:sdt>
        <w:p/>
      </w:sdtContent>
    </w:sdt>
    <w:sdt>
      <w:sdtPr>
        <w:rPr>
          <w:rFonts w:ascii="宋体" w:hAnsi="宋体" w:cs="宋体"/>
          <w:b w:val="0"/>
          <w:bCs w:val="0"/>
          <w:kern w:val="0"/>
          <w:szCs w:val="24"/>
        </w:rPr>
        <w:alias w:val="模块:精准扶贫成效"/>
        <w:tag w:val="_SEC_0b08c5731e7a448da7fbcab99bbc02d8"/>
        <w:id w:val="6773303"/>
        <w:lock w:val="sdtLocked"/>
        <w:placeholder>
          <w:docPart w:val="GBC22222222222222222222222222222"/>
        </w:placeholder>
      </w:sdtPr>
      <w:sdtEndPr>
        <w:rPr>
          <w:rFonts w:ascii="宋体" w:hAnsi="宋体" w:cs="宋体"/>
          <w:b w:val="0"/>
          <w:bCs w:val="0"/>
          <w:kern w:val="0"/>
          <w:szCs w:val="24"/>
        </w:rPr>
      </w:sdtEndPr>
      <w:sdtContent>
        <w:p>
          <w:pPr>
            <w:pStyle w:val="5"/>
            <w:numPr>
              <w:ilvl w:val="0"/>
              <w:numId w:val="36"/>
            </w:numPr>
          </w:pPr>
          <w:r>
            <w:rPr>
              <w:rFonts w:hint="eastAsia"/>
            </w:rPr>
            <w:t>精准扶贫成效</w:t>
          </w:r>
        </w:p>
        <w:p>
          <w:pPr>
            <w:jc w:val="right"/>
          </w:pPr>
          <w:r>
            <w:rPr>
              <w:rFonts w:hint="eastAsia"/>
            </w:rPr>
            <w:t>单位：</w:t>
          </w:r>
          <w:sdt>
            <w:sdtPr>
              <w:rPr>
                <w:rFonts w:hint="eastAsia"/>
              </w:rPr>
              <w:alias w:val="单位：精准扶贫工作情况统计表"/>
              <w:tag w:val="_GBC_5eef2782cfc24c70a7fdbfe5092597b0"/>
              <w:id w:val="677324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万元</w:t>
              </w:r>
            </w:sdtContent>
          </w:sdt>
          <w:r>
            <w:rPr>
              <w:rFonts w:hint="eastAsia"/>
            </w:rPr>
            <w:t xml:space="preserve">  币种：</w:t>
          </w:r>
          <w:sdt>
            <w:sdtPr>
              <w:rPr>
                <w:rFonts w:hint="eastAsia"/>
              </w:rPr>
              <w:alias w:val="币种：精准扶贫工作情况统计表"/>
              <w:tag w:val="_GBC_9641c8edf0ce41cf8380694c4dd2c9b1"/>
              <w:id w:val="67732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jc w:val="center"/>
            <w:tblInd w:w="0" w:type="dxa"/>
            <w:tblLayout w:type="fixed"/>
            <w:tblCellMar>
              <w:top w:w="0" w:type="dxa"/>
              <w:left w:w="108" w:type="dxa"/>
              <w:bottom w:w="0" w:type="dxa"/>
              <w:right w:w="108" w:type="dxa"/>
            </w:tblCellMar>
          </w:tblPr>
          <w:tblGrid>
            <w:gridCol w:w="4785"/>
            <w:gridCol w:w="4264"/>
          </w:tblGrid>
          <w:tr>
            <w:tblPrEx>
              <w:tblLayout w:type="fixed"/>
              <w:tblCellMar>
                <w:top w:w="0" w:type="dxa"/>
                <w:left w:w="108" w:type="dxa"/>
                <w:bottom w:w="0" w:type="dxa"/>
                <w:right w:w="108" w:type="dxa"/>
              </w:tblCellMar>
            </w:tblPrEx>
            <w:trPr>
              <w:trHeight w:val="192" w:hRule="atLeast"/>
              <w:jc w:val="center"/>
            </w:trPr>
            <w:sdt>
              <w:sdtPr>
                <w:tag w:val="_PLD_871e0a8d96fe4085843bd0f7b770d8c7"/>
                <w:id w:val="6773249"/>
                <w:lock w:val="sdtLocked"/>
              </w:sdtPr>
              <w:sdtContent>
                <w:tc>
                  <w:tcPr>
                    <w:tcW w:w="4785" w:type="dxa"/>
                    <w:tcBorders>
                      <w:top w:val="single" w:color="auto" w:sz="4" w:space="0"/>
                      <w:left w:val="single" w:color="auto" w:sz="4" w:space="0"/>
                      <w:bottom w:val="single" w:color="auto" w:sz="4" w:space="0"/>
                      <w:right w:val="single" w:color="auto" w:sz="4" w:space="0"/>
                    </w:tcBorders>
                  </w:tcPr>
                  <w:p>
                    <w:pPr>
                      <w:jc w:val="center"/>
                    </w:pPr>
                    <w:r>
                      <w:rPr>
                        <w:rFonts w:hint="eastAsia"/>
                      </w:rPr>
                      <w:t>指    标</w:t>
                    </w:r>
                  </w:p>
                </w:tc>
              </w:sdtContent>
            </w:sdt>
            <w:sdt>
              <w:sdtPr>
                <w:tag w:val="_PLD_8eb687b8bc014758a0bf7a335edf8e82"/>
                <w:id w:val="6773250"/>
                <w:lock w:val="sdtLocked"/>
              </w:sdtPr>
              <w:sdtContent>
                <w:tc>
                  <w:tcPr>
                    <w:tcW w:w="4264" w:type="dxa"/>
                    <w:tcBorders>
                      <w:top w:val="single" w:color="auto" w:sz="4" w:space="0"/>
                      <w:left w:val="single" w:color="auto" w:sz="4" w:space="0"/>
                      <w:bottom w:val="single" w:color="auto" w:sz="4" w:space="0"/>
                      <w:right w:val="single" w:color="auto" w:sz="4" w:space="0"/>
                    </w:tcBorders>
                  </w:tcPr>
                  <w:p>
                    <w:pPr>
                      <w:jc w:val="center"/>
                    </w:pPr>
                    <w:r>
                      <w:rPr>
                        <w:rFonts w:hint="eastAsia"/>
                      </w:rPr>
                      <w:t>数量及开展情况</w:t>
                    </w:r>
                  </w:p>
                </w:tc>
              </w:sdtContent>
            </w:sdt>
          </w:tr>
          <w:tr>
            <w:tblPrEx>
              <w:tblLayout w:type="fixed"/>
              <w:tblCellMar>
                <w:top w:w="0" w:type="dxa"/>
                <w:left w:w="108" w:type="dxa"/>
                <w:bottom w:w="0" w:type="dxa"/>
                <w:right w:w="108" w:type="dxa"/>
              </w:tblCellMar>
            </w:tblPrEx>
            <w:trPr>
              <w:trHeight w:val="70" w:hRule="atLeast"/>
              <w:jc w:val="center"/>
            </w:trPr>
            <w:sdt>
              <w:sdtPr>
                <w:tag w:val="_PLD_41075f0eb04647909f4273b4271ac323"/>
                <w:id w:val="6773251"/>
                <w:lock w:val="sdtLocked"/>
              </w:sdtPr>
              <w:sdtContent>
                <w:tc>
                  <w:tcPr>
                    <w:tcW w:w="4785" w:type="dxa"/>
                    <w:tcBorders>
                      <w:top w:val="single" w:color="auto" w:sz="4" w:space="0"/>
                      <w:left w:val="single" w:color="auto" w:sz="4" w:space="0"/>
                      <w:bottom w:val="single" w:color="auto" w:sz="4" w:space="0"/>
                      <w:right w:val="single" w:color="auto" w:sz="4" w:space="0"/>
                    </w:tcBorders>
                  </w:tcPr>
                  <w:p>
                    <w:r>
                      <w:rPr>
                        <w:rFonts w:hint="eastAsia"/>
                      </w:rPr>
                      <w:t>一、总体情况</w:t>
                    </w:r>
                  </w:p>
                </w:tc>
              </w:sdtContent>
            </w:sdt>
            <w:tc>
              <w:tcPr>
                <w:tcW w:w="4264" w:type="dxa"/>
                <w:tcBorders>
                  <w:top w:val="single" w:color="auto" w:sz="4" w:space="0"/>
                  <w:left w:val="single" w:color="auto" w:sz="4" w:space="0"/>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218" w:hRule="atLeast"/>
              <w:jc w:val="center"/>
            </w:trPr>
            <w:sdt>
              <w:sdtPr>
                <w:tag w:val="_PLD_bbe695fbfb214d10bf96aa2c95030a8a"/>
                <w:id w:val="6773252"/>
                <w:lock w:val="sdtLocked"/>
              </w:sdtPr>
              <w:sdtContent>
                <w:tc>
                  <w:tcPr>
                    <w:tcW w:w="4785" w:type="dxa"/>
                    <w:tcBorders>
                      <w:top w:val="single" w:color="auto" w:sz="4" w:space="0"/>
                      <w:left w:val="single" w:color="auto" w:sz="4" w:space="0"/>
                      <w:bottom w:val="single" w:color="auto" w:sz="4" w:space="0"/>
                      <w:right w:val="single" w:color="auto" w:sz="4" w:space="0"/>
                    </w:tcBorders>
                  </w:tcPr>
                  <w:p>
                    <w:r>
                      <w:rPr>
                        <w:rFonts w:hint="eastAsia"/>
                      </w:rPr>
                      <w:t>其中：1.资金</w:t>
                    </w:r>
                  </w:p>
                </w:tc>
              </w:sdtContent>
            </w:sdt>
            <w:tc>
              <w:tcPr>
                <w:tcW w:w="4264" w:type="dxa"/>
                <w:tcBorders>
                  <w:top w:val="single" w:color="auto" w:sz="4" w:space="0"/>
                  <w:left w:val="single" w:color="auto" w:sz="4" w:space="0"/>
                  <w:bottom w:val="single" w:color="auto" w:sz="4" w:space="0"/>
                  <w:right w:val="single" w:color="auto" w:sz="4" w:space="0"/>
                </w:tcBorders>
              </w:tcPr>
              <w:p>
                <w:pPr>
                  <w:jc w:val="right"/>
                </w:pPr>
                <w:r>
                  <w:rPr>
                    <w:rFonts w:hint="eastAsia"/>
                  </w:rPr>
                  <w:t>/</w:t>
                </w:r>
              </w:p>
            </w:tc>
          </w:tr>
          <w:tr>
            <w:tblPrEx>
              <w:tblLayout w:type="fixed"/>
              <w:tblCellMar>
                <w:top w:w="0" w:type="dxa"/>
                <w:left w:w="108" w:type="dxa"/>
                <w:bottom w:w="0" w:type="dxa"/>
                <w:right w:w="108" w:type="dxa"/>
              </w:tblCellMar>
            </w:tblPrEx>
            <w:trPr>
              <w:trHeight w:val="190" w:hRule="atLeast"/>
              <w:jc w:val="center"/>
            </w:trPr>
            <w:sdt>
              <w:sdtPr>
                <w:tag w:val="_PLD_003f60977f414bc58d64a39eca192499"/>
                <w:id w:val="6773253"/>
                <w:lock w:val="sdtLocked"/>
              </w:sdtPr>
              <w:sdtContent>
                <w:tc>
                  <w:tcPr>
                    <w:tcW w:w="4785" w:type="dxa"/>
                    <w:tcBorders>
                      <w:top w:val="single" w:color="auto" w:sz="4" w:space="0"/>
                      <w:left w:val="single" w:color="auto" w:sz="4" w:space="0"/>
                      <w:bottom w:val="single" w:color="auto" w:sz="4" w:space="0"/>
                      <w:right w:val="single" w:color="auto" w:sz="4" w:space="0"/>
                    </w:tcBorders>
                  </w:tcPr>
                  <w:p>
                    <w:pPr>
                      <w:ind w:firstLine="630" w:firstLineChars="300"/>
                    </w:pPr>
                    <w:r>
                      <w:rPr>
                        <w:rFonts w:hint="eastAsia"/>
                      </w:rPr>
                      <w:t>2.物资折款</w:t>
                    </w:r>
                  </w:p>
                </w:tc>
              </w:sdtContent>
            </w:sdt>
            <w:tc>
              <w:tcPr>
                <w:tcW w:w="4264"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right"/>
                </w:pPr>
                <w:r>
                  <w:rPr>
                    <w:rFonts w:hint="eastAsia"/>
                  </w:rPr>
                  <w:t>89.13</w:t>
                </w:r>
              </w:p>
            </w:tc>
          </w:tr>
          <w:tr>
            <w:tblPrEx>
              <w:tblLayout w:type="fixed"/>
              <w:tblCellMar>
                <w:top w:w="0" w:type="dxa"/>
                <w:left w:w="108" w:type="dxa"/>
                <w:bottom w:w="0" w:type="dxa"/>
                <w:right w:w="108" w:type="dxa"/>
              </w:tblCellMar>
            </w:tblPrEx>
            <w:trPr>
              <w:trHeight w:val="140" w:hRule="atLeast"/>
              <w:jc w:val="center"/>
            </w:trPr>
            <w:sdt>
              <w:sdtPr>
                <w:tag w:val="_PLD_d227030945e34263be115882c7530e0b"/>
                <w:id w:val="6773254"/>
                <w:lock w:val="sdtLocked"/>
              </w:sdtPr>
              <w:sdtContent>
                <w:tc>
                  <w:tcPr>
                    <w:tcW w:w="4785" w:type="dxa"/>
                    <w:tcBorders>
                      <w:top w:val="single" w:color="auto" w:sz="4" w:space="0"/>
                      <w:left w:val="single" w:color="auto" w:sz="4" w:space="0"/>
                      <w:bottom w:val="single" w:color="auto" w:sz="4" w:space="0"/>
                      <w:right w:val="single" w:color="auto" w:sz="4" w:space="0"/>
                    </w:tcBorders>
                  </w:tcPr>
                  <w:p>
                    <w:pPr>
                      <w:ind w:firstLine="630" w:firstLineChars="300"/>
                    </w:pPr>
                    <w:r>
                      <w:rPr>
                        <w:rFonts w:hint="eastAsia"/>
                      </w:rPr>
                      <w:t>3.帮助建档立卡贫困人口脱贫数（人）</w:t>
                    </w:r>
                  </w:p>
                </w:tc>
              </w:sdtContent>
            </w:sdt>
            <w:tc>
              <w:tcPr>
                <w:tcW w:w="4264" w:type="dxa"/>
                <w:tcBorders>
                  <w:top w:val="single" w:color="auto" w:sz="4" w:space="0"/>
                  <w:left w:val="single" w:color="auto" w:sz="4" w:space="0"/>
                  <w:bottom w:val="single" w:color="auto" w:sz="4" w:space="0"/>
                  <w:right w:val="single" w:color="auto" w:sz="4" w:space="0"/>
                </w:tcBorders>
              </w:tcPr>
              <w:p>
                <w:pPr>
                  <w:jc w:val="right"/>
                </w:pPr>
                <w:r>
                  <w:rPr>
                    <w:rFonts w:hint="eastAsia"/>
                  </w:rPr>
                  <w:t>/</w:t>
                </w:r>
              </w:p>
            </w:tc>
          </w:tr>
        </w:tbl>
        <w:p/>
      </w:sdtContent>
    </w:sdt>
    <w:sdt>
      <w:sdtPr>
        <w:rPr>
          <w:rFonts w:hint="eastAsia" w:ascii="宋体" w:hAnsi="宋体" w:cs="宋体"/>
          <w:b w:val="0"/>
          <w:bCs w:val="0"/>
          <w:kern w:val="0"/>
          <w:szCs w:val="24"/>
        </w:rPr>
        <w:alias w:val="模块:后续精准扶贫计划"/>
        <w:tag w:val="_SEC_9820220d021b411582c782bed3912a59"/>
        <w:id w:val="6773305"/>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36"/>
            </w:numPr>
          </w:pPr>
          <w:r>
            <w:t>后续精准扶贫计划</w:t>
          </w:r>
        </w:p>
        <w:sdt>
          <w:sdtPr>
            <w:alias w:val="后续精准扶贫计划"/>
            <w:tag w:val="_GBC_269cd03c80c849cc83487e63635b3339"/>
            <w:id w:val="6773304"/>
            <w:lock w:val="sdtLocked"/>
            <w:placeholder>
              <w:docPart w:val="GBC22222222222222222222222222222"/>
            </w:placeholder>
          </w:sdtPr>
          <w:sdtContent>
            <w:p>
              <w:r>
                <w:rPr>
                  <w:rFonts w:hint="eastAsia"/>
                </w:rPr>
                <w:t>无</w:t>
              </w:r>
            </w:p>
          </w:sdtContent>
        </w:sdt>
      </w:sdtContent>
    </w:sdt>
    <w:p/>
    <w:sdt>
      <w:sdtPr>
        <w:rPr>
          <w:rFonts w:hint="eastAsia" w:ascii="宋体" w:hAnsi="宋体" w:cs="宋体"/>
          <w:b w:val="0"/>
          <w:bCs w:val="0"/>
          <w:kern w:val="0"/>
          <w:szCs w:val="24"/>
        </w:rPr>
        <w:alias w:val="模块:社会责任工作情况"/>
        <w:tag w:val="_SEC_ee27b1a72aa5419087caf130b9eefdde"/>
        <w:id w:val="6773308"/>
        <w:lock w:val="sdtLocked"/>
        <w:placeholder>
          <w:docPart w:val="GBC22222222222222222222222222222"/>
        </w:placeholder>
      </w:sdtPr>
      <w:sdtEndPr>
        <w:rPr>
          <w:rFonts w:hint="default" w:ascii="宋体" w:hAnsi="宋体" w:cs="宋体"/>
          <w:b w:val="0"/>
          <w:bCs w:val="0"/>
          <w:kern w:val="0"/>
          <w:szCs w:val="24"/>
        </w:rPr>
      </w:sdtEndPr>
      <w:sdtContent>
        <w:p>
          <w:pPr>
            <w:pStyle w:val="4"/>
            <w:numPr>
              <w:ilvl w:val="0"/>
              <w:numId w:val="35"/>
            </w:numPr>
            <w:tabs>
              <w:tab w:val="left" w:pos="644"/>
            </w:tabs>
          </w:pPr>
          <w:r>
            <w:rPr>
              <w:rFonts w:hint="eastAsia"/>
            </w:rPr>
            <w:t>社会责任工作情况</w:t>
          </w:r>
        </w:p>
        <w:sdt>
          <w:sdtPr>
            <w:rPr>
              <w:rFonts w:hint="eastAsia"/>
            </w:rPr>
            <w:alias w:val="是否适用：社会责任工作情况[双击切换]"/>
            <w:tag w:val="_GBC_193e5fab56724eddabaa8d0d74a4b129"/>
            <w:id w:val="6773306"/>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社会责任工作情况"/>
            <w:tag w:val="_GBC_a9b541509de44900b46d09bc29c43131"/>
            <w:id w:val="6773307"/>
            <w:lock w:val="sdtLocked"/>
            <w:placeholder>
              <w:docPart w:val="GBC22222222222222222222222222222"/>
            </w:placeholder>
          </w:sdtPr>
          <w:sdtContent>
            <w:p>
              <w:r>
                <w:rPr>
                  <w:rFonts w:hint="eastAsia"/>
                </w:rPr>
                <w:t>详见与本报告同日披露的《社会责任报告》，披露网址</w:t>
              </w:r>
              <w:r>
                <w:t xml:space="preserve"> http：//www.sse.com.cn。</w:t>
              </w:r>
            </w:p>
          </w:sdtContent>
        </w:sdt>
      </w:sdtContent>
    </w:sdt>
    <w:p>
      <w:pPr>
        <w:pStyle w:val="4"/>
        <w:numPr>
          <w:ilvl w:val="0"/>
          <w:numId w:val="35"/>
        </w:numPr>
        <w:tabs>
          <w:tab w:val="left" w:pos="644"/>
        </w:tabs>
      </w:pPr>
      <w:r>
        <w:t>环境信息情况</w:t>
      </w:r>
    </w:p>
    <w:sdt>
      <w:sdtPr>
        <w:rPr>
          <w:rFonts w:hint="eastAsia" w:ascii="宋体" w:hAnsi="宋体" w:cs="宋体"/>
          <w:b w:val="0"/>
          <w:bCs w:val="0"/>
          <w:kern w:val="0"/>
          <w:szCs w:val="24"/>
        </w:rPr>
        <w:alias w:val="模块:属于环境保护部门公布的重点排污单位的公司及其重要子公司的环保情况说明"/>
        <w:tag w:val="_SEC_f5ea8236428a4a3bbf43a582c5c136e8"/>
        <w:id w:val="6773311"/>
        <w:lock w:val="sdtLocked"/>
        <w:placeholder>
          <w:docPart w:val="GBC22222222222222222222222222222"/>
        </w:placeholder>
      </w:sdtPr>
      <w:sdtEndPr>
        <w:rPr>
          <w:rFonts w:hint="default" w:ascii="宋体" w:hAnsi="宋体" w:cs="宋体"/>
          <w:b w:val="0"/>
          <w:bCs w:val="0"/>
          <w:kern w:val="0"/>
          <w:szCs w:val="21"/>
        </w:rPr>
      </w:sdtEndPr>
      <w:sdtContent>
        <w:p>
          <w:pPr>
            <w:pStyle w:val="5"/>
            <w:numPr>
              <w:ilvl w:val="0"/>
              <w:numId w:val="37"/>
            </w:numPr>
          </w:pPr>
          <w:r>
            <w:rPr>
              <w:rFonts w:hint="eastAsia"/>
            </w:rPr>
            <w:t>属于环境保护部门公布的重点排污单位的公司及其重要子公司的</w:t>
          </w:r>
          <w:r>
            <w:t>环保情况说明</w:t>
          </w:r>
        </w:p>
        <w:sdt>
          <w:sdtPr>
            <w:rPr>
              <w:rFonts w:hint="eastAsia"/>
            </w:rPr>
            <w:alias w:val="是否适用：属于环境保护部门公布的重点排污单位的公司及其子公司的环保情况说明[双击切换]"/>
            <w:tag w:val="_GBC_477b4cca062740bf9c227fa889641c0c"/>
            <w:id w:val="6773309"/>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公司被列入环保部门公布的污染严重企业名单情况"/>
            <w:tag w:val="_GBC_d826e42996ba4808a13db13530ac38a6"/>
            <w:id w:val="6773310"/>
            <w:lock w:val="sdtLocked"/>
            <w:placeholder>
              <w:docPart w:val="GBC22222222222222222222222222222"/>
            </w:placeholder>
          </w:sdtPr>
          <w:sdtEndPr>
            <w:rPr>
              <w:rFonts w:hint="eastAsia"/>
            </w:rPr>
          </w:sdtEndPr>
          <w:sdtContent>
            <w:p>
              <w:r>
                <w:rPr>
                  <w:rFonts w:hint="eastAsia"/>
                </w:rPr>
                <w:t>公司环保及排污情况详见与本报告同日披露的《社会责任报告》，披露网址</w:t>
              </w:r>
              <w:r>
                <w:t xml:space="preserve"> http：//www.sse.com.cn。</w:t>
              </w:r>
            </w:p>
          </w:sdtContent>
        </w:sdt>
      </w:sdtContent>
    </w:sdt>
    <w:sdt>
      <w:sdtPr>
        <w:rPr>
          <w:rFonts w:ascii="宋体" w:hAnsi="宋体" w:cs="宋体"/>
          <w:b w:val="0"/>
          <w:bCs w:val="0"/>
          <w:kern w:val="0"/>
          <w:szCs w:val="21"/>
        </w:rPr>
        <w:alias w:val="模块:重点排污单位之外的公司"/>
        <w:tag w:val="_SEC_98430ad438564e709056edc9928c7e06"/>
        <w:id w:val="6773313"/>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37"/>
            </w:numPr>
            <w:rPr>
              <w:szCs w:val="21"/>
            </w:rPr>
          </w:pPr>
          <w:r>
            <w:rPr>
              <w:szCs w:val="21"/>
            </w:rPr>
            <w:t>重点排污单位之外的公司</w:t>
          </w:r>
        </w:p>
        <w:sdt>
          <w:sdtPr>
            <w:rPr>
              <w:rFonts w:hint="eastAsia"/>
              <w:szCs w:val="21"/>
            </w:rPr>
            <w:alias w:val="是否适用：重点排污单位之外的公司[双击切换]"/>
            <w:tag w:val="_GBC_224a70e24edf4325a605e3e0407dfac4"/>
            <w:id w:val="677331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hint="eastAsia" w:ascii="宋体" w:hAnsi="宋体" w:cs="宋体"/>
          <w:b w:val="0"/>
          <w:bCs w:val="0"/>
          <w:kern w:val="0"/>
          <w:szCs w:val="21"/>
        </w:rPr>
        <w:alias w:val="模块:其他说明"/>
        <w:tag w:val="_SEC_c6b1823e9dcb4731bcd29fc7e85d7bc5"/>
        <w:id w:val="6773315"/>
        <w:lock w:val="sdtLocked"/>
        <w:placeholder>
          <w:docPart w:val="GBC22222222222222222222222222222"/>
        </w:placeholder>
      </w:sdtPr>
      <w:sdtEndPr>
        <w:rPr>
          <w:rFonts w:hint="default" w:ascii="宋体" w:hAnsi="宋体" w:cs="宋体"/>
          <w:b w:val="0"/>
          <w:bCs w:val="0"/>
          <w:kern w:val="0"/>
          <w:szCs w:val="21"/>
        </w:rPr>
      </w:sdtEndPr>
      <w:sdtContent>
        <w:p>
          <w:pPr>
            <w:pStyle w:val="5"/>
            <w:numPr>
              <w:ilvl w:val="0"/>
              <w:numId w:val="37"/>
            </w:numPr>
            <w:rPr>
              <w:szCs w:val="21"/>
            </w:rPr>
          </w:pPr>
          <w:r>
            <w:rPr>
              <w:rFonts w:hint="eastAsia"/>
              <w:szCs w:val="21"/>
            </w:rPr>
            <w:t>其他说明</w:t>
          </w:r>
        </w:p>
        <w:sdt>
          <w:sdtPr>
            <w:rPr>
              <w:rFonts w:hint="eastAsia"/>
              <w:szCs w:val="21"/>
            </w:rPr>
            <w:alias w:val="是否适用：环境信息情况其他说明[双击切换]"/>
            <w:tag w:val="_GBC_7ba718f8793643c3968a05b7925333de"/>
            <w:id w:val="6773314"/>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ascii="宋体" w:hAnsi="宋体" w:cs="宋体"/>
          <w:b w:val="0"/>
          <w:bCs w:val="0"/>
          <w:kern w:val="0"/>
          <w:szCs w:val="21"/>
        </w:rPr>
        <w:alias w:val="模块:其他说明"/>
        <w:tag w:val="_SEC_01bd5ddfe98a4c02a9143838f2532419"/>
        <w:id w:val="6773317"/>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35"/>
            </w:numPr>
            <w:tabs>
              <w:tab w:val="left" w:pos="644"/>
            </w:tabs>
            <w:rPr>
              <w:szCs w:val="21"/>
            </w:rPr>
          </w:pPr>
          <w:r>
            <w:rPr>
              <w:szCs w:val="21"/>
            </w:rPr>
            <w:t>其他说明</w:t>
          </w:r>
        </w:p>
        <w:sdt>
          <w:sdtPr>
            <w:rPr>
              <w:rFonts w:hint="eastAsia"/>
              <w:szCs w:val="21"/>
            </w:rPr>
            <w:alias w:val="是否适用：积极履行社会责任的工作情况其他说明[双击切换]"/>
            <w:tag w:val="_GBC_2c735db33f5c4ef4bc8a0b9a39b12ff5"/>
            <w:id w:val="677331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3"/>
        <w:numPr>
          <w:ilvl w:val="0"/>
          <w:numId w:val="19"/>
        </w:numPr>
      </w:pPr>
      <w:r>
        <w:rPr>
          <w:rFonts w:hint="eastAsia"/>
        </w:rPr>
        <w:t>可转换公司债券情况</w:t>
      </w:r>
    </w:p>
    <w:sdt>
      <w:sdtPr>
        <w:rPr>
          <w:rFonts w:ascii="宋体" w:hAnsi="宋体" w:cs="宋体"/>
          <w:b w:val="0"/>
          <w:bCs w:val="0"/>
          <w:kern w:val="0"/>
          <w:sz w:val="24"/>
          <w:szCs w:val="21"/>
        </w:rPr>
        <w:alias w:val="模块:转债发行情况"/>
        <w:tag w:val="_SEC_8d04a146c600466c88e27fd05cb55cf3"/>
        <w:id w:val="6773319"/>
        <w:lock w:val="sdtLocked"/>
        <w:placeholder>
          <w:docPart w:val="GBC22222222222222222222222222222"/>
        </w:placeholder>
      </w:sdtPr>
      <w:sdtEndPr>
        <w:rPr>
          <w:rFonts w:hint="eastAsia" w:ascii="宋体" w:hAnsi="宋体" w:cs="宋体"/>
          <w:b w:val="0"/>
          <w:bCs w:val="0"/>
          <w:kern w:val="0"/>
          <w:sz w:val="21"/>
          <w:szCs w:val="21"/>
        </w:rPr>
      </w:sdtEndPr>
      <w:sdtContent>
        <w:p>
          <w:pPr>
            <w:pStyle w:val="4"/>
            <w:numPr>
              <w:ilvl w:val="0"/>
              <w:numId w:val="38"/>
            </w:numPr>
            <w:rPr>
              <w:szCs w:val="21"/>
            </w:rPr>
          </w:pPr>
          <w:r>
            <w:rPr>
              <w:szCs w:val="21"/>
            </w:rPr>
            <w:t>转债发行情况</w:t>
          </w:r>
        </w:p>
        <w:sdt>
          <w:sdtPr>
            <w:rPr>
              <w:rFonts w:hint="eastAsia"/>
              <w:szCs w:val="21"/>
            </w:rPr>
            <w:alias w:val="是否适用：转债发行情况[双击切换]"/>
            <w:tag w:val="_GBC_2a10a4672aaf437896f5a3067eae9eee"/>
            <w:id w:val="6773318"/>
            <w:lock w:val="sdtContentLocked"/>
            <w:placeholder>
              <w:docPart w:val="GBC22222222222222222222222222222"/>
            </w:placeholder>
          </w:sdtPr>
          <w:sdtEndPr>
            <w:rPr>
              <w:rFonts w:hint="eastAsia"/>
              <w:szCs w:val="21"/>
            </w:rPr>
          </w:sdtEndPr>
          <w:sdtContent>
            <w:p>
              <w:pPr>
                <w:rPr>
                  <w:szCs w:val="21"/>
                </w:rPr>
              </w:pPr>
              <w:bookmarkStart w:id="42" w:name="_Toc342491990"/>
              <w:bookmarkStart w:id="43" w:name="_Toc342565982"/>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 w:val="24"/>
          <w:szCs w:val="21"/>
        </w:rPr>
        <w:alias w:val="模块:报告期转债持有人及担保人情况"/>
        <w:tag w:val="_SEC_0ec9ade12422499a91e3c132ce15fae5"/>
        <w:id w:val="6773321"/>
        <w:lock w:val="sdtLocked"/>
        <w:placeholder>
          <w:docPart w:val="GBC22222222222222222222222222222"/>
        </w:placeholder>
      </w:sdtPr>
      <w:sdtEndPr>
        <w:rPr>
          <w:rFonts w:hint="default" w:ascii="宋体" w:hAnsi="宋体" w:cs="宋体"/>
          <w:b/>
          <w:bCs/>
          <w:kern w:val="0"/>
          <w:sz w:val="21"/>
          <w:szCs w:val="21"/>
        </w:rPr>
      </w:sdtEndPr>
      <w:sdtContent>
        <w:p>
          <w:pPr>
            <w:pStyle w:val="4"/>
            <w:numPr>
              <w:ilvl w:val="0"/>
              <w:numId w:val="38"/>
            </w:numPr>
            <w:rPr>
              <w:szCs w:val="21"/>
            </w:rPr>
          </w:pPr>
          <w:r>
            <w:rPr>
              <w:rFonts w:hint="eastAsia"/>
              <w:szCs w:val="21"/>
            </w:rPr>
            <w:t>报告期转债持有人及担保人情况</w:t>
          </w:r>
          <w:bookmarkEnd w:id="42"/>
          <w:bookmarkEnd w:id="43"/>
        </w:p>
        <w:p>
          <w:sdt>
            <w:sdtPr>
              <w:alias w:val="是否适用：报告期转债持有人及担保人情况[双击切换]"/>
              <w:tag w:val="_GBC_6a8eda7be111431bb27877dccef03813"/>
              <w:id w:val="677332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宋体" w:hAnsi="宋体" w:cs="宋体"/>
          <w:b w:val="0"/>
          <w:bCs w:val="0"/>
          <w:kern w:val="0"/>
          <w:sz w:val="24"/>
          <w:szCs w:val="21"/>
        </w:rPr>
        <w:alias w:val="模块:报告期转债变动情况"/>
        <w:tag w:val="_SEC_fc5c14798b574f809af3c637b2a54f88"/>
        <w:id w:val="6773323"/>
        <w:lock w:val="sdtLocked"/>
        <w:placeholder>
          <w:docPart w:val="GBC22222222222222222222222222222"/>
        </w:placeholder>
      </w:sdtPr>
      <w:sdtEndPr>
        <w:rPr>
          <w:rFonts w:hint="eastAsia" w:ascii="宋体" w:hAnsi="宋体" w:cs="宋体"/>
          <w:b w:val="0"/>
          <w:bCs w:val="0"/>
          <w:kern w:val="0"/>
          <w:sz w:val="21"/>
          <w:szCs w:val="21"/>
        </w:rPr>
      </w:sdtEndPr>
      <w:sdtContent>
        <w:p>
          <w:pPr>
            <w:pStyle w:val="4"/>
            <w:numPr>
              <w:ilvl w:val="0"/>
              <w:numId w:val="38"/>
            </w:numPr>
            <w:rPr>
              <w:szCs w:val="21"/>
            </w:rPr>
          </w:pPr>
          <w:r>
            <w:rPr>
              <w:szCs w:val="21"/>
            </w:rPr>
            <w:t>报告期转债变动情况</w:t>
          </w:r>
        </w:p>
        <w:p>
          <w:pPr>
            <w:rPr>
              <w:szCs w:val="21"/>
            </w:rPr>
          </w:pPr>
          <w:sdt>
            <w:sdtPr>
              <w:alias w:val="是否适用：报告期转债变动情况[双击切换]"/>
              <w:tag w:val="_GBC_897425a625044ed9a9b171abdd6fbe5f"/>
              <w:id w:val="6773322"/>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b/>
          <w:bCs/>
          <w:sz w:val="24"/>
        </w:rPr>
        <w:alias w:val="模块:报告期转债累计转股情况"/>
        <w:tag w:val="_SEC_57914a739a694c0c8d504b3c0abadee1"/>
        <w:id w:val="6773325"/>
        <w:lock w:val="sdtLocked"/>
        <w:placeholder>
          <w:docPart w:val="GBC22222222222222222222222222222"/>
        </w:placeholder>
      </w:sdtPr>
      <w:sdtEndPr>
        <w:rPr>
          <w:rFonts w:hint="eastAsia"/>
          <w:b w:val="0"/>
          <w:bCs w:val="0"/>
          <w:sz w:val="21"/>
          <w:szCs w:val="21"/>
        </w:rPr>
      </w:sdtEndPr>
      <w:sdtContent>
        <w:p>
          <w:r>
            <w:t>报告期转债累计转股情况</w:t>
          </w:r>
        </w:p>
        <w:p>
          <w:pPr>
            <w:rPr>
              <w:szCs w:val="21"/>
            </w:rPr>
          </w:pPr>
          <w:sdt>
            <w:sdtPr>
              <w:alias w:val="是否适用：报告期转债累计转股情况[双击切换]"/>
              <w:tag w:val="_GBC_17fac391a9434849b418b1c91de8d200"/>
              <w:id w:val="6773324"/>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宋体" w:hAnsi="宋体" w:cs="宋体"/>
          <w:b w:val="0"/>
          <w:bCs w:val="0"/>
          <w:kern w:val="0"/>
          <w:sz w:val="24"/>
          <w:szCs w:val="21"/>
        </w:rPr>
        <w:alias w:val="模块:转股价格历次调整情况"/>
        <w:tag w:val="_SEC_199853d7eafb4e1283c4381d0382dd59"/>
        <w:id w:val="6773327"/>
        <w:lock w:val="sdtLocked"/>
        <w:placeholder>
          <w:docPart w:val="GBC22222222222222222222222222222"/>
        </w:placeholder>
      </w:sdtPr>
      <w:sdtEndPr>
        <w:rPr>
          <w:rFonts w:hint="eastAsia" w:ascii="宋体" w:hAnsi="宋体" w:cs="宋体"/>
          <w:b w:val="0"/>
          <w:bCs w:val="0"/>
          <w:kern w:val="0"/>
          <w:sz w:val="21"/>
          <w:szCs w:val="21"/>
        </w:rPr>
      </w:sdtEndPr>
      <w:sdtContent>
        <w:p>
          <w:pPr>
            <w:pStyle w:val="4"/>
            <w:numPr>
              <w:ilvl w:val="0"/>
              <w:numId w:val="38"/>
            </w:numPr>
            <w:rPr>
              <w:szCs w:val="21"/>
            </w:rPr>
          </w:pPr>
          <w:r>
            <w:rPr>
              <w:szCs w:val="21"/>
            </w:rPr>
            <w:t>转股价格历次调整情况</w:t>
          </w:r>
        </w:p>
        <w:p>
          <w:pPr>
            <w:rPr>
              <w:szCs w:val="21"/>
            </w:rPr>
          </w:pPr>
          <w:sdt>
            <w:sdtPr>
              <w:alias w:val="是否适用：转股价格历次调整情况[双击切换]"/>
              <w:tag w:val="_GBC_0fe6da18026a4a54834707bcfb7e8798"/>
              <w:id w:val="6773326"/>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宋体" w:hAnsi="宋体" w:cs="宋体"/>
          <w:b w:val="0"/>
          <w:bCs w:val="0"/>
          <w:kern w:val="0"/>
          <w:sz w:val="24"/>
          <w:szCs w:val="21"/>
        </w:rPr>
        <w:alias w:val="模块:公司的负债情况、资信变化情况及在未来年度还债的现金安排"/>
        <w:tag w:val="_SEC_c80aa4d34ae342609dd463b1810e4513"/>
        <w:id w:val="6773329"/>
        <w:lock w:val="sdtLocked"/>
        <w:placeholder>
          <w:docPart w:val="GBC22222222222222222222222222222"/>
        </w:placeholder>
      </w:sdtPr>
      <w:sdtEndPr>
        <w:rPr>
          <w:rFonts w:hint="eastAsia" w:ascii="宋体" w:hAnsi="宋体" w:cs="宋体"/>
          <w:b w:val="0"/>
          <w:bCs w:val="0"/>
          <w:kern w:val="0"/>
          <w:sz w:val="21"/>
          <w:szCs w:val="21"/>
        </w:rPr>
      </w:sdtEndPr>
      <w:sdtContent>
        <w:p>
          <w:pPr>
            <w:pStyle w:val="4"/>
            <w:numPr>
              <w:ilvl w:val="0"/>
              <w:numId w:val="38"/>
            </w:numPr>
            <w:rPr>
              <w:szCs w:val="21"/>
            </w:rPr>
          </w:pPr>
          <w:r>
            <w:rPr>
              <w:szCs w:val="21"/>
            </w:rPr>
            <w:t>公司的负债情况、资信变化情况及在未来年度还债的现金安排</w:t>
          </w:r>
        </w:p>
        <w:sdt>
          <w:sdtPr>
            <w:rPr>
              <w:rFonts w:hint="eastAsia"/>
              <w:szCs w:val="21"/>
            </w:rPr>
            <w:alias w:val="是否适用：公司的负债情况、资信变化情况及在未来年度还债的现金安排[双击切换]"/>
            <w:tag w:val="_GBC_0147137d8b4d4bfa8b2d4b32dcdaf596"/>
            <w:id w:val="6773328"/>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1"/>
        </w:rPr>
        <w:alias w:val="模块:转债其他情况说明"/>
        <w:tag w:val="_SEC_a6207aced3474a108d95eb7cd3be30a7"/>
        <w:id w:val="6773331"/>
        <w:lock w:val="sdtLocked"/>
        <w:placeholder>
          <w:docPart w:val="GBC22222222222222222222222222222"/>
        </w:placeholder>
      </w:sdtPr>
      <w:sdtEndPr>
        <w:rPr>
          <w:rFonts w:hint="eastAsia" w:ascii="宋体" w:hAnsi="宋体" w:cs="宋体"/>
          <w:b w:val="0"/>
          <w:bCs w:val="0"/>
          <w:kern w:val="0"/>
          <w:sz w:val="21"/>
          <w:szCs w:val="21"/>
        </w:rPr>
      </w:sdtEndPr>
      <w:sdtContent>
        <w:p>
          <w:pPr>
            <w:pStyle w:val="4"/>
            <w:numPr>
              <w:ilvl w:val="0"/>
              <w:numId w:val="38"/>
            </w:numPr>
            <w:rPr>
              <w:szCs w:val="21"/>
            </w:rPr>
          </w:pPr>
          <w:r>
            <w:rPr>
              <w:szCs w:val="21"/>
            </w:rPr>
            <w:t>转债其他情况说明</w:t>
          </w:r>
        </w:p>
        <w:sdt>
          <w:sdtPr>
            <w:rPr>
              <w:rFonts w:hint="eastAsia"/>
              <w:szCs w:val="21"/>
            </w:rPr>
            <w:alias w:val="是否适用：转债其他情况说明[双击切换]"/>
            <w:tag w:val="_GBC_503be30271664d9fa07cf3fdadcad09d"/>
            <w:id w:val="6773330"/>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
    <w:p>
      <w:pPr>
        <w:pStyle w:val="2"/>
        <w:numPr>
          <w:ilvl w:val="0"/>
          <w:numId w:val="2"/>
        </w:numPr>
        <w:rPr>
          <w:szCs w:val="28"/>
        </w:rPr>
      </w:pPr>
      <w:bookmarkStart w:id="44" w:name="_Toc437440713"/>
      <w:bookmarkStart w:id="45" w:name="_Toc409437607"/>
      <w:bookmarkStart w:id="46" w:name="_Toc469563080"/>
      <w:r>
        <w:rPr>
          <w:rFonts w:hint="eastAsia"/>
          <w:szCs w:val="28"/>
        </w:rPr>
        <w:t>普通股股份变动及股东情况</w:t>
      </w:r>
      <w:bookmarkEnd w:id="44"/>
      <w:bookmarkEnd w:id="45"/>
      <w:bookmarkEnd w:id="46"/>
    </w:p>
    <w:p>
      <w:pPr>
        <w:pStyle w:val="3"/>
        <w:numPr>
          <w:ilvl w:val="0"/>
          <w:numId w:val="39"/>
        </w:numPr>
      </w:pPr>
      <w:bookmarkStart w:id="47" w:name="_Toc342565989"/>
      <w:bookmarkStart w:id="48" w:name="_Toc342059476"/>
      <w:r>
        <w:rPr>
          <w:rFonts w:hint="eastAsia"/>
        </w:rPr>
        <w:t>普通股</w:t>
      </w:r>
      <w:r>
        <w:t>股</w:t>
      </w:r>
      <w:r>
        <w:rPr>
          <w:rFonts w:hint="eastAsia"/>
        </w:rPr>
        <w:t>本变动情况</w:t>
      </w:r>
      <w:bookmarkEnd w:id="47"/>
      <w:bookmarkEnd w:id="48"/>
    </w:p>
    <w:p>
      <w:pPr>
        <w:pStyle w:val="4"/>
        <w:numPr>
          <w:ilvl w:val="1"/>
          <w:numId w:val="40"/>
        </w:numPr>
        <w:rPr>
          <w:szCs w:val="21"/>
        </w:rPr>
      </w:pPr>
      <w:bookmarkStart w:id="49" w:name="_Toc342565990"/>
      <w:bookmarkStart w:id="50" w:name="_Toc342059477"/>
      <w:r>
        <w:rPr>
          <w:rFonts w:hint="eastAsia"/>
          <w:szCs w:val="21"/>
        </w:rPr>
        <w:t>普通股股份变动情况表</w:t>
      </w:r>
      <w:bookmarkEnd w:id="49"/>
      <w:bookmarkEnd w:id="50"/>
    </w:p>
    <w:p>
      <w:pPr>
        <w:pStyle w:val="5"/>
        <w:numPr>
          <w:ilvl w:val="2"/>
          <w:numId w:val="41"/>
        </w:numPr>
        <w:rPr>
          <w:szCs w:val="21"/>
        </w:rPr>
      </w:pPr>
      <w:r>
        <w:rPr>
          <w:rFonts w:hint="eastAsia"/>
          <w:szCs w:val="21"/>
        </w:rPr>
        <w:t>普通股股份变动情况表</w:t>
      </w:r>
    </w:p>
    <w:sdt>
      <w:sdtPr>
        <w:rPr>
          <w:rFonts w:hint="eastAsia"/>
          <w:szCs w:val="21"/>
        </w:rPr>
        <w:alias w:val="选项模块:报告期内，公司股份总数及股本结构未发生变化"/>
        <w:tag w:val="_SEC_a2a63736db144f209cddfd7a97491880"/>
        <w:id w:val="6773332"/>
        <w:lock w:val="sdtLocked"/>
        <w:placeholder>
          <w:docPart w:val="GBC22222222222222222222222222222"/>
        </w:placeholder>
      </w:sdtPr>
      <w:sdtEndPr>
        <w:rPr>
          <w:rFonts w:hint="eastAsia"/>
          <w:szCs w:val="21"/>
        </w:rPr>
      </w:sdtEndPr>
      <w:sdtContent>
        <w:p>
          <w:pPr>
            <w:rPr>
              <w:szCs w:val="21"/>
            </w:rPr>
          </w:pPr>
          <w:r>
            <w:rPr>
              <w:rFonts w:hint="eastAsia"/>
              <w:szCs w:val="21"/>
            </w:rPr>
            <w:t>报告期内，公司普通股股份总数及股本结构未发生变化。</w:t>
          </w:r>
        </w:p>
      </w:sdtContent>
    </w:sdt>
    <w:sdt>
      <w:sdtPr>
        <w:rPr>
          <w:rFonts w:ascii="Calibri" w:hAnsi="Calibri" w:cs="宋体"/>
          <w:b w:val="0"/>
          <w:bCs w:val="0"/>
          <w:kern w:val="0"/>
          <w:sz w:val="24"/>
          <w:szCs w:val="22"/>
        </w:rPr>
        <w:alias w:val="模块:股份变动情况说明"/>
        <w:tag w:val="_SEC_cff93b3516844dffa00c7117b3d7105d"/>
        <w:id w:val="6773334"/>
        <w:lock w:val="sdtLocked"/>
        <w:placeholder>
          <w:docPart w:val="GBC22222222222222222222222222222"/>
        </w:placeholder>
      </w:sdtPr>
      <w:sdtEndPr>
        <w:rPr>
          <w:rFonts w:hint="eastAsia" w:ascii="宋体" w:hAnsi="宋体" w:cs="宋体"/>
          <w:b w:val="0"/>
          <w:bCs w:val="0"/>
          <w:kern w:val="0"/>
          <w:sz w:val="21"/>
          <w:szCs w:val="21"/>
        </w:rPr>
      </w:sdtEndPr>
      <w:sdtContent>
        <w:p>
          <w:pPr>
            <w:pStyle w:val="5"/>
            <w:numPr>
              <w:ilvl w:val="2"/>
              <w:numId w:val="41"/>
            </w:numPr>
            <w:rPr>
              <w:szCs w:val="21"/>
            </w:rPr>
          </w:pPr>
          <w:r>
            <w:rPr>
              <w:rFonts w:hint="eastAsia"/>
              <w:szCs w:val="21"/>
            </w:rPr>
            <w:t>普通股</w:t>
          </w:r>
          <w:r>
            <w:rPr>
              <w:szCs w:val="21"/>
            </w:rPr>
            <w:t>股份变动情况说明</w:t>
          </w:r>
        </w:p>
        <w:sdt>
          <w:sdtPr>
            <w:rPr>
              <w:rFonts w:hint="eastAsia"/>
              <w:szCs w:val="21"/>
            </w:rPr>
            <w:alias w:val="是否适用：普通股股份变动情况说明[双击切换]"/>
            <w:tag w:val="_GBC_b52413c1d37b456ba72aa8b8840cb9d8"/>
            <w:id w:val="677333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Calibri" w:hAnsi="Calibri" w:cs="宋体"/>
          <w:b w:val="0"/>
          <w:bCs w:val="0"/>
          <w:kern w:val="0"/>
          <w:sz w:val="24"/>
          <w:szCs w:val="21"/>
        </w:rPr>
        <w:alias w:val="模块:股份变动对最近一年和最近一期财务指标的影响"/>
        <w:tag w:val="_SEC_a02e0bd8061b48758da5b49301b9d61c"/>
        <w:id w:val="6773336"/>
        <w:lock w:val="sdtLocked"/>
        <w:placeholder>
          <w:docPart w:val="GBC22222222222222222222222222222"/>
        </w:placeholder>
      </w:sdtPr>
      <w:sdtEndPr>
        <w:rPr>
          <w:rFonts w:hint="eastAsia" w:ascii="宋体" w:hAnsi="宋体" w:cs="宋体"/>
          <w:b w:val="0"/>
          <w:bCs w:val="0"/>
          <w:kern w:val="0"/>
          <w:sz w:val="21"/>
          <w:szCs w:val="21"/>
        </w:rPr>
      </w:sdtEndPr>
      <w:sdtContent>
        <w:p>
          <w:pPr>
            <w:pStyle w:val="5"/>
            <w:numPr>
              <w:ilvl w:val="2"/>
              <w:numId w:val="41"/>
            </w:numPr>
            <w:rPr>
              <w:szCs w:val="21"/>
            </w:rPr>
          </w:pPr>
          <w:r>
            <w:rPr>
              <w:rFonts w:hint="eastAsia"/>
              <w:szCs w:val="21"/>
            </w:rPr>
            <w:t>普通股股份变动对最近一年和最近一期</w:t>
          </w:r>
          <w:r>
            <w:rPr>
              <w:szCs w:val="21"/>
            </w:rP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6773335"/>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Calibri" w:hAnsi="Calibri" w:cs="宋体"/>
          <w:b w:val="0"/>
          <w:bCs w:val="0"/>
          <w:kern w:val="0"/>
          <w:sz w:val="24"/>
          <w:szCs w:val="21"/>
        </w:rPr>
        <w:alias w:val="模块:公司认为必要或证券监管机构要求披露的其他内容"/>
        <w:tag w:val="_SEC_0585cd9d958541589e59afceb5c63546"/>
        <w:id w:val="6773338"/>
        <w:lock w:val="sdtLocked"/>
        <w:placeholder>
          <w:docPart w:val="GBC22222222222222222222222222222"/>
        </w:placeholder>
      </w:sdtPr>
      <w:sdtEndPr>
        <w:rPr>
          <w:rFonts w:hint="eastAsia" w:ascii="宋体" w:hAnsi="宋体" w:cs="宋体"/>
          <w:b w:val="0"/>
          <w:bCs w:val="0"/>
          <w:kern w:val="0"/>
          <w:sz w:val="21"/>
          <w:szCs w:val="21"/>
        </w:rPr>
      </w:sdtEndPr>
      <w:sdtContent>
        <w:p>
          <w:pPr>
            <w:pStyle w:val="5"/>
            <w:numPr>
              <w:ilvl w:val="2"/>
              <w:numId w:val="41"/>
            </w:numPr>
            <w:rPr>
              <w:szCs w:val="21"/>
            </w:rPr>
          </w:pPr>
          <w:r>
            <w:rPr>
              <w:szCs w:val="21"/>
            </w:rP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6773337"/>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4"/>
        <w:numPr>
          <w:ilvl w:val="1"/>
          <w:numId w:val="40"/>
        </w:numPr>
        <w:rPr>
          <w:szCs w:val="21"/>
        </w:rPr>
      </w:pPr>
      <w:r>
        <w:rPr>
          <w:szCs w:val="21"/>
        </w:rPr>
        <w:t>限售股份变动情况</w:t>
      </w:r>
    </w:p>
    <w:sdt>
      <w:sdtPr>
        <w:alias w:val="是否适用：限售股份变动情况表[双击切换]"/>
        <w:tag w:val="_GBC_c7cc39830d364bf68db1ac8777908a9e"/>
        <w:id w:val="6773339"/>
        <w:lock w:val="sdtContentLocked"/>
        <w:placeholder>
          <w:docPart w:val="GBC22222222222222222222222222222"/>
        </w:placeholder>
      </w:sdtPr>
      <w:sdtContent>
        <w:p>
          <w:pPr>
            <w:rPr>
              <w:rFonts w:asciiTheme="minorEastAsia" w:hAnsiTheme="minorEastAsia" w:eastAsiaTheme="minorEastAsia"/>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rFonts w:asciiTheme="minorEastAsia" w:hAnsiTheme="minorEastAsia" w:eastAsiaTheme="minorEastAsia"/>
          <w:szCs w:val="21"/>
        </w:rPr>
      </w:pPr>
    </w:p>
    <w:p>
      <w:pPr>
        <w:pStyle w:val="3"/>
        <w:numPr>
          <w:ilvl w:val="0"/>
          <w:numId w:val="39"/>
        </w:numPr>
      </w:pPr>
      <w:r>
        <w:t>证券发行与上市情况</w:t>
      </w:r>
    </w:p>
    <w:sdt>
      <w:sdtPr>
        <w:rPr>
          <w:rFonts w:ascii="宋体" w:hAnsi="宋体" w:cs="宋体"/>
          <w:b w:val="0"/>
          <w:bCs w:val="0"/>
          <w:kern w:val="0"/>
          <w:szCs w:val="24"/>
        </w:rPr>
        <w:alias w:val="模块:截至报告期内证券发行情况"/>
        <w:tag w:val="_SEC_314fe0a7461349b58ad8d67ad9671220"/>
        <w:id w:val="6773342"/>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42"/>
            </w:numPr>
          </w:pPr>
          <w:r>
            <w:t>截至</w:t>
          </w:r>
          <w:r>
            <w:rPr>
              <w:rFonts w:hint="eastAsia"/>
            </w:rPr>
            <w:t>报告期内</w:t>
          </w:r>
          <w:r>
            <w:t>证券发行情况</w:t>
          </w:r>
        </w:p>
        <w:sdt>
          <w:sdtPr>
            <w:alias w:val="是否适用：截至报告期内证券发行情况[双击切换]"/>
            <w:tag w:val="_GBC_a9b53137ff4442baa307fbc68ebc8cbc"/>
            <w:id w:val="6773340"/>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6773341"/>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1"/>
        </w:rPr>
        <w:alias w:val="模块:公司普通股股份总数及股东结构变动及公司资产和负债结构的变动情况"/>
        <w:tag w:val="_SEC_55d557f291e34d7aa9de8836ddc0e9d1"/>
        <w:id w:val="6773344"/>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42"/>
            </w:numPr>
            <w:rPr>
              <w:szCs w:val="21"/>
            </w:rPr>
          </w:pPr>
          <w:r>
            <w:rPr>
              <w:rFonts w:hint="eastAsia"/>
              <w:szCs w:val="21"/>
            </w:rPr>
            <w:t>公司普通股股份总数及股东结构变动及公司资产和负债结构的变动情况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677334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1"/>
        </w:rPr>
        <w:alias w:val="模块:现存的内部职工股情况"/>
        <w:tag w:val="_SEC_7d189716ca09434ba6cf788f2153af73"/>
        <w:id w:val="6773346"/>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42"/>
            </w:numPr>
            <w:rPr>
              <w:szCs w:val="21"/>
            </w:rPr>
          </w:pPr>
          <w:r>
            <w:rPr>
              <w:rFonts w:hint="eastAsia"/>
              <w:szCs w:val="21"/>
            </w:rPr>
            <w:t>现存的内部职工股情况</w:t>
          </w:r>
        </w:p>
        <w:sdt>
          <w:sdtPr>
            <w:alias w:val="是否适用：现存的内部职工股情况[双击切换]"/>
            <w:tag w:val="_GBC_fa5e90226e14408b891f1c5a9dbbf2c5"/>
            <w:id w:val="677334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3"/>
        <w:numPr>
          <w:ilvl w:val="0"/>
          <w:numId w:val="39"/>
        </w:numPr>
      </w:pPr>
      <w:r>
        <w:t>股东</w:t>
      </w:r>
      <w:r>
        <w:rPr>
          <w:rFonts w:hint="eastAsia"/>
        </w:rPr>
        <w:t>和实际控制人</w:t>
      </w:r>
      <w:r>
        <w:t>情况</w:t>
      </w:r>
    </w:p>
    <w:sdt>
      <w:sdtPr>
        <w:rPr>
          <w:rFonts w:ascii="宋体" w:hAnsi="宋体" w:cs="宋体"/>
          <w:b w:val="0"/>
          <w:bCs w:val="0"/>
          <w:kern w:val="0"/>
          <w:sz w:val="24"/>
          <w:szCs w:val="21"/>
        </w:rPr>
        <w:alias w:val="模块:股东总数"/>
        <w:tag w:val="_SEC_ec591f1129e84625a91f2b73f19be202"/>
        <w:id w:val="6773352"/>
        <w:lock w:val="sdtLocked"/>
        <w:placeholder>
          <w:docPart w:val="GBC22222222222222222222222222222"/>
        </w:placeholder>
      </w:sdtPr>
      <w:sdtEndPr>
        <w:rPr>
          <w:rFonts w:hint="eastAsia" w:ascii="宋体" w:hAnsi="宋体" w:cs="宋体"/>
          <w:b w:val="0"/>
          <w:bCs w:val="0"/>
          <w:kern w:val="0"/>
          <w:sz w:val="21"/>
          <w:szCs w:val="21"/>
        </w:rPr>
      </w:sdtEndPr>
      <w:sdtContent>
        <w:p>
          <w:pPr>
            <w:pStyle w:val="4"/>
            <w:numPr>
              <w:ilvl w:val="1"/>
              <w:numId w:val="43"/>
            </w:numPr>
            <w:tabs>
              <w:tab w:val="left" w:pos="851"/>
            </w:tabs>
            <w:ind w:left="426" w:hanging="426"/>
            <w:rPr>
              <w:szCs w:val="21"/>
            </w:rPr>
          </w:pPr>
          <w:r>
            <w:rPr>
              <w:rFonts w:hint="eastAsia"/>
              <w:szCs w:val="21"/>
            </w:rPr>
            <w:t>股东总数</w:t>
          </w:r>
        </w:p>
        <w:tbl>
          <w:tblPr>
            <w:tblStyle w:val="41"/>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4738880649c43ac9597effd663adc10"/>
                <w:id w:val="6773347"/>
                <w:lock w:val="sdtLocked"/>
              </w:sdtPr>
              <w:sdtContent>
                <w:tc>
                  <w:tcPr>
                    <w:tcW w:w="4524" w:type="dxa"/>
                  </w:tcPr>
                  <w:p>
                    <w:pPr>
                      <w:widowControl w:val="0"/>
                      <w:jc w:val="both"/>
                      <w:rPr>
                        <w:szCs w:val="21"/>
                      </w:rPr>
                    </w:pPr>
                    <w:r>
                      <w:rPr>
                        <w:szCs w:val="21"/>
                      </w:rPr>
                      <w:t>截止报告期末</w:t>
                    </w:r>
                    <w:r>
                      <w:rPr>
                        <w:rFonts w:hint="eastAsia"/>
                        <w:szCs w:val="21"/>
                      </w:rPr>
                      <w:t>普通股</w:t>
                    </w:r>
                    <w:r>
                      <w:rPr>
                        <w:szCs w:val="21"/>
                      </w:rPr>
                      <w:t>股东总数(户)</w:t>
                    </w:r>
                  </w:p>
                </w:tc>
              </w:sdtContent>
            </w:sdt>
            <w:sdt>
              <w:sdtPr>
                <w:rPr>
                  <w:rFonts w:ascii="Times New Roman" w:hAnsi="Times New Roman"/>
                  <w:szCs w:val="21"/>
                </w:rPr>
                <w:alias w:val="报告期末股东总数"/>
                <w:tag w:val="_GBC_510087fb1e024fb293d32127713e45f8"/>
                <w:id w:val="6773348"/>
                <w:lock w:val="sdtLocked"/>
              </w:sdtPr>
              <w:sdtEndPr>
                <w:rPr>
                  <w:rFonts w:ascii="Times New Roman" w:hAnsi="Times New Roman"/>
                  <w:szCs w:val="21"/>
                </w:rPr>
              </w:sdtEndPr>
              <w:sdtContent>
                <w:tc>
                  <w:tcPr>
                    <w:tcW w:w="4524" w:type="dxa"/>
                  </w:tcPr>
                  <w:p>
                    <w:pPr>
                      <w:widowControl w:val="0"/>
                      <w:jc w:val="right"/>
                      <w:rPr>
                        <w:szCs w:val="21"/>
                      </w:rPr>
                    </w:pPr>
                    <w:r>
                      <w:rPr>
                        <w:szCs w:val="21"/>
                      </w:rPr>
                      <w:t>72,190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41b7c4d29ef4d5cb2701ef9955403fb"/>
                <w:id w:val="6773349"/>
                <w:lock w:val="sdtLocked"/>
              </w:sdtPr>
              <w:sdtContent>
                <w:tc>
                  <w:tcPr>
                    <w:tcW w:w="4524" w:type="dxa"/>
                  </w:tcPr>
                  <w:p>
                    <w:pPr>
                      <w:widowControl w:val="0"/>
                      <w:jc w:val="both"/>
                      <w:rPr>
                        <w:szCs w:val="21"/>
                      </w:rPr>
                    </w:pPr>
                    <w:r>
                      <w:rPr>
                        <w:rFonts w:hint="eastAsia"/>
                        <w:szCs w:val="21"/>
                      </w:rPr>
                      <w:t>年度报告披露日前上一月末的普通股股东总数</w:t>
                    </w:r>
                    <w:r>
                      <w:rPr>
                        <w:szCs w:val="21"/>
                      </w:rPr>
                      <w:t>(户)</w:t>
                    </w:r>
                  </w:p>
                </w:tc>
              </w:sdtContent>
            </w:sdt>
            <w:tc>
              <w:tcPr>
                <w:tcW w:w="4524" w:type="dxa"/>
              </w:tcPr>
              <w:p>
                <w:pPr>
                  <w:widowControl w:val="0"/>
                  <w:jc w:val="right"/>
                  <w:rPr>
                    <w:color w:val="000000" w:themeColor="text1"/>
                    <w:szCs w:val="21"/>
                  </w:rPr>
                </w:pPr>
                <w:r>
                  <w:rPr>
                    <w:color w:val="000000" w:themeColor="text1"/>
                    <w:szCs w:val="21"/>
                  </w:rPr>
                  <w:t>63,650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28bf4883d704a5b968c7e3ad90ab399"/>
                <w:id w:val="6773350"/>
                <w:lock w:val="sdtLocked"/>
              </w:sdtPr>
              <w:sdtContent>
                <w:tc>
                  <w:tcPr>
                    <w:tcW w:w="4524" w:type="dxa"/>
                  </w:tcPr>
                  <w:p>
                    <w:pPr>
                      <w:widowControl w:val="0"/>
                      <w:jc w:val="both"/>
                      <w:rPr>
                        <w:szCs w:val="21"/>
                      </w:rPr>
                    </w:pPr>
                    <w:r>
                      <w:rPr>
                        <w:rFonts w:hint="eastAsia"/>
                        <w:szCs w:val="21"/>
                      </w:rPr>
                      <w:t>截止报告期末表决权恢复的优先股股东总数（户）</w:t>
                    </w:r>
                  </w:p>
                </w:tc>
              </w:sdtContent>
            </w:sdt>
            <w:tc>
              <w:tcPr>
                <w:tcW w:w="4524" w:type="dxa"/>
              </w:tcPr>
              <w:p>
                <w:pPr>
                  <w:widowControl w:val="0"/>
                  <w:jc w:val="right"/>
                  <w:rPr>
                    <w:szCs w:val="21"/>
                  </w:rPr>
                </w:pPr>
                <w:r>
                  <w:rPr>
                    <w:rFonts w:hint="eastAsia"/>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5812c57c24247e4acc80620ba300bf1"/>
                <w:id w:val="6773351"/>
                <w:lock w:val="sdtLocked"/>
              </w:sdtPr>
              <w:sdtContent>
                <w:tc>
                  <w:tcPr>
                    <w:tcW w:w="4524" w:type="dxa"/>
                  </w:tcPr>
                  <w:p>
                    <w:pPr>
                      <w:widowControl w:val="0"/>
                      <w:jc w:val="both"/>
                      <w:rPr>
                        <w:szCs w:val="21"/>
                      </w:rPr>
                    </w:pPr>
                    <w:r>
                      <w:rPr>
                        <w:rFonts w:hint="eastAsia"/>
                        <w:szCs w:val="21"/>
                      </w:rPr>
                      <w:t>年度报告披露日前上一月末表决权恢复的优先股股东总数（户）</w:t>
                    </w:r>
                  </w:p>
                </w:tc>
              </w:sdtContent>
            </w:sdt>
            <w:tc>
              <w:tcPr>
                <w:tcW w:w="4524" w:type="dxa"/>
              </w:tcPr>
              <w:p>
                <w:pPr>
                  <w:widowControl w:val="0"/>
                  <w:jc w:val="right"/>
                  <w:rPr>
                    <w:szCs w:val="21"/>
                  </w:rPr>
                </w:pPr>
                <w:r>
                  <w:rPr>
                    <w:rFonts w:hint="eastAsia"/>
                    <w:szCs w:val="21"/>
                  </w:rPr>
                  <w:t>不适用</w:t>
                </w:r>
              </w:p>
            </w:tc>
          </w:tr>
        </w:tbl>
        <w:p/>
      </w:sdtContent>
    </w:sdt>
    <w:p>
      <w:pPr>
        <w:pStyle w:val="4"/>
        <w:numPr>
          <w:ilvl w:val="1"/>
          <w:numId w:val="43"/>
        </w:numPr>
        <w:ind w:left="426" w:hanging="426"/>
      </w:pPr>
      <w:bookmarkStart w:id="51" w:name="_Toc342565998"/>
      <w:bookmarkStart w:id="52" w:name="_Toc342059485"/>
      <w:r>
        <w:rPr>
          <w:rFonts w:hint="eastAsia"/>
          <w:szCs w:val="21"/>
        </w:rPr>
        <w:t>截止报告期末前十名股东、前十名流通股东（或无限售条件股东）持股情况表</w:t>
      </w:r>
    </w:p>
    <w:bookmarkEnd w:id="51"/>
    <w:bookmarkEnd w:id="52"/>
    <w:sdt>
      <w:sdtPr>
        <w:rPr>
          <w:rFonts w:hint="eastAsia"/>
          <w:b/>
          <w:bCs/>
          <w:sz w:val="24"/>
          <w:szCs w:val="21"/>
        </w:rPr>
        <w:alias w:val="选项模块:前十名股东持股情况(已完成或不涉及股改)"/>
        <w:tag w:val="_SEC_b7f7935d62364a5384ae109303513a56"/>
        <w:id w:val="6773423"/>
        <w:lock w:val="sdtLocked"/>
        <w:placeholder>
          <w:docPart w:val="GBC22222222222222222222222222222"/>
        </w:placeholder>
      </w:sdtPr>
      <w:sdtEndPr>
        <w:rPr>
          <w:rFonts w:hint="default" w:cs="Arial"/>
          <w:b w:val="0"/>
          <w:bCs w:val="0"/>
          <w:sz w:val="21"/>
          <w:szCs w:val="21"/>
        </w:rPr>
      </w:sdtEndPr>
      <w:sdtContent>
        <w:p>
          <w:pPr>
            <w:ind w:firstLine="4578" w:firstLineChars="1900"/>
            <w:jc w:val="right"/>
            <w:rPr>
              <w:szCs w:val="21"/>
            </w:rPr>
          </w:pPr>
          <w:r>
            <w:rPr>
              <w:bCs/>
              <w:szCs w:val="21"/>
            </w:rPr>
            <w:t>单位:</w:t>
          </w:r>
          <w:sdt>
            <w:sdtPr>
              <w:rPr>
                <w:bCs/>
                <w:szCs w:val="21"/>
              </w:rPr>
              <w:alias w:val="单位：前十名股东持股情况"/>
              <w:tag w:val="_GBC_fc13716037ad409a8fd17874b07182ba"/>
              <w:id w:val="677335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rPr>
                <w:bCs/>
                <w:szCs w:val="21"/>
              </w:rPr>
            </w:sdtEndPr>
            <w:sdtContent>
              <w:r>
                <w:rPr>
                  <w:rFonts w:hint="eastAsia"/>
                  <w:bCs/>
                  <w:szCs w:val="21"/>
                </w:rPr>
                <w:t>股</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1116"/>
            <w:gridCol w:w="367"/>
            <w:gridCol w:w="1019"/>
            <w:gridCol w:w="540"/>
            <w:gridCol w:w="126"/>
            <w:gridCol w:w="696"/>
            <w:gridCol w:w="607"/>
            <w:gridCol w:w="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1ae99ad713d44d32b05399671d258947"/>
                <w:id w:val="6773354"/>
                <w:lock w:val="sdtLocked"/>
              </w:sdtPr>
              <w:sdtContent>
                <w:tc>
                  <w:tcPr>
                    <w:tcW w:w="9049" w:type="dxa"/>
                    <w:gridSpan w:val="10"/>
                    <w:shd w:val="clear" w:color="auto" w:fill="auto"/>
                    <w:vAlign w:val="center"/>
                  </w:tcPr>
                  <w:p>
                    <w:pPr>
                      <w:pStyle w:val="16"/>
                      <w:jc w:val="center"/>
                      <w:rPr>
                        <w:rFonts w:ascii="宋体" w:hAnsi="宋体"/>
                      </w:rPr>
                    </w:pPr>
                    <w:r>
                      <w:rPr>
                        <w:rFonts w:ascii="宋体" w:hAnsi="宋体"/>
                      </w:rPr>
                      <w:t>前十名股东持股情况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79874928747a4198822551c8aac425ac"/>
                <w:id w:val="6773355"/>
                <w:lock w:val="sdtLocked"/>
              </w:sdtPr>
              <w:sdtEndPr>
                <w:rPr>
                  <w:sz w:val="18"/>
                  <w:szCs w:val="18"/>
                </w:rPr>
              </w:sdtEndPr>
              <w:sdtContent>
                <w:tc>
                  <w:tcPr>
                    <w:tcW w:w="2736" w:type="dxa"/>
                    <w:vMerge w:val="restart"/>
                    <w:shd w:val="clear" w:color="auto" w:fill="auto"/>
                    <w:vAlign w:val="center"/>
                  </w:tcPr>
                  <w:p>
                    <w:pPr>
                      <w:jc w:val="center"/>
                      <w:rPr>
                        <w:sz w:val="18"/>
                        <w:szCs w:val="18"/>
                      </w:rPr>
                    </w:pPr>
                    <w:r>
                      <w:rPr>
                        <w:sz w:val="18"/>
                        <w:szCs w:val="18"/>
                      </w:rPr>
                      <w:t>股东名称</w:t>
                    </w:r>
                  </w:p>
                  <w:p>
                    <w:pPr>
                      <w:jc w:val="center"/>
                      <w:rPr>
                        <w:sz w:val="18"/>
                        <w:szCs w:val="18"/>
                      </w:rPr>
                    </w:pPr>
                    <w:r>
                      <w:rPr>
                        <w:rFonts w:hint="eastAsia"/>
                        <w:sz w:val="18"/>
                        <w:szCs w:val="18"/>
                      </w:rPr>
                      <w:t>（全称）</w:t>
                    </w:r>
                  </w:p>
                </w:tc>
              </w:sdtContent>
            </w:sdt>
            <w:sdt>
              <w:sdtPr>
                <w:rPr>
                  <w:sz w:val="18"/>
                  <w:szCs w:val="18"/>
                </w:rPr>
                <w:tag w:val="_PLD_318f9f233e204e6ba443c9177d28b214"/>
                <w:id w:val="6773356"/>
                <w:lock w:val="sdtLocked"/>
              </w:sdtPr>
              <w:sdtEndPr>
                <w:rPr>
                  <w:sz w:val="18"/>
                  <w:szCs w:val="18"/>
                </w:rPr>
              </w:sdtEndPr>
              <w:sdtContent>
                <w:tc>
                  <w:tcPr>
                    <w:tcW w:w="1116" w:type="dxa"/>
                    <w:vMerge w:val="restart"/>
                    <w:shd w:val="clear" w:color="auto" w:fill="auto"/>
                    <w:vAlign w:val="center"/>
                  </w:tcPr>
                  <w:p>
                    <w:pPr>
                      <w:jc w:val="center"/>
                      <w:rPr>
                        <w:sz w:val="18"/>
                        <w:szCs w:val="18"/>
                      </w:rPr>
                    </w:pPr>
                    <w:r>
                      <w:rPr>
                        <w:sz w:val="18"/>
                        <w:szCs w:val="18"/>
                      </w:rPr>
                      <w:t>报告期内增减</w:t>
                    </w:r>
                  </w:p>
                </w:tc>
              </w:sdtContent>
            </w:sdt>
            <w:sdt>
              <w:sdtPr>
                <w:rPr>
                  <w:sz w:val="18"/>
                  <w:szCs w:val="18"/>
                </w:rPr>
                <w:tag w:val="_PLD_f782d119843445c4976bd3574a304195"/>
                <w:id w:val="6773357"/>
                <w:lock w:val="sdtLocked"/>
              </w:sdtPr>
              <w:sdtEndPr>
                <w:rPr>
                  <w:sz w:val="18"/>
                  <w:szCs w:val="18"/>
                </w:rPr>
              </w:sdtEndPr>
              <w:sdtContent>
                <w:tc>
                  <w:tcPr>
                    <w:tcW w:w="1386" w:type="dxa"/>
                    <w:gridSpan w:val="2"/>
                    <w:vMerge w:val="restart"/>
                    <w:shd w:val="clear" w:color="auto" w:fill="auto"/>
                    <w:vAlign w:val="center"/>
                  </w:tcPr>
                  <w:p>
                    <w:pPr>
                      <w:jc w:val="center"/>
                      <w:rPr>
                        <w:sz w:val="18"/>
                        <w:szCs w:val="18"/>
                      </w:rPr>
                    </w:pPr>
                    <w:r>
                      <w:rPr>
                        <w:sz w:val="18"/>
                        <w:szCs w:val="18"/>
                      </w:rPr>
                      <w:t>期末持股数量</w:t>
                    </w:r>
                  </w:p>
                </w:tc>
              </w:sdtContent>
            </w:sdt>
            <w:sdt>
              <w:sdtPr>
                <w:rPr>
                  <w:sz w:val="18"/>
                  <w:szCs w:val="18"/>
                </w:rPr>
                <w:tag w:val="_PLD_598e27e2baae44c9a712e032acb732c1"/>
                <w:id w:val="6773358"/>
                <w:lock w:val="sdtLocked"/>
              </w:sdtPr>
              <w:sdtEndPr>
                <w:rPr>
                  <w:sz w:val="18"/>
                  <w:szCs w:val="18"/>
                </w:rPr>
              </w:sdtEndPr>
              <w:sdtContent>
                <w:tc>
                  <w:tcPr>
                    <w:tcW w:w="666" w:type="dxa"/>
                    <w:gridSpan w:val="2"/>
                    <w:vMerge w:val="restart"/>
                    <w:shd w:val="clear" w:color="auto" w:fill="auto"/>
                    <w:vAlign w:val="center"/>
                  </w:tcPr>
                  <w:p>
                    <w:pPr>
                      <w:jc w:val="center"/>
                      <w:rPr>
                        <w:sz w:val="18"/>
                        <w:szCs w:val="18"/>
                      </w:rPr>
                    </w:pPr>
                    <w:r>
                      <w:rPr>
                        <w:sz w:val="18"/>
                        <w:szCs w:val="18"/>
                      </w:rPr>
                      <w:t>比例(%)</w:t>
                    </w:r>
                  </w:p>
                </w:tc>
              </w:sdtContent>
            </w:sdt>
            <w:sdt>
              <w:sdtPr>
                <w:rPr>
                  <w:sz w:val="18"/>
                  <w:szCs w:val="18"/>
                </w:rPr>
                <w:tag w:val="_PLD_f49f1594034041b987ba677c13fec26f"/>
                <w:id w:val="6773359"/>
                <w:lock w:val="sdtLocked"/>
              </w:sdtPr>
              <w:sdtEndPr>
                <w:rPr>
                  <w:sz w:val="18"/>
                  <w:szCs w:val="18"/>
                </w:rPr>
              </w:sdtEndPr>
              <w:sdtContent>
                <w:tc>
                  <w:tcPr>
                    <w:tcW w:w="696" w:type="dxa"/>
                    <w:vMerge w:val="restart"/>
                    <w:shd w:val="clear" w:color="auto" w:fill="auto"/>
                    <w:vAlign w:val="center"/>
                  </w:tcPr>
                  <w:p>
                    <w:pPr>
                      <w:pStyle w:val="12"/>
                      <w:rPr>
                        <w:rFonts w:ascii="宋体" w:hAnsi="宋体"/>
                        <w:bCs/>
                        <w:sz w:val="18"/>
                        <w:szCs w:val="18"/>
                      </w:rPr>
                    </w:pPr>
                    <w:r>
                      <w:rPr>
                        <w:rFonts w:ascii="宋体" w:hAnsi="宋体"/>
                        <w:bCs/>
                        <w:sz w:val="18"/>
                        <w:szCs w:val="18"/>
                      </w:rPr>
                      <w:t>持有有限售条件股份数量</w:t>
                    </w:r>
                  </w:p>
                </w:tc>
              </w:sdtContent>
            </w:sdt>
            <w:sdt>
              <w:sdtPr>
                <w:rPr>
                  <w:sz w:val="18"/>
                  <w:szCs w:val="18"/>
                </w:rPr>
                <w:tag w:val="_PLD_64cadd93ae0542ea8368050358c58e88"/>
                <w:id w:val="6773360"/>
                <w:lock w:val="sdtLocked"/>
              </w:sdtPr>
              <w:sdtEndPr>
                <w:rPr>
                  <w:sz w:val="18"/>
                  <w:szCs w:val="18"/>
                </w:rPr>
              </w:sdtEndPr>
              <w:sdtContent>
                <w:tc>
                  <w:tcPr>
                    <w:tcW w:w="1028" w:type="dxa"/>
                    <w:gridSpan w:val="2"/>
                    <w:shd w:val="clear" w:color="auto" w:fill="auto"/>
                    <w:vAlign w:val="center"/>
                  </w:tcPr>
                  <w:p>
                    <w:pPr>
                      <w:jc w:val="center"/>
                      <w:rPr>
                        <w:sz w:val="18"/>
                        <w:szCs w:val="18"/>
                      </w:rPr>
                    </w:pPr>
                    <w:r>
                      <w:rPr>
                        <w:sz w:val="18"/>
                        <w:szCs w:val="18"/>
                      </w:rPr>
                      <w:t>质押或冻结情况</w:t>
                    </w:r>
                  </w:p>
                </w:tc>
              </w:sdtContent>
            </w:sdt>
            <w:sdt>
              <w:sdtPr>
                <w:rPr>
                  <w:sz w:val="18"/>
                  <w:szCs w:val="18"/>
                </w:rPr>
                <w:tag w:val="_PLD_4e60b04908a74d548688f7bdc00ec6e1"/>
                <w:id w:val="6773361"/>
                <w:lock w:val="sdtLocked"/>
              </w:sdtPr>
              <w:sdtEndPr>
                <w:rPr>
                  <w:sz w:val="18"/>
                  <w:szCs w:val="18"/>
                </w:rPr>
              </w:sdtEndPr>
              <w:sdtContent>
                <w:tc>
                  <w:tcPr>
                    <w:tcW w:w="1421" w:type="dxa"/>
                    <w:vMerge w:val="restart"/>
                    <w:shd w:val="clear" w:color="auto" w:fill="auto"/>
                    <w:vAlign w:val="center"/>
                  </w:tcPr>
                  <w:p>
                    <w:pPr>
                      <w:jc w:val="center"/>
                      <w:rPr>
                        <w:sz w:val="18"/>
                        <w:szCs w:val="18"/>
                      </w:rPr>
                    </w:pPr>
                    <w:r>
                      <w:rPr>
                        <w:sz w:val="18"/>
                        <w:szCs w:val="18"/>
                      </w:rPr>
                      <w:t>股东</w:t>
                    </w:r>
                  </w:p>
                  <w:p>
                    <w:pPr>
                      <w:jc w:val="center"/>
                      <w:rPr>
                        <w:sz w:val="18"/>
                        <w:szCs w:val="18"/>
                      </w:rPr>
                    </w:pPr>
                    <w:r>
                      <w:rPr>
                        <w:sz w:val="18"/>
                        <w:szCs w:val="18"/>
                      </w:rPr>
                      <w:t>性质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6" w:type="dxa"/>
                <w:vMerge w:val="continue"/>
                <w:tcBorders>
                  <w:bottom w:val="single" w:color="auto" w:sz="4" w:space="0"/>
                </w:tcBorders>
                <w:shd w:val="clear" w:color="auto" w:fill="auto"/>
              </w:tcPr>
              <w:p>
                <w:pPr>
                  <w:jc w:val="center"/>
                  <w:rPr>
                    <w:sz w:val="18"/>
                    <w:szCs w:val="18"/>
                  </w:rPr>
                </w:pPr>
              </w:p>
            </w:tc>
            <w:tc>
              <w:tcPr>
                <w:tcW w:w="1116" w:type="dxa"/>
                <w:vMerge w:val="continue"/>
                <w:tcBorders>
                  <w:bottom w:val="single" w:color="auto" w:sz="4" w:space="0"/>
                </w:tcBorders>
                <w:shd w:val="clear" w:color="auto" w:fill="auto"/>
              </w:tcPr>
              <w:p>
                <w:pPr>
                  <w:jc w:val="center"/>
                  <w:rPr>
                    <w:sz w:val="18"/>
                    <w:szCs w:val="18"/>
                  </w:rPr>
                </w:pPr>
              </w:p>
            </w:tc>
            <w:tc>
              <w:tcPr>
                <w:tcW w:w="1386" w:type="dxa"/>
                <w:gridSpan w:val="2"/>
                <w:vMerge w:val="continue"/>
                <w:tcBorders>
                  <w:bottom w:val="single" w:color="auto" w:sz="4" w:space="0"/>
                </w:tcBorders>
                <w:shd w:val="clear" w:color="auto" w:fill="auto"/>
              </w:tcPr>
              <w:p>
                <w:pPr>
                  <w:jc w:val="center"/>
                  <w:rPr>
                    <w:sz w:val="18"/>
                    <w:szCs w:val="18"/>
                  </w:rPr>
                </w:pPr>
              </w:p>
            </w:tc>
            <w:tc>
              <w:tcPr>
                <w:tcW w:w="666" w:type="dxa"/>
                <w:gridSpan w:val="2"/>
                <w:vMerge w:val="continue"/>
                <w:tcBorders>
                  <w:bottom w:val="single" w:color="auto" w:sz="4" w:space="0"/>
                </w:tcBorders>
                <w:shd w:val="clear" w:color="auto" w:fill="auto"/>
              </w:tcPr>
              <w:p>
                <w:pPr>
                  <w:jc w:val="center"/>
                  <w:rPr>
                    <w:sz w:val="18"/>
                    <w:szCs w:val="18"/>
                  </w:rPr>
                </w:pPr>
              </w:p>
            </w:tc>
            <w:tc>
              <w:tcPr>
                <w:tcW w:w="696" w:type="dxa"/>
                <w:vMerge w:val="continue"/>
                <w:tcBorders>
                  <w:bottom w:val="single" w:color="auto" w:sz="4" w:space="0"/>
                </w:tcBorders>
                <w:shd w:val="clear" w:color="auto" w:fill="auto"/>
              </w:tcPr>
              <w:p>
                <w:pPr>
                  <w:jc w:val="center"/>
                  <w:rPr>
                    <w:sz w:val="18"/>
                    <w:szCs w:val="18"/>
                  </w:rPr>
                </w:pPr>
              </w:p>
            </w:tc>
            <w:sdt>
              <w:sdtPr>
                <w:rPr>
                  <w:sz w:val="18"/>
                  <w:szCs w:val="18"/>
                </w:rPr>
                <w:tag w:val="_PLD_f8228807ac9244efa571dcf3d56b3967"/>
                <w:id w:val="6773362"/>
                <w:lock w:val="sdtLocked"/>
              </w:sdtPr>
              <w:sdtEndPr>
                <w:rPr>
                  <w:sz w:val="18"/>
                  <w:szCs w:val="18"/>
                </w:rPr>
              </w:sdtEndPr>
              <w:sdtContent>
                <w:tc>
                  <w:tcPr>
                    <w:tcW w:w="607" w:type="dxa"/>
                    <w:tcBorders>
                      <w:bottom w:val="single" w:color="auto" w:sz="4" w:space="0"/>
                    </w:tcBorders>
                    <w:shd w:val="clear" w:color="auto" w:fill="auto"/>
                    <w:vAlign w:val="center"/>
                  </w:tcPr>
                  <w:p>
                    <w:pPr>
                      <w:jc w:val="center"/>
                      <w:rPr>
                        <w:sz w:val="18"/>
                        <w:szCs w:val="18"/>
                      </w:rPr>
                    </w:pPr>
                    <w:r>
                      <w:rPr>
                        <w:sz w:val="18"/>
                        <w:szCs w:val="18"/>
                      </w:rPr>
                      <w:t>股份</w:t>
                    </w:r>
                  </w:p>
                  <w:p>
                    <w:pPr>
                      <w:jc w:val="center"/>
                      <w:rPr>
                        <w:sz w:val="18"/>
                        <w:szCs w:val="18"/>
                      </w:rPr>
                    </w:pPr>
                    <w:r>
                      <w:rPr>
                        <w:sz w:val="18"/>
                        <w:szCs w:val="18"/>
                      </w:rPr>
                      <w:t>状态</w:t>
                    </w:r>
                  </w:p>
                </w:tc>
              </w:sdtContent>
            </w:sdt>
            <w:sdt>
              <w:sdtPr>
                <w:rPr>
                  <w:sz w:val="18"/>
                  <w:szCs w:val="18"/>
                </w:rPr>
                <w:tag w:val="_PLD_ce3db2bea7004cca8a7d79383e73b45b"/>
                <w:id w:val="6773363"/>
                <w:lock w:val="sdtLocked"/>
              </w:sdtPr>
              <w:sdtEndPr>
                <w:rPr>
                  <w:sz w:val="18"/>
                  <w:szCs w:val="18"/>
                </w:rPr>
              </w:sdtEndPr>
              <w:sdtContent>
                <w:tc>
                  <w:tcPr>
                    <w:tcW w:w="421" w:type="dxa"/>
                    <w:tcBorders>
                      <w:bottom w:val="single" w:color="auto" w:sz="4" w:space="0"/>
                    </w:tcBorders>
                    <w:shd w:val="clear" w:color="auto" w:fill="auto"/>
                    <w:vAlign w:val="center"/>
                  </w:tcPr>
                  <w:p>
                    <w:pPr>
                      <w:jc w:val="center"/>
                      <w:rPr>
                        <w:sz w:val="18"/>
                        <w:szCs w:val="18"/>
                      </w:rPr>
                    </w:pPr>
                    <w:r>
                      <w:rPr>
                        <w:sz w:val="18"/>
                        <w:szCs w:val="18"/>
                      </w:rPr>
                      <w:t>数量</w:t>
                    </w:r>
                  </w:p>
                </w:tc>
              </w:sdtContent>
            </w:sdt>
            <w:tc>
              <w:tcPr>
                <w:tcW w:w="1421" w:type="dxa"/>
                <w:vMerge w:val="continue"/>
                <w:shd w:val="clear" w:color="auto" w:fill="auto"/>
              </w:tcPr>
              <w:p>
                <w:pPr>
                  <w:jc w:val="center"/>
                  <w:rPr>
                    <w:sz w:val="18"/>
                    <w:szCs w:val="18"/>
                  </w:rPr>
                </w:pPr>
              </w:p>
            </w:tc>
          </w:tr>
          <w:sdt>
            <w:sdtPr>
              <w:rPr>
                <w:sz w:val="18"/>
                <w:szCs w:val="18"/>
              </w:rPr>
              <w:alias w:val="前十名股东持股情况"/>
              <w:tag w:val="_TUP_24057066f31146389c4a30d85e2a1828"/>
              <w:id w:val="677336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6" w:type="dxa"/>
                    <w:shd w:val="clear" w:color="auto" w:fill="auto"/>
                  </w:tcPr>
                  <w:p>
                    <w:pPr>
                      <w:rPr>
                        <w:sz w:val="18"/>
                        <w:szCs w:val="18"/>
                      </w:rPr>
                    </w:pPr>
                    <w:r>
                      <w:rPr>
                        <w:sz w:val="18"/>
                        <w:szCs w:val="18"/>
                      </w:rPr>
                      <w:t>广西柳州钢铁集团有限公司</w:t>
                    </w:r>
                  </w:p>
                </w:tc>
                <w:tc>
                  <w:tcPr>
                    <w:tcW w:w="1116" w:type="dxa"/>
                    <w:shd w:val="clear" w:color="auto" w:fill="auto"/>
                  </w:tcPr>
                  <w:p>
                    <w:pPr>
                      <w:jc w:val="right"/>
                      <w:rPr>
                        <w:sz w:val="18"/>
                        <w:szCs w:val="18"/>
                      </w:rPr>
                    </w:pPr>
                  </w:p>
                </w:tc>
                <w:tc>
                  <w:tcPr>
                    <w:tcW w:w="1386" w:type="dxa"/>
                    <w:gridSpan w:val="2"/>
                    <w:shd w:val="clear" w:color="auto" w:fill="auto"/>
                  </w:tcPr>
                  <w:p>
                    <w:pPr>
                      <w:jc w:val="right"/>
                      <w:rPr>
                        <w:sz w:val="18"/>
                        <w:szCs w:val="18"/>
                      </w:rPr>
                    </w:pPr>
                    <w:r>
                      <w:rPr>
                        <w:sz w:val="18"/>
                        <w:szCs w:val="18"/>
                      </w:rPr>
                      <w:t>2,114,433,135</w:t>
                    </w:r>
                  </w:p>
                </w:tc>
                <w:tc>
                  <w:tcPr>
                    <w:tcW w:w="666" w:type="dxa"/>
                    <w:gridSpan w:val="2"/>
                    <w:shd w:val="clear" w:color="auto" w:fill="auto"/>
                  </w:tcPr>
                  <w:p>
                    <w:pPr>
                      <w:jc w:val="right"/>
                      <w:rPr>
                        <w:sz w:val="18"/>
                        <w:szCs w:val="18"/>
                      </w:rPr>
                    </w:pPr>
                    <w:r>
                      <w:rPr>
                        <w:sz w:val="18"/>
                        <w:szCs w:val="18"/>
                      </w:rPr>
                      <w:t>82.51</w:t>
                    </w:r>
                  </w:p>
                </w:tc>
                <w:tc>
                  <w:tcPr>
                    <w:tcW w:w="6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6773364"/>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607" w:type="dxa"/>
                        <w:shd w:val="clear" w:color="auto" w:fill="auto"/>
                        <w:vAlign w:val="center"/>
                      </w:tcPr>
                      <w:p>
                        <w:pPr>
                          <w:jc w:val="center"/>
                          <w:rPr>
                            <w:sz w:val="18"/>
                            <w:szCs w:val="18"/>
                          </w:rPr>
                        </w:pPr>
                        <w:r>
                          <w:rPr>
                            <w:rFonts w:hint="eastAsia"/>
                            <w:sz w:val="18"/>
                            <w:szCs w:val="18"/>
                          </w:rPr>
                          <w:t>无</w:t>
                        </w:r>
                      </w:p>
                    </w:tc>
                  </w:sdtContent>
                </w:sdt>
                <w:tc>
                  <w:tcPr>
                    <w:tcW w:w="421" w:type="dxa"/>
                    <w:shd w:val="clear" w:color="auto" w:fill="auto"/>
                  </w:tcPr>
                  <w:p>
                    <w:pPr>
                      <w:jc w:val="right"/>
                      <w:rPr>
                        <w:sz w:val="18"/>
                        <w:szCs w:val="18"/>
                      </w:rPr>
                    </w:pPr>
                  </w:p>
                </w:tc>
                <w:sdt>
                  <w:sdtPr>
                    <w:rPr>
                      <w:sz w:val="18"/>
                      <w:szCs w:val="18"/>
                    </w:rPr>
                    <w:alias w:val="前十名股东的股东性质"/>
                    <w:tag w:val="_GBC_a2b018da5fb8460bbd44db2c4ce6ef71"/>
                    <w:id w:val="677336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1421" w:type="dxa"/>
                        <w:shd w:val="clear" w:color="auto" w:fill="auto"/>
                      </w:tcPr>
                      <w:p>
                        <w:pPr>
                          <w:rPr>
                            <w:sz w:val="18"/>
                            <w:szCs w:val="18"/>
                          </w:rPr>
                        </w:pPr>
                        <w:r>
                          <w:rPr>
                            <w:rFonts w:hint="eastAsia"/>
                            <w:sz w:val="18"/>
                            <w:szCs w:val="18"/>
                          </w:rPr>
                          <w:t>国有法人</w:t>
                        </w:r>
                      </w:p>
                    </w:tc>
                  </w:sdtContent>
                </w:sdt>
              </w:tr>
            </w:sdtContent>
          </w:sdt>
          <w:sdt>
            <w:sdtPr>
              <w:rPr>
                <w:sz w:val="18"/>
                <w:szCs w:val="18"/>
              </w:rPr>
              <w:alias w:val="前十名股东持股情况"/>
              <w:tag w:val="_TUP_24057066f31146389c4a30d85e2a1828"/>
              <w:id w:val="677336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6" w:type="dxa"/>
                    <w:shd w:val="clear" w:color="auto" w:fill="auto"/>
                  </w:tcPr>
                  <w:p>
                    <w:pPr>
                      <w:rPr>
                        <w:sz w:val="18"/>
                        <w:szCs w:val="18"/>
                      </w:rPr>
                    </w:pPr>
                    <w:r>
                      <w:rPr>
                        <w:sz w:val="18"/>
                        <w:szCs w:val="18"/>
                      </w:rPr>
                      <w:t>中国建设银行股份有限公司－融通领先成长混合型证券投资基金（LOF）</w:t>
                    </w:r>
                  </w:p>
                </w:tc>
                <w:tc>
                  <w:tcPr>
                    <w:tcW w:w="1116" w:type="dxa"/>
                    <w:shd w:val="clear" w:color="auto" w:fill="auto"/>
                  </w:tcPr>
                  <w:p>
                    <w:pPr>
                      <w:jc w:val="right"/>
                      <w:rPr>
                        <w:sz w:val="18"/>
                        <w:szCs w:val="18"/>
                      </w:rPr>
                    </w:pPr>
                    <w:r>
                      <w:rPr>
                        <w:sz w:val="18"/>
                        <w:szCs w:val="18"/>
                      </w:rPr>
                      <w:t>13,071,806</w:t>
                    </w:r>
                  </w:p>
                </w:tc>
                <w:tc>
                  <w:tcPr>
                    <w:tcW w:w="1386" w:type="dxa"/>
                    <w:gridSpan w:val="2"/>
                    <w:shd w:val="clear" w:color="auto" w:fill="auto"/>
                  </w:tcPr>
                  <w:p>
                    <w:pPr>
                      <w:jc w:val="right"/>
                      <w:rPr>
                        <w:sz w:val="18"/>
                        <w:szCs w:val="18"/>
                      </w:rPr>
                    </w:pPr>
                    <w:r>
                      <w:rPr>
                        <w:sz w:val="18"/>
                        <w:szCs w:val="18"/>
                      </w:rPr>
                      <w:t>13,071,806</w:t>
                    </w:r>
                  </w:p>
                </w:tc>
                <w:tc>
                  <w:tcPr>
                    <w:tcW w:w="666" w:type="dxa"/>
                    <w:gridSpan w:val="2"/>
                    <w:shd w:val="clear" w:color="auto" w:fill="auto"/>
                  </w:tcPr>
                  <w:p>
                    <w:pPr>
                      <w:jc w:val="right"/>
                      <w:rPr>
                        <w:sz w:val="18"/>
                        <w:szCs w:val="18"/>
                      </w:rPr>
                    </w:pPr>
                    <w:r>
                      <w:rPr>
                        <w:sz w:val="18"/>
                        <w:szCs w:val="18"/>
                      </w:rPr>
                      <w:t>0.51</w:t>
                    </w:r>
                  </w:p>
                </w:tc>
                <w:tc>
                  <w:tcPr>
                    <w:tcW w:w="6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6773367"/>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607" w:type="dxa"/>
                        <w:shd w:val="clear" w:color="auto" w:fill="auto"/>
                        <w:vAlign w:val="center"/>
                      </w:tcPr>
                      <w:p>
                        <w:pPr>
                          <w:jc w:val="center"/>
                          <w:rPr>
                            <w:sz w:val="18"/>
                            <w:szCs w:val="18"/>
                          </w:rPr>
                        </w:pPr>
                        <w:r>
                          <w:rPr>
                            <w:rFonts w:hint="eastAsia"/>
                            <w:sz w:val="18"/>
                            <w:szCs w:val="18"/>
                          </w:rPr>
                          <w:t>无</w:t>
                        </w:r>
                      </w:p>
                    </w:tc>
                  </w:sdtContent>
                </w:sdt>
                <w:tc>
                  <w:tcPr>
                    <w:tcW w:w="421" w:type="dxa"/>
                    <w:shd w:val="clear" w:color="auto" w:fill="auto"/>
                  </w:tcPr>
                  <w:p>
                    <w:pPr>
                      <w:jc w:val="right"/>
                      <w:rPr>
                        <w:sz w:val="18"/>
                        <w:szCs w:val="18"/>
                      </w:rPr>
                    </w:pPr>
                  </w:p>
                </w:tc>
                <w:sdt>
                  <w:sdtPr>
                    <w:rPr>
                      <w:sz w:val="18"/>
                      <w:szCs w:val="18"/>
                    </w:rPr>
                    <w:alias w:val="前十名股东的股东性质"/>
                    <w:tag w:val="_GBC_a2b018da5fb8460bbd44db2c4ce6ef71"/>
                    <w:id w:val="677336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1421"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677337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6" w:type="dxa"/>
                    <w:shd w:val="clear" w:color="auto" w:fill="auto"/>
                  </w:tcPr>
                  <w:p>
                    <w:pPr>
                      <w:rPr>
                        <w:sz w:val="18"/>
                        <w:szCs w:val="18"/>
                      </w:rPr>
                    </w:pPr>
                    <w:r>
                      <w:rPr>
                        <w:sz w:val="18"/>
                        <w:szCs w:val="18"/>
                      </w:rPr>
                      <w:t>林胜伟</w:t>
                    </w:r>
                  </w:p>
                </w:tc>
                <w:tc>
                  <w:tcPr>
                    <w:tcW w:w="1116" w:type="dxa"/>
                    <w:shd w:val="clear" w:color="auto" w:fill="auto"/>
                  </w:tcPr>
                  <w:p>
                    <w:pPr>
                      <w:jc w:val="right"/>
                      <w:rPr>
                        <w:sz w:val="18"/>
                        <w:szCs w:val="18"/>
                      </w:rPr>
                    </w:pPr>
                    <w:r>
                      <w:rPr>
                        <w:sz w:val="18"/>
                        <w:szCs w:val="18"/>
                      </w:rPr>
                      <w:t>8,285,450</w:t>
                    </w:r>
                  </w:p>
                </w:tc>
                <w:tc>
                  <w:tcPr>
                    <w:tcW w:w="1386" w:type="dxa"/>
                    <w:gridSpan w:val="2"/>
                    <w:shd w:val="clear" w:color="auto" w:fill="auto"/>
                  </w:tcPr>
                  <w:p>
                    <w:pPr>
                      <w:jc w:val="right"/>
                      <w:rPr>
                        <w:sz w:val="18"/>
                        <w:szCs w:val="18"/>
                      </w:rPr>
                    </w:pPr>
                    <w:r>
                      <w:rPr>
                        <w:sz w:val="18"/>
                        <w:szCs w:val="18"/>
                      </w:rPr>
                      <w:t>8,285,450</w:t>
                    </w:r>
                  </w:p>
                </w:tc>
                <w:tc>
                  <w:tcPr>
                    <w:tcW w:w="666" w:type="dxa"/>
                    <w:gridSpan w:val="2"/>
                    <w:shd w:val="clear" w:color="auto" w:fill="auto"/>
                  </w:tcPr>
                  <w:p>
                    <w:pPr>
                      <w:jc w:val="right"/>
                      <w:rPr>
                        <w:sz w:val="18"/>
                        <w:szCs w:val="18"/>
                      </w:rPr>
                    </w:pPr>
                    <w:r>
                      <w:rPr>
                        <w:sz w:val="18"/>
                        <w:szCs w:val="18"/>
                      </w:rPr>
                      <w:t>0.32</w:t>
                    </w:r>
                  </w:p>
                </w:tc>
                <w:tc>
                  <w:tcPr>
                    <w:tcW w:w="6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6773370"/>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607" w:type="dxa"/>
                        <w:shd w:val="clear" w:color="auto" w:fill="auto"/>
                        <w:vAlign w:val="center"/>
                      </w:tcPr>
                      <w:p>
                        <w:pPr>
                          <w:jc w:val="center"/>
                          <w:rPr>
                            <w:sz w:val="18"/>
                            <w:szCs w:val="18"/>
                          </w:rPr>
                        </w:pPr>
                        <w:r>
                          <w:rPr>
                            <w:rFonts w:hint="eastAsia"/>
                            <w:sz w:val="18"/>
                            <w:szCs w:val="18"/>
                          </w:rPr>
                          <w:t>无</w:t>
                        </w:r>
                      </w:p>
                    </w:tc>
                  </w:sdtContent>
                </w:sdt>
                <w:tc>
                  <w:tcPr>
                    <w:tcW w:w="421" w:type="dxa"/>
                    <w:shd w:val="clear" w:color="auto" w:fill="auto"/>
                  </w:tcPr>
                  <w:p>
                    <w:pPr>
                      <w:jc w:val="right"/>
                      <w:rPr>
                        <w:sz w:val="18"/>
                        <w:szCs w:val="18"/>
                      </w:rPr>
                    </w:pPr>
                  </w:p>
                </w:tc>
                <w:sdt>
                  <w:sdtPr>
                    <w:rPr>
                      <w:sz w:val="18"/>
                      <w:szCs w:val="18"/>
                    </w:rPr>
                    <w:alias w:val="前十名股东的股东性质"/>
                    <w:tag w:val="_GBC_a2b018da5fb8460bbd44db2c4ce6ef71"/>
                    <w:id w:val="677337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1421" w:type="dxa"/>
                        <w:shd w:val="clear" w:color="auto" w:fill="auto"/>
                      </w:tcPr>
                      <w:p>
                        <w:pPr>
                          <w:rPr>
                            <w:sz w:val="18"/>
                            <w:szCs w:val="18"/>
                          </w:rPr>
                        </w:pPr>
                        <w:r>
                          <w:rPr>
                            <w:rFonts w:hint="eastAsia"/>
                            <w:sz w:val="18"/>
                            <w:szCs w:val="18"/>
                          </w:rPr>
                          <w:t>境内自然人</w:t>
                        </w:r>
                      </w:p>
                    </w:tc>
                  </w:sdtContent>
                </w:sdt>
              </w:tr>
            </w:sdtContent>
          </w:sdt>
          <w:sdt>
            <w:sdtPr>
              <w:rPr>
                <w:sz w:val="18"/>
                <w:szCs w:val="18"/>
              </w:rPr>
              <w:alias w:val="前十名股东持股情况"/>
              <w:tag w:val="_TUP_24057066f31146389c4a30d85e2a1828"/>
              <w:id w:val="677337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6" w:type="dxa"/>
                    <w:shd w:val="clear" w:color="auto" w:fill="auto"/>
                  </w:tcPr>
                  <w:p>
                    <w:pPr>
                      <w:rPr>
                        <w:sz w:val="18"/>
                        <w:szCs w:val="18"/>
                      </w:rPr>
                    </w:pPr>
                    <w:r>
                      <w:rPr>
                        <w:sz w:val="18"/>
                        <w:szCs w:val="18"/>
                      </w:rPr>
                      <w:t>温丽霞</w:t>
                    </w:r>
                  </w:p>
                </w:tc>
                <w:tc>
                  <w:tcPr>
                    <w:tcW w:w="1116" w:type="dxa"/>
                    <w:shd w:val="clear" w:color="auto" w:fill="auto"/>
                  </w:tcPr>
                  <w:p>
                    <w:pPr>
                      <w:jc w:val="right"/>
                      <w:rPr>
                        <w:sz w:val="18"/>
                        <w:szCs w:val="18"/>
                      </w:rPr>
                    </w:pPr>
                    <w:r>
                      <w:rPr>
                        <w:sz w:val="18"/>
                        <w:szCs w:val="18"/>
                      </w:rPr>
                      <w:t>8,282,420</w:t>
                    </w:r>
                  </w:p>
                </w:tc>
                <w:tc>
                  <w:tcPr>
                    <w:tcW w:w="1386" w:type="dxa"/>
                    <w:gridSpan w:val="2"/>
                    <w:shd w:val="clear" w:color="auto" w:fill="auto"/>
                  </w:tcPr>
                  <w:p>
                    <w:pPr>
                      <w:jc w:val="right"/>
                      <w:rPr>
                        <w:sz w:val="18"/>
                        <w:szCs w:val="18"/>
                      </w:rPr>
                    </w:pPr>
                    <w:r>
                      <w:rPr>
                        <w:sz w:val="18"/>
                        <w:szCs w:val="18"/>
                      </w:rPr>
                      <w:t>8,282,420</w:t>
                    </w:r>
                  </w:p>
                </w:tc>
                <w:tc>
                  <w:tcPr>
                    <w:tcW w:w="666" w:type="dxa"/>
                    <w:gridSpan w:val="2"/>
                    <w:shd w:val="clear" w:color="auto" w:fill="auto"/>
                  </w:tcPr>
                  <w:p>
                    <w:pPr>
                      <w:jc w:val="right"/>
                      <w:rPr>
                        <w:sz w:val="18"/>
                        <w:szCs w:val="18"/>
                      </w:rPr>
                    </w:pPr>
                    <w:r>
                      <w:rPr>
                        <w:sz w:val="18"/>
                        <w:szCs w:val="18"/>
                      </w:rPr>
                      <w:t>0.32</w:t>
                    </w:r>
                  </w:p>
                </w:tc>
                <w:tc>
                  <w:tcPr>
                    <w:tcW w:w="6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6773373"/>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607" w:type="dxa"/>
                        <w:shd w:val="clear" w:color="auto" w:fill="auto"/>
                        <w:vAlign w:val="center"/>
                      </w:tcPr>
                      <w:p>
                        <w:pPr>
                          <w:jc w:val="center"/>
                          <w:rPr>
                            <w:sz w:val="18"/>
                            <w:szCs w:val="18"/>
                          </w:rPr>
                        </w:pPr>
                        <w:r>
                          <w:rPr>
                            <w:rFonts w:hint="eastAsia"/>
                            <w:sz w:val="18"/>
                            <w:szCs w:val="18"/>
                          </w:rPr>
                          <w:t>无</w:t>
                        </w:r>
                      </w:p>
                    </w:tc>
                  </w:sdtContent>
                </w:sdt>
                <w:tc>
                  <w:tcPr>
                    <w:tcW w:w="421" w:type="dxa"/>
                    <w:shd w:val="clear" w:color="auto" w:fill="auto"/>
                  </w:tcPr>
                  <w:p>
                    <w:pPr>
                      <w:jc w:val="right"/>
                      <w:rPr>
                        <w:sz w:val="18"/>
                        <w:szCs w:val="18"/>
                      </w:rPr>
                    </w:pPr>
                  </w:p>
                </w:tc>
                <w:sdt>
                  <w:sdtPr>
                    <w:rPr>
                      <w:sz w:val="18"/>
                      <w:szCs w:val="18"/>
                    </w:rPr>
                    <w:alias w:val="前十名股东的股东性质"/>
                    <w:tag w:val="_GBC_a2b018da5fb8460bbd44db2c4ce6ef71"/>
                    <w:id w:val="677337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1421" w:type="dxa"/>
                        <w:shd w:val="clear" w:color="auto" w:fill="auto"/>
                      </w:tcPr>
                      <w:p>
                        <w:pPr>
                          <w:rPr>
                            <w:sz w:val="18"/>
                            <w:szCs w:val="18"/>
                          </w:rPr>
                        </w:pPr>
                        <w:r>
                          <w:rPr>
                            <w:rFonts w:hint="eastAsia"/>
                            <w:sz w:val="18"/>
                            <w:szCs w:val="18"/>
                          </w:rPr>
                          <w:t>境内自然人</w:t>
                        </w:r>
                      </w:p>
                    </w:tc>
                  </w:sdtContent>
                </w:sdt>
              </w:tr>
            </w:sdtContent>
          </w:sdt>
          <w:sdt>
            <w:sdtPr>
              <w:rPr>
                <w:sz w:val="18"/>
                <w:szCs w:val="18"/>
              </w:rPr>
              <w:alias w:val="前十名股东持股情况"/>
              <w:tag w:val="_TUP_24057066f31146389c4a30d85e2a1828"/>
              <w:id w:val="677337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6" w:type="dxa"/>
                    <w:shd w:val="clear" w:color="auto" w:fill="auto"/>
                  </w:tcPr>
                  <w:p>
                    <w:pPr>
                      <w:rPr>
                        <w:sz w:val="18"/>
                        <w:szCs w:val="18"/>
                      </w:rPr>
                    </w:pPr>
                    <w:r>
                      <w:rPr>
                        <w:sz w:val="18"/>
                        <w:szCs w:val="18"/>
                      </w:rPr>
                      <w:t>中国银行股份有限公司－南方产业活力股票型证券投资基金</w:t>
                    </w:r>
                  </w:p>
                </w:tc>
                <w:tc>
                  <w:tcPr>
                    <w:tcW w:w="1116" w:type="dxa"/>
                    <w:shd w:val="clear" w:color="auto" w:fill="auto"/>
                  </w:tcPr>
                  <w:p>
                    <w:pPr>
                      <w:jc w:val="right"/>
                      <w:rPr>
                        <w:sz w:val="18"/>
                        <w:szCs w:val="18"/>
                      </w:rPr>
                    </w:pPr>
                    <w:r>
                      <w:rPr>
                        <w:sz w:val="18"/>
                        <w:szCs w:val="18"/>
                      </w:rPr>
                      <w:t>6,931,157</w:t>
                    </w:r>
                  </w:p>
                </w:tc>
                <w:tc>
                  <w:tcPr>
                    <w:tcW w:w="1386" w:type="dxa"/>
                    <w:gridSpan w:val="2"/>
                    <w:shd w:val="clear" w:color="auto" w:fill="auto"/>
                  </w:tcPr>
                  <w:p>
                    <w:pPr>
                      <w:jc w:val="right"/>
                      <w:rPr>
                        <w:sz w:val="18"/>
                        <w:szCs w:val="18"/>
                      </w:rPr>
                    </w:pPr>
                    <w:r>
                      <w:rPr>
                        <w:sz w:val="18"/>
                        <w:szCs w:val="18"/>
                      </w:rPr>
                      <w:t>6,931,157</w:t>
                    </w:r>
                  </w:p>
                </w:tc>
                <w:tc>
                  <w:tcPr>
                    <w:tcW w:w="666" w:type="dxa"/>
                    <w:gridSpan w:val="2"/>
                    <w:shd w:val="clear" w:color="auto" w:fill="auto"/>
                  </w:tcPr>
                  <w:p>
                    <w:pPr>
                      <w:jc w:val="right"/>
                      <w:rPr>
                        <w:sz w:val="18"/>
                        <w:szCs w:val="18"/>
                      </w:rPr>
                    </w:pPr>
                    <w:r>
                      <w:rPr>
                        <w:sz w:val="18"/>
                        <w:szCs w:val="18"/>
                      </w:rPr>
                      <w:t>0.27</w:t>
                    </w:r>
                  </w:p>
                </w:tc>
                <w:tc>
                  <w:tcPr>
                    <w:tcW w:w="6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6773376"/>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607" w:type="dxa"/>
                        <w:shd w:val="clear" w:color="auto" w:fill="auto"/>
                        <w:vAlign w:val="center"/>
                      </w:tcPr>
                      <w:p>
                        <w:pPr>
                          <w:jc w:val="center"/>
                          <w:rPr>
                            <w:sz w:val="18"/>
                            <w:szCs w:val="18"/>
                          </w:rPr>
                        </w:pPr>
                        <w:r>
                          <w:rPr>
                            <w:rFonts w:hint="eastAsia"/>
                            <w:sz w:val="18"/>
                            <w:szCs w:val="18"/>
                          </w:rPr>
                          <w:t>无</w:t>
                        </w:r>
                      </w:p>
                    </w:tc>
                  </w:sdtContent>
                </w:sdt>
                <w:tc>
                  <w:tcPr>
                    <w:tcW w:w="421" w:type="dxa"/>
                    <w:shd w:val="clear" w:color="auto" w:fill="auto"/>
                  </w:tcPr>
                  <w:p>
                    <w:pPr>
                      <w:jc w:val="right"/>
                      <w:rPr>
                        <w:sz w:val="18"/>
                        <w:szCs w:val="18"/>
                      </w:rPr>
                    </w:pPr>
                  </w:p>
                </w:tc>
                <w:sdt>
                  <w:sdtPr>
                    <w:rPr>
                      <w:sz w:val="18"/>
                      <w:szCs w:val="18"/>
                    </w:rPr>
                    <w:alias w:val="前十名股东的股东性质"/>
                    <w:tag w:val="_GBC_a2b018da5fb8460bbd44db2c4ce6ef71"/>
                    <w:id w:val="67733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1421"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677338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6" w:type="dxa"/>
                    <w:shd w:val="clear" w:color="auto" w:fill="auto"/>
                  </w:tcPr>
                  <w:p>
                    <w:pPr>
                      <w:rPr>
                        <w:sz w:val="18"/>
                        <w:szCs w:val="18"/>
                      </w:rPr>
                    </w:pPr>
                    <w:r>
                      <w:rPr>
                        <w:sz w:val="18"/>
                        <w:szCs w:val="18"/>
                      </w:rPr>
                      <w:t>中国工商银行股份有限公司－海富通改革驱动灵活配置混合型证券投资基金</w:t>
                    </w:r>
                  </w:p>
                </w:tc>
                <w:tc>
                  <w:tcPr>
                    <w:tcW w:w="1116" w:type="dxa"/>
                    <w:shd w:val="clear" w:color="auto" w:fill="auto"/>
                  </w:tcPr>
                  <w:p>
                    <w:pPr>
                      <w:jc w:val="right"/>
                      <w:rPr>
                        <w:sz w:val="18"/>
                        <w:szCs w:val="18"/>
                      </w:rPr>
                    </w:pPr>
                    <w:r>
                      <w:rPr>
                        <w:sz w:val="18"/>
                        <w:szCs w:val="18"/>
                      </w:rPr>
                      <w:t>6,067,217</w:t>
                    </w:r>
                  </w:p>
                </w:tc>
                <w:tc>
                  <w:tcPr>
                    <w:tcW w:w="1386" w:type="dxa"/>
                    <w:gridSpan w:val="2"/>
                    <w:shd w:val="clear" w:color="auto" w:fill="auto"/>
                  </w:tcPr>
                  <w:p>
                    <w:pPr>
                      <w:jc w:val="right"/>
                      <w:rPr>
                        <w:sz w:val="18"/>
                        <w:szCs w:val="18"/>
                      </w:rPr>
                    </w:pPr>
                    <w:r>
                      <w:rPr>
                        <w:sz w:val="18"/>
                        <w:szCs w:val="18"/>
                      </w:rPr>
                      <w:t>6,067,217</w:t>
                    </w:r>
                  </w:p>
                </w:tc>
                <w:tc>
                  <w:tcPr>
                    <w:tcW w:w="666" w:type="dxa"/>
                    <w:gridSpan w:val="2"/>
                    <w:shd w:val="clear" w:color="auto" w:fill="auto"/>
                  </w:tcPr>
                  <w:p>
                    <w:pPr>
                      <w:jc w:val="right"/>
                      <w:rPr>
                        <w:sz w:val="18"/>
                        <w:szCs w:val="18"/>
                      </w:rPr>
                    </w:pPr>
                    <w:r>
                      <w:rPr>
                        <w:sz w:val="18"/>
                        <w:szCs w:val="18"/>
                      </w:rPr>
                      <w:t>0.24</w:t>
                    </w:r>
                  </w:p>
                </w:tc>
                <w:tc>
                  <w:tcPr>
                    <w:tcW w:w="6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6773379"/>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607" w:type="dxa"/>
                        <w:shd w:val="clear" w:color="auto" w:fill="auto"/>
                        <w:vAlign w:val="center"/>
                      </w:tcPr>
                      <w:p>
                        <w:pPr>
                          <w:jc w:val="center"/>
                          <w:rPr>
                            <w:sz w:val="18"/>
                            <w:szCs w:val="18"/>
                          </w:rPr>
                        </w:pPr>
                        <w:r>
                          <w:rPr>
                            <w:rFonts w:hint="eastAsia"/>
                            <w:sz w:val="18"/>
                            <w:szCs w:val="18"/>
                          </w:rPr>
                          <w:t>无</w:t>
                        </w:r>
                      </w:p>
                    </w:tc>
                  </w:sdtContent>
                </w:sdt>
                <w:tc>
                  <w:tcPr>
                    <w:tcW w:w="421" w:type="dxa"/>
                    <w:shd w:val="clear" w:color="auto" w:fill="auto"/>
                  </w:tcPr>
                  <w:p>
                    <w:pPr>
                      <w:jc w:val="right"/>
                      <w:rPr>
                        <w:sz w:val="18"/>
                        <w:szCs w:val="18"/>
                      </w:rPr>
                    </w:pPr>
                  </w:p>
                </w:tc>
                <w:sdt>
                  <w:sdtPr>
                    <w:rPr>
                      <w:sz w:val="18"/>
                      <w:szCs w:val="18"/>
                    </w:rPr>
                    <w:alias w:val="前十名股东的股东性质"/>
                    <w:tag w:val="_GBC_a2b018da5fb8460bbd44db2c4ce6ef71"/>
                    <w:id w:val="677338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1421"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677338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6" w:type="dxa"/>
                    <w:shd w:val="clear" w:color="auto" w:fill="auto"/>
                  </w:tcPr>
                  <w:p>
                    <w:pPr>
                      <w:rPr>
                        <w:sz w:val="18"/>
                        <w:szCs w:val="18"/>
                      </w:rPr>
                    </w:pPr>
                    <w:r>
                      <w:rPr>
                        <w:sz w:val="18"/>
                        <w:szCs w:val="18"/>
                      </w:rPr>
                      <w:t>中国银行－海富通收益增长证券投资基金</w:t>
                    </w:r>
                  </w:p>
                </w:tc>
                <w:tc>
                  <w:tcPr>
                    <w:tcW w:w="1116" w:type="dxa"/>
                    <w:shd w:val="clear" w:color="auto" w:fill="auto"/>
                  </w:tcPr>
                  <w:p>
                    <w:pPr>
                      <w:jc w:val="right"/>
                      <w:rPr>
                        <w:sz w:val="18"/>
                        <w:szCs w:val="18"/>
                      </w:rPr>
                    </w:pPr>
                    <w:r>
                      <w:rPr>
                        <w:sz w:val="18"/>
                        <w:szCs w:val="18"/>
                      </w:rPr>
                      <w:t>5,816,861</w:t>
                    </w:r>
                  </w:p>
                </w:tc>
                <w:tc>
                  <w:tcPr>
                    <w:tcW w:w="1386" w:type="dxa"/>
                    <w:gridSpan w:val="2"/>
                    <w:shd w:val="clear" w:color="auto" w:fill="auto"/>
                  </w:tcPr>
                  <w:p>
                    <w:pPr>
                      <w:jc w:val="right"/>
                      <w:rPr>
                        <w:sz w:val="18"/>
                        <w:szCs w:val="18"/>
                      </w:rPr>
                    </w:pPr>
                    <w:r>
                      <w:rPr>
                        <w:sz w:val="18"/>
                        <w:szCs w:val="18"/>
                      </w:rPr>
                      <w:t>5,816,861</w:t>
                    </w:r>
                  </w:p>
                </w:tc>
                <w:tc>
                  <w:tcPr>
                    <w:tcW w:w="666" w:type="dxa"/>
                    <w:gridSpan w:val="2"/>
                    <w:shd w:val="clear" w:color="auto" w:fill="auto"/>
                  </w:tcPr>
                  <w:p>
                    <w:pPr>
                      <w:jc w:val="right"/>
                      <w:rPr>
                        <w:sz w:val="18"/>
                        <w:szCs w:val="18"/>
                      </w:rPr>
                    </w:pPr>
                    <w:r>
                      <w:rPr>
                        <w:sz w:val="18"/>
                        <w:szCs w:val="18"/>
                      </w:rPr>
                      <w:t>0.23</w:t>
                    </w:r>
                  </w:p>
                </w:tc>
                <w:tc>
                  <w:tcPr>
                    <w:tcW w:w="6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6773382"/>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607" w:type="dxa"/>
                        <w:shd w:val="clear" w:color="auto" w:fill="auto"/>
                        <w:vAlign w:val="center"/>
                      </w:tcPr>
                      <w:p>
                        <w:pPr>
                          <w:jc w:val="center"/>
                          <w:rPr>
                            <w:sz w:val="18"/>
                            <w:szCs w:val="18"/>
                          </w:rPr>
                        </w:pPr>
                        <w:r>
                          <w:rPr>
                            <w:rFonts w:hint="eastAsia"/>
                            <w:sz w:val="18"/>
                            <w:szCs w:val="18"/>
                          </w:rPr>
                          <w:t>无</w:t>
                        </w:r>
                      </w:p>
                    </w:tc>
                  </w:sdtContent>
                </w:sdt>
                <w:tc>
                  <w:tcPr>
                    <w:tcW w:w="421" w:type="dxa"/>
                    <w:shd w:val="clear" w:color="auto" w:fill="auto"/>
                  </w:tcPr>
                  <w:p>
                    <w:pPr>
                      <w:jc w:val="right"/>
                      <w:rPr>
                        <w:sz w:val="18"/>
                        <w:szCs w:val="18"/>
                      </w:rPr>
                    </w:pPr>
                  </w:p>
                </w:tc>
                <w:sdt>
                  <w:sdtPr>
                    <w:rPr>
                      <w:sz w:val="18"/>
                      <w:szCs w:val="18"/>
                    </w:rPr>
                    <w:alias w:val="前十名股东的股东性质"/>
                    <w:tag w:val="_GBC_a2b018da5fb8460bbd44db2c4ce6ef71"/>
                    <w:id w:val="67733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1421"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677338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6" w:type="dxa"/>
                    <w:shd w:val="clear" w:color="auto" w:fill="auto"/>
                  </w:tcPr>
                  <w:p>
                    <w:pPr>
                      <w:rPr>
                        <w:sz w:val="18"/>
                        <w:szCs w:val="18"/>
                      </w:rPr>
                    </w:pPr>
                    <w:r>
                      <w:rPr>
                        <w:sz w:val="18"/>
                        <w:szCs w:val="18"/>
                      </w:rPr>
                      <w:t>中国建设银行－南方盛元红利股票型证券投资基金</w:t>
                    </w:r>
                  </w:p>
                </w:tc>
                <w:tc>
                  <w:tcPr>
                    <w:tcW w:w="1116" w:type="dxa"/>
                    <w:shd w:val="clear" w:color="auto" w:fill="auto"/>
                  </w:tcPr>
                  <w:p>
                    <w:pPr>
                      <w:jc w:val="right"/>
                      <w:rPr>
                        <w:sz w:val="18"/>
                        <w:szCs w:val="18"/>
                      </w:rPr>
                    </w:pPr>
                    <w:r>
                      <w:rPr>
                        <w:sz w:val="18"/>
                        <w:szCs w:val="18"/>
                      </w:rPr>
                      <w:t>4,999,980</w:t>
                    </w:r>
                  </w:p>
                </w:tc>
                <w:tc>
                  <w:tcPr>
                    <w:tcW w:w="1386" w:type="dxa"/>
                    <w:gridSpan w:val="2"/>
                    <w:shd w:val="clear" w:color="auto" w:fill="auto"/>
                  </w:tcPr>
                  <w:p>
                    <w:pPr>
                      <w:jc w:val="right"/>
                      <w:rPr>
                        <w:sz w:val="18"/>
                        <w:szCs w:val="18"/>
                      </w:rPr>
                    </w:pPr>
                    <w:r>
                      <w:rPr>
                        <w:sz w:val="18"/>
                        <w:szCs w:val="18"/>
                      </w:rPr>
                      <w:t>4,999,980</w:t>
                    </w:r>
                  </w:p>
                </w:tc>
                <w:tc>
                  <w:tcPr>
                    <w:tcW w:w="666" w:type="dxa"/>
                    <w:gridSpan w:val="2"/>
                    <w:shd w:val="clear" w:color="auto" w:fill="auto"/>
                  </w:tcPr>
                  <w:p>
                    <w:pPr>
                      <w:jc w:val="right"/>
                      <w:rPr>
                        <w:sz w:val="18"/>
                        <w:szCs w:val="18"/>
                      </w:rPr>
                    </w:pPr>
                    <w:r>
                      <w:rPr>
                        <w:sz w:val="18"/>
                        <w:szCs w:val="18"/>
                      </w:rPr>
                      <w:t>0.20</w:t>
                    </w:r>
                  </w:p>
                </w:tc>
                <w:tc>
                  <w:tcPr>
                    <w:tcW w:w="6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6773385"/>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607" w:type="dxa"/>
                        <w:shd w:val="clear" w:color="auto" w:fill="auto"/>
                        <w:vAlign w:val="center"/>
                      </w:tcPr>
                      <w:p>
                        <w:pPr>
                          <w:jc w:val="center"/>
                          <w:rPr>
                            <w:sz w:val="18"/>
                            <w:szCs w:val="18"/>
                          </w:rPr>
                        </w:pPr>
                        <w:r>
                          <w:rPr>
                            <w:rFonts w:hint="eastAsia"/>
                            <w:sz w:val="18"/>
                            <w:szCs w:val="18"/>
                          </w:rPr>
                          <w:t>无</w:t>
                        </w:r>
                      </w:p>
                    </w:tc>
                  </w:sdtContent>
                </w:sdt>
                <w:tc>
                  <w:tcPr>
                    <w:tcW w:w="421" w:type="dxa"/>
                    <w:shd w:val="clear" w:color="auto" w:fill="auto"/>
                  </w:tcPr>
                  <w:p>
                    <w:pPr>
                      <w:jc w:val="right"/>
                      <w:rPr>
                        <w:sz w:val="18"/>
                        <w:szCs w:val="18"/>
                      </w:rPr>
                    </w:pPr>
                  </w:p>
                </w:tc>
                <w:sdt>
                  <w:sdtPr>
                    <w:rPr>
                      <w:sz w:val="18"/>
                      <w:szCs w:val="18"/>
                    </w:rPr>
                    <w:alias w:val="前十名股东的股东性质"/>
                    <w:tag w:val="_GBC_a2b018da5fb8460bbd44db2c4ce6ef71"/>
                    <w:id w:val="677338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1421"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677339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6" w:type="dxa"/>
                    <w:shd w:val="clear" w:color="auto" w:fill="auto"/>
                  </w:tcPr>
                  <w:p>
                    <w:pPr>
                      <w:rPr>
                        <w:sz w:val="18"/>
                        <w:szCs w:val="18"/>
                      </w:rPr>
                    </w:pPr>
                    <w:r>
                      <w:rPr>
                        <w:sz w:val="18"/>
                        <w:szCs w:val="18"/>
                      </w:rPr>
                      <w:t>华宝信托有限责任公司－中山证券睿翔1号证券投资集合资金信托</w:t>
                    </w:r>
                  </w:p>
                </w:tc>
                <w:tc>
                  <w:tcPr>
                    <w:tcW w:w="1116" w:type="dxa"/>
                    <w:shd w:val="clear" w:color="auto" w:fill="auto"/>
                  </w:tcPr>
                  <w:p>
                    <w:pPr>
                      <w:jc w:val="right"/>
                      <w:rPr>
                        <w:sz w:val="18"/>
                        <w:szCs w:val="18"/>
                      </w:rPr>
                    </w:pPr>
                    <w:r>
                      <w:rPr>
                        <w:sz w:val="18"/>
                        <w:szCs w:val="18"/>
                      </w:rPr>
                      <w:t>4,873,786</w:t>
                    </w:r>
                  </w:p>
                </w:tc>
                <w:tc>
                  <w:tcPr>
                    <w:tcW w:w="1386" w:type="dxa"/>
                    <w:gridSpan w:val="2"/>
                    <w:shd w:val="clear" w:color="auto" w:fill="auto"/>
                  </w:tcPr>
                  <w:p>
                    <w:pPr>
                      <w:jc w:val="right"/>
                      <w:rPr>
                        <w:sz w:val="18"/>
                        <w:szCs w:val="18"/>
                      </w:rPr>
                    </w:pPr>
                    <w:r>
                      <w:rPr>
                        <w:sz w:val="18"/>
                        <w:szCs w:val="18"/>
                      </w:rPr>
                      <w:t>4,873,786</w:t>
                    </w:r>
                  </w:p>
                </w:tc>
                <w:tc>
                  <w:tcPr>
                    <w:tcW w:w="666" w:type="dxa"/>
                    <w:gridSpan w:val="2"/>
                    <w:shd w:val="clear" w:color="auto" w:fill="auto"/>
                  </w:tcPr>
                  <w:p>
                    <w:pPr>
                      <w:jc w:val="right"/>
                      <w:rPr>
                        <w:sz w:val="18"/>
                        <w:szCs w:val="18"/>
                      </w:rPr>
                    </w:pPr>
                    <w:r>
                      <w:rPr>
                        <w:sz w:val="18"/>
                        <w:szCs w:val="18"/>
                      </w:rPr>
                      <w:t>0.19</w:t>
                    </w:r>
                  </w:p>
                </w:tc>
                <w:tc>
                  <w:tcPr>
                    <w:tcW w:w="6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6773388"/>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607" w:type="dxa"/>
                        <w:shd w:val="clear" w:color="auto" w:fill="auto"/>
                        <w:vAlign w:val="center"/>
                      </w:tcPr>
                      <w:p>
                        <w:pPr>
                          <w:jc w:val="center"/>
                          <w:rPr>
                            <w:sz w:val="18"/>
                            <w:szCs w:val="18"/>
                          </w:rPr>
                        </w:pPr>
                        <w:r>
                          <w:rPr>
                            <w:rFonts w:hint="eastAsia"/>
                            <w:sz w:val="18"/>
                            <w:szCs w:val="18"/>
                          </w:rPr>
                          <w:t>无</w:t>
                        </w:r>
                      </w:p>
                    </w:tc>
                  </w:sdtContent>
                </w:sdt>
                <w:tc>
                  <w:tcPr>
                    <w:tcW w:w="421" w:type="dxa"/>
                    <w:shd w:val="clear" w:color="auto" w:fill="auto"/>
                  </w:tcPr>
                  <w:p>
                    <w:pPr>
                      <w:jc w:val="right"/>
                      <w:rPr>
                        <w:sz w:val="18"/>
                        <w:szCs w:val="18"/>
                      </w:rPr>
                    </w:pPr>
                  </w:p>
                </w:tc>
                <w:sdt>
                  <w:sdtPr>
                    <w:rPr>
                      <w:sz w:val="18"/>
                      <w:szCs w:val="18"/>
                    </w:rPr>
                    <w:alias w:val="前十名股东的股东性质"/>
                    <w:tag w:val="_GBC_a2b018da5fb8460bbd44db2c4ce6ef71"/>
                    <w:id w:val="677338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1421"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677339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6" w:type="dxa"/>
                    <w:shd w:val="clear" w:color="auto" w:fill="auto"/>
                  </w:tcPr>
                  <w:p>
                    <w:pPr>
                      <w:rPr>
                        <w:sz w:val="18"/>
                        <w:szCs w:val="18"/>
                      </w:rPr>
                    </w:pPr>
                    <w:r>
                      <w:rPr>
                        <w:sz w:val="18"/>
                        <w:szCs w:val="18"/>
                      </w:rPr>
                      <w:t>陕西省国际信托股份有限公司－陕国投·明华证券投资集合资金信托计划</w:t>
                    </w:r>
                  </w:p>
                </w:tc>
                <w:tc>
                  <w:tcPr>
                    <w:tcW w:w="1116" w:type="dxa"/>
                    <w:shd w:val="clear" w:color="auto" w:fill="auto"/>
                  </w:tcPr>
                  <w:p>
                    <w:pPr>
                      <w:jc w:val="right"/>
                      <w:rPr>
                        <w:sz w:val="18"/>
                        <w:szCs w:val="18"/>
                      </w:rPr>
                    </w:pPr>
                    <w:r>
                      <w:rPr>
                        <w:sz w:val="18"/>
                        <w:szCs w:val="18"/>
                      </w:rPr>
                      <w:t>4,820,501</w:t>
                    </w:r>
                  </w:p>
                </w:tc>
                <w:tc>
                  <w:tcPr>
                    <w:tcW w:w="1386" w:type="dxa"/>
                    <w:gridSpan w:val="2"/>
                    <w:shd w:val="clear" w:color="auto" w:fill="auto"/>
                  </w:tcPr>
                  <w:p>
                    <w:pPr>
                      <w:jc w:val="right"/>
                      <w:rPr>
                        <w:sz w:val="18"/>
                        <w:szCs w:val="18"/>
                      </w:rPr>
                    </w:pPr>
                    <w:r>
                      <w:rPr>
                        <w:sz w:val="18"/>
                        <w:szCs w:val="18"/>
                      </w:rPr>
                      <w:t>4,820,501</w:t>
                    </w:r>
                  </w:p>
                </w:tc>
                <w:tc>
                  <w:tcPr>
                    <w:tcW w:w="666" w:type="dxa"/>
                    <w:gridSpan w:val="2"/>
                    <w:shd w:val="clear" w:color="auto" w:fill="auto"/>
                  </w:tcPr>
                  <w:p>
                    <w:pPr>
                      <w:jc w:val="right"/>
                      <w:rPr>
                        <w:sz w:val="18"/>
                        <w:szCs w:val="18"/>
                      </w:rPr>
                    </w:pPr>
                    <w:r>
                      <w:rPr>
                        <w:sz w:val="18"/>
                        <w:szCs w:val="18"/>
                      </w:rPr>
                      <w:t>0.19</w:t>
                    </w:r>
                  </w:p>
                </w:tc>
                <w:tc>
                  <w:tcPr>
                    <w:tcW w:w="6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6773391"/>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607" w:type="dxa"/>
                        <w:shd w:val="clear" w:color="auto" w:fill="auto"/>
                        <w:vAlign w:val="center"/>
                      </w:tcPr>
                      <w:p>
                        <w:pPr>
                          <w:jc w:val="center"/>
                          <w:rPr>
                            <w:sz w:val="18"/>
                            <w:szCs w:val="18"/>
                          </w:rPr>
                        </w:pPr>
                        <w:r>
                          <w:rPr>
                            <w:rFonts w:hint="eastAsia"/>
                            <w:sz w:val="18"/>
                            <w:szCs w:val="18"/>
                          </w:rPr>
                          <w:t>无</w:t>
                        </w:r>
                      </w:p>
                    </w:tc>
                  </w:sdtContent>
                </w:sdt>
                <w:tc>
                  <w:tcPr>
                    <w:tcW w:w="421" w:type="dxa"/>
                    <w:shd w:val="clear" w:color="auto" w:fill="auto"/>
                  </w:tcPr>
                  <w:p>
                    <w:pPr>
                      <w:jc w:val="right"/>
                      <w:rPr>
                        <w:sz w:val="18"/>
                        <w:szCs w:val="18"/>
                      </w:rPr>
                    </w:pPr>
                  </w:p>
                </w:tc>
                <w:sdt>
                  <w:sdtPr>
                    <w:rPr>
                      <w:sz w:val="18"/>
                      <w:szCs w:val="18"/>
                    </w:rPr>
                    <w:alias w:val="前十名股东的股东性质"/>
                    <w:tag w:val="_GBC_a2b018da5fb8460bbd44db2c4ce6ef71"/>
                    <w:id w:val="677339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1421" w:type="dxa"/>
                        <w:shd w:val="clear" w:color="auto" w:fill="auto"/>
                      </w:tcPr>
                      <w:p>
                        <w:pPr>
                          <w:rPr>
                            <w:sz w:val="18"/>
                            <w:szCs w:val="18"/>
                          </w:rPr>
                        </w:pPr>
                        <w:r>
                          <w:rPr>
                            <w:rFonts w:hint="eastAsia"/>
                            <w:sz w:val="18"/>
                            <w:szCs w:val="18"/>
                          </w:rPr>
                          <w:t>未知</w:t>
                        </w:r>
                      </w:p>
                    </w:tc>
                  </w:sdtContent>
                </w:sdt>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ccf7ac59783b42098847925a9942722b"/>
                <w:id w:val="6773394"/>
                <w:lock w:val="sdtLocked"/>
              </w:sdtPr>
              <w:sdtEndPr>
                <w:rPr>
                  <w:sz w:val="18"/>
                  <w:szCs w:val="18"/>
                </w:rPr>
              </w:sdtEndPr>
              <w:sdtContent>
                <w:tc>
                  <w:tcPr>
                    <w:tcW w:w="9049" w:type="dxa"/>
                    <w:gridSpan w:val="10"/>
                    <w:shd w:val="clear" w:color="auto" w:fill="auto"/>
                  </w:tcPr>
                  <w:p>
                    <w:pPr>
                      <w:jc w:val="center"/>
                      <w:rPr>
                        <w:sz w:val="18"/>
                        <w:szCs w:val="18"/>
                      </w:rPr>
                    </w:pPr>
                    <w:r>
                      <w:rPr>
                        <w:sz w:val="18"/>
                        <w:szCs w:val="18"/>
                      </w:rPr>
                      <w:t>前十名无限售条件股东持股情况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f3dfd8acdd8c435fa834c69f5d6e1f5b"/>
                <w:id w:val="6773395"/>
                <w:lock w:val="sdtLocked"/>
              </w:sdtPr>
              <w:sdtEndPr>
                <w:rPr>
                  <w:sz w:val="18"/>
                  <w:szCs w:val="18"/>
                </w:rPr>
              </w:sdtEndPr>
              <w:sdtContent>
                <w:tc>
                  <w:tcPr>
                    <w:tcW w:w="4219" w:type="dxa"/>
                    <w:gridSpan w:val="3"/>
                    <w:vMerge w:val="restart"/>
                    <w:shd w:val="clear" w:color="auto" w:fill="auto"/>
                    <w:vAlign w:val="center"/>
                  </w:tcPr>
                  <w:p>
                    <w:pPr>
                      <w:jc w:val="center"/>
                      <w:rPr>
                        <w:sz w:val="18"/>
                        <w:szCs w:val="18"/>
                      </w:rPr>
                    </w:pPr>
                    <w:r>
                      <w:rPr>
                        <w:sz w:val="18"/>
                        <w:szCs w:val="18"/>
                      </w:rPr>
                      <w:t>股东名称</w:t>
                    </w:r>
                  </w:p>
                </w:tc>
              </w:sdtContent>
            </w:sdt>
            <w:sdt>
              <w:sdtPr>
                <w:rPr>
                  <w:sz w:val="18"/>
                  <w:szCs w:val="18"/>
                </w:rPr>
                <w:tag w:val="_PLD_1cc0aaa4b1844a85abe928d84b57d5b7"/>
                <w:id w:val="6773396"/>
                <w:lock w:val="sdtLocked"/>
              </w:sdtPr>
              <w:sdtEndPr>
                <w:rPr>
                  <w:sz w:val="18"/>
                  <w:szCs w:val="18"/>
                </w:rPr>
              </w:sdtEndPr>
              <w:sdtContent>
                <w:tc>
                  <w:tcPr>
                    <w:tcW w:w="1559" w:type="dxa"/>
                    <w:gridSpan w:val="2"/>
                    <w:vMerge w:val="restart"/>
                    <w:shd w:val="clear" w:color="auto" w:fill="auto"/>
                    <w:vAlign w:val="center"/>
                  </w:tcPr>
                  <w:p>
                    <w:pPr>
                      <w:jc w:val="center"/>
                      <w:rPr>
                        <w:sz w:val="18"/>
                        <w:szCs w:val="18"/>
                      </w:rPr>
                    </w:pPr>
                    <w:r>
                      <w:rPr>
                        <w:sz w:val="18"/>
                        <w:szCs w:val="18"/>
                      </w:rPr>
                      <w:t>持有无限售条件流通股的数量</w:t>
                    </w:r>
                  </w:p>
                </w:tc>
              </w:sdtContent>
            </w:sdt>
            <w:sdt>
              <w:sdtPr>
                <w:rPr>
                  <w:sz w:val="18"/>
                  <w:szCs w:val="18"/>
                </w:rPr>
                <w:tag w:val="_PLD_c30ab1e192784879bc454a18b1647960"/>
                <w:id w:val="6773397"/>
                <w:lock w:val="sdtLocked"/>
              </w:sdtPr>
              <w:sdtEndPr>
                <w:rPr>
                  <w:sz w:val="18"/>
                  <w:szCs w:val="18"/>
                </w:rPr>
              </w:sdtEndPr>
              <w:sdtContent>
                <w:tc>
                  <w:tcPr>
                    <w:tcW w:w="3271" w:type="dxa"/>
                    <w:gridSpan w:val="5"/>
                    <w:tcBorders>
                      <w:bottom w:val="single" w:color="auto" w:sz="4" w:space="0"/>
                    </w:tcBorders>
                    <w:shd w:val="clear" w:color="auto" w:fill="auto"/>
                    <w:vAlign w:val="center"/>
                  </w:tcPr>
                  <w:p>
                    <w:pPr>
                      <w:jc w:val="center"/>
                      <w:rPr>
                        <w:sz w:val="18"/>
                        <w:szCs w:val="18"/>
                      </w:rPr>
                    </w:pPr>
                    <w:r>
                      <w:rPr>
                        <w:sz w:val="18"/>
                        <w:szCs w:val="18"/>
                      </w:rPr>
                      <w:t>股份种类</w:t>
                    </w:r>
                    <w:r>
                      <w:rPr>
                        <w:rFonts w:hint="eastAsia"/>
                        <w:sz w:val="18"/>
                        <w:szCs w:val="18"/>
                      </w:rPr>
                      <w:t>及数量</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gridSpan w:val="3"/>
                <w:vMerge w:val="continue"/>
                <w:shd w:val="clear" w:color="auto" w:fill="auto"/>
                <w:vAlign w:val="center"/>
              </w:tcPr>
              <w:p>
                <w:pPr>
                  <w:jc w:val="center"/>
                  <w:rPr>
                    <w:sz w:val="18"/>
                    <w:szCs w:val="18"/>
                  </w:rPr>
                </w:pPr>
              </w:p>
            </w:tc>
            <w:tc>
              <w:tcPr>
                <w:tcW w:w="1559" w:type="dxa"/>
                <w:gridSpan w:val="2"/>
                <w:vMerge w:val="continue"/>
                <w:shd w:val="clear" w:color="auto" w:fill="auto"/>
                <w:vAlign w:val="center"/>
              </w:tcPr>
              <w:p>
                <w:pPr>
                  <w:jc w:val="center"/>
                  <w:rPr>
                    <w:sz w:val="18"/>
                    <w:szCs w:val="18"/>
                  </w:rPr>
                </w:pPr>
              </w:p>
            </w:tc>
            <w:sdt>
              <w:sdtPr>
                <w:rPr>
                  <w:sz w:val="18"/>
                  <w:szCs w:val="18"/>
                </w:rPr>
                <w:tag w:val="_PLD_c40eca9a8d0549bcbe66ad1270ceaa5d"/>
                <w:id w:val="6773398"/>
                <w:lock w:val="sdtLocked"/>
              </w:sdtPr>
              <w:sdtEndPr>
                <w:rPr>
                  <w:sz w:val="18"/>
                  <w:szCs w:val="18"/>
                </w:rPr>
              </w:sdtEndPr>
              <w:sdtContent>
                <w:tc>
                  <w:tcPr>
                    <w:tcW w:w="1850" w:type="dxa"/>
                    <w:gridSpan w:val="4"/>
                    <w:shd w:val="clear" w:color="auto" w:fill="auto"/>
                    <w:vAlign w:val="center"/>
                  </w:tcPr>
                  <w:p>
                    <w:pPr>
                      <w:jc w:val="center"/>
                      <w:rPr>
                        <w:sz w:val="18"/>
                        <w:szCs w:val="18"/>
                      </w:rPr>
                    </w:pPr>
                    <w:r>
                      <w:rPr>
                        <w:rFonts w:hint="eastAsia"/>
                        <w:sz w:val="18"/>
                        <w:szCs w:val="18"/>
                      </w:rPr>
                      <w:t>种类</w:t>
                    </w:r>
                  </w:p>
                </w:tc>
              </w:sdtContent>
            </w:sdt>
            <w:sdt>
              <w:sdtPr>
                <w:rPr>
                  <w:sz w:val="18"/>
                  <w:szCs w:val="18"/>
                </w:rPr>
                <w:tag w:val="_PLD_2f12f1c7eb48495d86823ade1cceba51"/>
                <w:id w:val="6773399"/>
                <w:lock w:val="sdtLocked"/>
              </w:sdtPr>
              <w:sdtEndPr>
                <w:rPr>
                  <w:sz w:val="18"/>
                  <w:szCs w:val="18"/>
                </w:rPr>
              </w:sdtEndPr>
              <w:sdtContent>
                <w:tc>
                  <w:tcPr>
                    <w:tcW w:w="1421" w:type="dxa"/>
                    <w:shd w:val="clear" w:color="auto" w:fill="auto"/>
                    <w:vAlign w:val="center"/>
                  </w:tcPr>
                  <w:p>
                    <w:pPr>
                      <w:jc w:val="center"/>
                      <w:rPr>
                        <w:sz w:val="18"/>
                        <w:szCs w:val="18"/>
                      </w:rPr>
                    </w:pPr>
                    <w:r>
                      <w:rPr>
                        <w:rFonts w:hint="eastAsia"/>
                        <w:sz w:val="18"/>
                        <w:szCs w:val="18"/>
                      </w:rPr>
                      <w:t>数量</w:t>
                    </w:r>
                  </w:p>
                </w:tc>
              </w:sdtContent>
            </w:sdt>
          </w:tr>
          <w:sdt>
            <w:sdtPr>
              <w:rPr>
                <w:sz w:val="18"/>
                <w:szCs w:val="18"/>
              </w:rPr>
              <w:alias w:val="前十名无限售条件股东持股情况"/>
              <w:tag w:val="_TUP_8a30d669f66849a0bc0caf49e9b94939"/>
              <w:id w:val="677340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gridSpan w:val="3"/>
                    <w:shd w:val="clear" w:color="auto" w:fill="auto"/>
                  </w:tcPr>
                  <w:p>
                    <w:pPr>
                      <w:rPr>
                        <w:sz w:val="18"/>
                        <w:szCs w:val="18"/>
                      </w:rPr>
                    </w:pPr>
                    <w:r>
                      <w:rPr>
                        <w:sz w:val="18"/>
                        <w:szCs w:val="18"/>
                      </w:rPr>
                      <w:t>广西柳州钢铁集团有限公司</w:t>
                    </w:r>
                  </w:p>
                </w:tc>
                <w:tc>
                  <w:tcPr>
                    <w:tcW w:w="1559" w:type="dxa"/>
                    <w:gridSpan w:val="2"/>
                    <w:shd w:val="clear" w:color="auto" w:fill="auto"/>
                  </w:tcPr>
                  <w:p>
                    <w:pPr>
                      <w:jc w:val="right"/>
                      <w:rPr>
                        <w:sz w:val="18"/>
                        <w:szCs w:val="18"/>
                      </w:rPr>
                    </w:pPr>
                    <w:r>
                      <w:rPr>
                        <w:sz w:val="18"/>
                        <w:szCs w:val="18"/>
                      </w:rPr>
                      <w:t>2,114,433,135</w:t>
                    </w:r>
                  </w:p>
                </w:tc>
                <w:sdt>
                  <w:sdtPr>
                    <w:rPr>
                      <w:bCs/>
                      <w:sz w:val="18"/>
                      <w:szCs w:val="18"/>
                    </w:rPr>
                    <w:alias w:val="前十名无限售条件股东期末持有流通股的种类"/>
                    <w:tag w:val="_GBC_93e28fb4995e4157a27ac6417073fb60"/>
                    <w:id w:val="677340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850" w:type="dxa"/>
                        <w:gridSpan w:val="4"/>
                        <w:shd w:val="clear" w:color="auto" w:fill="auto"/>
                        <w:vAlign w:val="center"/>
                      </w:tcPr>
                      <w:p>
                        <w:pPr>
                          <w:jc w:val="center"/>
                          <w:rPr>
                            <w:bCs/>
                            <w:sz w:val="18"/>
                            <w:szCs w:val="18"/>
                          </w:rPr>
                        </w:pPr>
                        <w:r>
                          <w:rPr>
                            <w:rFonts w:hint="eastAsia"/>
                            <w:bCs/>
                            <w:sz w:val="18"/>
                            <w:szCs w:val="18"/>
                          </w:rPr>
                          <w:t>人民币普通股</w:t>
                        </w:r>
                      </w:p>
                    </w:tc>
                  </w:sdtContent>
                </w:sdt>
                <w:tc>
                  <w:tcPr>
                    <w:tcW w:w="1421" w:type="dxa"/>
                    <w:shd w:val="clear" w:color="auto" w:fill="auto"/>
                  </w:tcPr>
                  <w:p>
                    <w:pPr>
                      <w:jc w:val="right"/>
                      <w:rPr>
                        <w:sz w:val="18"/>
                        <w:szCs w:val="18"/>
                      </w:rPr>
                    </w:pPr>
                    <w:r>
                      <w:rPr>
                        <w:sz w:val="18"/>
                        <w:szCs w:val="18"/>
                      </w:rPr>
                      <w:t>2,114,433,135</w:t>
                    </w:r>
                  </w:p>
                </w:tc>
              </w:tr>
            </w:sdtContent>
          </w:sdt>
          <w:sdt>
            <w:sdtPr>
              <w:rPr>
                <w:sz w:val="18"/>
                <w:szCs w:val="18"/>
              </w:rPr>
              <w:alias w:val="前十名无限售条件股东持股情况"/>
              <w:tag w:val="_TUP_8a30d669f66849a0bc0caf49e9b94939"/>
              <w:id w:val="677340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gridSpan w:val="3"/>
                    <w:shd w:val="clear" w:color="auto" w:fill="auto"/>
                  </w:tcPr>
                  <w:p>
                    <w:pPr>
                      <w:rPr>
                        <w:sz w:val="18"/>
                        <w:szCs w:val="18"/>
                      </w:rPr>
                    </w:pPr>
                    <w:r>
                      <w:rPr>
                        <w:sz w:val="18"/>
                        <w:szCs w:val="18"/>
                      </w:rPr>
                      <w:t>中国建设银行股份有限公司－融通领先成长混合型证券投资基金（LOF）</w:t>
                    </w:r>
                  </w:p>
                </w:tc>
                <w:tc>
                  <w:tcPr>
                    <w:tcW w:w="1559" w:type="dxa"/>
                    <w:gridSpan w:val="2"/>
                    <w:shd w:val="clear" w:color="auto" w:fill="auto"/>
                  </w:tcPr>
                  <w:p>
                    <w:pPr>
                      <w:jc w:val="right"/>
                      <w:rPr>
                        <w:sz w:val="18"/>
                        <w:szCs w:val="18"/>
                      </w:rPr>
                    </w:pPr>
                    <w:r>
                      <w:rPr>
                        <w:sz w:val="18"/>
                        <w:szCs w:val="18"/>
                      </w:rPr>
                      <w:t>13,071,806</w:t>
                    </w:r>
                  </w:p>
                </w:tc>
                <w:sdt>
                  <w:sdtPr>
                    <w:rPr>
                      <w:bCs/>
                      <w:sz w:val="18"/>
                      <w:szCs w:val="18"/>
                    </w:rPr>
                    <w:alias w:val="前十名无限售条件股东期末持有流通股的种类"/>
                    <w:tag w:val="_GBC_93e28fb4995e4157a27ac6417073fb60"/>
                    <w:id w:val="677340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850" w:type="dxa"/>
                        <w:gridSpan w:val="4"/>
                        <w:shd w:val="clear" w:color="auto" w:fill="auto"/>
                        <w:vAlign w:val="center"/>
                      </w:tcPr>
                      <w:p>
                        <w:pPr>
                          <w:jc w:val="center"/>
                          <w:rPr>
                            <w:bCs/>
                            <w:sz w:val="18"/>
                            <w:szCs w:val="18"/>
                          </w:rPr>
                        </w:pPr>
                        <w:r>
                          <w:rPr>
                            <w:rFonts w:hint="eastAsia"/>
                            <w:bCs/>
                            <w:sz w:val="18"/>
                            <w:szCs w:val="18"/>
                          </w:rPr>
                          <w:t>人民币普通股</w:t>
                        </w:r>
                      </w:p>
                    </w:tc>
                  </w:sdtContent>
                </w:sdt>
                <w:tc>
                  <w:tcPr>
                    <w:tcW w:w="1421" w:type="dxa"/>
                    <w:shd w:val="clear" w:color="auto" w:fill="auto"/>
                  </w:tcPr>
                  <w:p>
                    <w:pPr>
                      <w:jc w:val="right"/>
                      <w:rPr>
                        <w:sz w:val="18"/>
                        <w:szCs w:val="18"/>
                      </w:rPr>
                    </w:pPr>
                    <w:r>
                      <w:rPr>
                        <w:sz w:val="18"/>
                        <w:szCs w:val="18"/>
                      </w:rPr>
                      <w:t>13,071,806</w:t>
                    </w:r>
                  </w:p>
                </w:tc>
              </w:tr>
            </w:sdtContent>
          </w:sdt>
          <w:sdt>
            <w:sdtPr>
              <w:rPr>
                <w:sz w:val="18"/>
                <w:szCs w:val="18"/>
              </w:rPr>
              <w:alias w:val="前十名无限售条件股东持股情况"/>
              <w:tag w:val="_TUP_8a30d669f66849a0bc0caf49e9b94939"/>
              <w:id w:val="677340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gridSpan w:val="3"/>
                    <w:shd w:val="clear" w:color="auto" w:fill="auto"/>
                  </w:tcPr>
                  <w:p>
                    <w:pPr>
                      <w:rPr>
                        <w:sz w:val="18"/>
                        <w:szCs w:val="18"/>
                      </w:rPr>
                    </w:pPr>
                    <w:r>
                      <w:rPr>
                        <w:sz w:val="18"/>
                        <w:szCs w:val="18"/>
                      </w:rPr>
                      <w:t>林胜伟</w:t>
                    </w:r>
                  </w:p>
                </w:tc>
                <w:tc>
                  <w:tcPr>
                    <w:tcW w:w="1559" w:type="dxa"/>
                    <w:gridSpan w:val="2"/>
                    <w:shd w:val="clear" w:color="auto" w:fill="auto"/>
                  </w:tcPr>
                  <w:p>
                    <w:pPr>
                      <w:jc w:val="right"/>
                      <w:rPr>
                        <w:sz w:val="18"/>
                        <w:szCs w:val="18"/>
                      </w:rPr>
                    </w:pPr>
                    <w:r>
                      <w:rPr>
                        <w:sz w:val="18"/>
                        <w:szCs w:val="18"/>
                      </w:rPr>
                      <w:t>8,285,450</w:t>
                    </w:r>
                  </w:p>
                </w:tc>
                <w:sdt>
                  <w:sdtPr>
                    <w:rPr>
                      <w:bCs/>
                      <w:sz w:val="18"/>
                      <w:szCs w:val="18"/>
                    </w:rPr>
                    <w:alias w:val="前十名无限售条件股东期末持有流通股的种类"/>
                    <w:tag w:val="_GBC_93e28fb4995e4157a27ac6417073fb60"/>
                    <w:id w:val="677340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850" w:type="dxa"/>
                        <w:gridSpan w:val="4"/>
                        <w:shd w:val="clear" w:color="auto" w:fill="auto"/>
                        <w:vAlign w:val="center"/>
                      </w:tcPr>
                      <w:p>
                        <w:pPr>
                          <w:jc w:val="center"/>
                          <w:rPr>
                            <w:bCs/>
                            <w:sz w:val="18"/>
                            <w:szCs w:val="18"/>
                          </w:rPr>
                        </w:pPr>
                        <w:r>
                          <w:rPr>
                            <w:rFonts w:hint="eastAsia"/>
                            <w:bCs/>
                            <w:sz w:val="18"/>
                            <w:szCs w:val="18"/>
                          </w:rPr>
                          <w:t>人民币普通股</w:t>
                        </w:r>
                      </w:p>
                    </w:tc>
                  </w:sdtContent>
                </w:sdt>
                <w:tc>
                  <w:tcPr>
                    <w:tcW w:w="1421" w:type="dxa"/>
                    <w:shd w:val="clear" w:color="auto" w:fill="auto"/>
                  </w:tcPr>
                  <w:p>
                    <w:pPr>
                      <w:jc w:val="right"/>
                      <w:rPr>
                        <w:sz w:val="18"/>
                        <w:szCs w:val="18"/>
                      </w:rPr>
                    </w:pPr>
                    <w:r>
                      <w:rPr>
                        <w:sz w:val="18"/>
                        <w:szCs w:val="18"/>
                      </w:rPr>
                      <w:t>8,285,450</w:t>
                    </w:r>
                  </w:p>
                </w:tc>
              </w:tr>
            </w:sdtContent>
          </w:sdt>
          <w:sdt>
            <w:sdtPr>
              <w:rPr>
                <w:sz w:val="18"/>
                <w:szCs w:val="18"/>
              </w:rPr>
              <w:alias w:val="前十名无限售条件股东持股情况"/>
              <w:tag w:val="_TUP_8a30d669f66849a0bc0caf49e9b94939"/>
              <w:id w:val="677340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gridSpan w:val="3"/>
                    <w:shd w:val="clear" w:color="auto" w:fill="auto"/>
                  </w:tcPr>
                  <w:p>
                    <w:pPr>
                      <w:rPr>
                        <w:sz w:val="18"/>
                        <w:szCs w:val="18"/>
                      </w:rPr>
                    </w:pPr>
                    <w:r>
                      <w:rPr>
                        <w:sz w:val="18"/>
                        <w:szCs w:val="18"/>
                      </w:rPr>
                      <w:t>温丽霞</w:t>
                    </w:r>
                  </w:p>
                </w:tc>
                <w:tc>
                  <w:tcPr>
                    <w:tcW w:w="1559" w:type="dxa"/>
                    <w:gridSpan w:val="2"/>
                    <w:shd w:val="clear" w:color="auto" w:fill="auto"/>
                  </w:tcPr>
                  <w:p>
                    <w:pPr>
                      <w:jc w:val="right"/>
                      <w:rPr>
                        <w:sz w:val="18"/>
                        <w:szCs w:val="18"/>
                      </w:rPr>
                    </w:pPr>
                    <w:r>
                      <w:rPr>
                        <w:sz w:val="18"/>
                        <w:szCs w:val="18"/>
                      </w:rPr>
                      <w:t>8,282,420</w:t>
                    </w:r>
                  </w:p>
                </w:tc>
                <w:sdt>
                  <w:sdtPr>
                    <w:rPr>
                      <w:bCs/>
                      <w:sz w:val="18"/>
                      <w:szCs w:val="18"/>
                    </w:rPr>
                    <w:alias w:val="前十名无限售条件股东期末持有流通股的种类"/>
                    <w:tag w:val="_GBC_93e28fb4995e4157a27ac6417073fb60"/>
                    <w:id w:val="677340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850" w:type="dxa"/>
                        <w:gridSpan w:val="4"/>
                        <w:shd w:val="clear" w:color="auto" w:fill="auto"/>
                        <w:vAlign w:val="center"/>
                      </w:tcPr>
                      <w:p>
                        <w:pPr>
                          <w:jc w:val="center"/>
                          <w:rPr>
                            <w:bCs/>
                            <w:sz w:val="18"/>
                            <w:szCs w:val="18"/>
                          </w:rPr>
                        </w:pPr>
                        <w:r>
                          <w:rPr>
                            <w:rFonts w:hint="eastAsia"/>
                            <w:bCs/>
                            <w:sz w:val="18"/>
                            <w:szCs w:val="18"/>
                          </w:rPr>
                          <w:t>人民币普通股</w:t>
                        </w:r>
                      </w:p>
                    </w:tc>
                  </w:sdtContent>
                </w:sdt>
                <w:tc>
                  <w:tcPr>
                    <w:tcW w:w="1421" w:type="dxa"/>
                    <w:shd w:val="clear" w:color="auto" w:fill="auto"/>
                  </w:tcPr>
                  <w:p>
                    <w:pPr>
                      <w:jc w:val="right"/>
                      <w:rPr>
                        <w:sz w:val="18"/>
                        <w:szCs w:val="18"/>
                      </w:rPr>
                    </w:pPr>
                    <w:r>
                      <w:rPr>
                        <w:sz w:val="18"/>
                        <w:szCs w:val="18"/>
                      </w:rPr>
                      <w:t>8,282,420</w:t>
                    </w:r>
                  </w:p>
                </w:tc>
              </w:tr>
            </w:sdtContent>
          </w:sdt>
          <w:sdt>
            <w:sdtPr>
              <w:rPr>
                <w:sz w:val="18"/>
                <w:szCs w:val="18"/>
              </w:rPr>
              <w:alias w:val="前十名无限售条件股东持股情况"/>
              <w:tag w:val="_TUP_8a30d669f66849a0bc0caf49e9b94939"/>
              <w:id w:val="677340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gridSpan w:val="3"/>
                    <w:shd w:val="clear" w:color="auto" w:fill="auto"/>
                  </w:tcPr>
                  <w:p>
                    <w:pPr>
                      <w:rPr>
                        <w:sz w:val="18"/>
                        <w:szCs w:val="18"/>
                      </w:rPr>
                    </w:pPr>
                    <w:r>
                      <w:rPr>
                        <w:sz w:val="18"/>
                        <w:szCs w:val="18"/>
                      </w:rPr>
                      <w:t>中国银行股份有限公司－南方产业活力股票型证券投资基金</w:t>
                    </w:r>
                  </w:p>
                </w:tc>
                <w:tc>
                  <w:tcPr>
                    <w:tcW w:w="1559" w:type="dxa"/>
                    <w:gridSpan w:val="2"/>
                    <w:shd w:val="clear" w:color="auto" w:fill="auto"/>
                  </w:tcPr>
                  <w:p>
                    <w:pPr>
                      <w:jc w:val="right"/>
                      <w:rPr>
                        <w:sz w:val="18"/>
                        <w:szCs w:val="18"/>
                      </w:rPr>
                    </w:pPr>
                    <w:r>
                      <w:rPr>
                        <w:sz w:val="18"/>
                        <w:szCs w:val="18"/>
                      </w:rPr>
                      <w:t>6,931,157</w:t>
                    </w:r>
                  </w:p>
                </w:tc>
                <w:sdt>
                  <w:sdtPr>
                    <w:rPr>
                      <w:bCs/>
                      <w:sz w:val="18"/>
                      <w:szCs w:val="18"/>
                    </w:rPr>
                    <w:alias w:val="前十名无限售条件股东期末持有流通股的种类"/>
                    <w:tag w:val="_GBC_93e28fb4995e4157a27ac6417073fb60"/>
                    <w:id w:val="677340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850" w:type="dxa"/>
                        <w:gridSpan w:val="4"/>
                        <w:shd w:val="clear" w:color="auto" w:fill="auto"/>
                        <w:vAlign w:val="center"/>
                      </w:tcPr>
                      <w:p>
                        <w:pPr>
                          <w:jc w:val="center"/>
                          <w:rPr>
                            <w:bCs/>
                            <w:sz w:val="18"/>
                            <w:szCs w:val="18"/>
                          </w:rPr>
                        </w:pPr>
                        <w:r>
                          <w:rPr>
                            <w:rFonts w:hint="eastAsia"/>
                            <w:bCs/>
                            <w:sz w:val="18"/>
                            <w:szCs w:val="18"/>
                          </w:rPr>
                          <w:t>人民币普通股</w:t>
                        </w:r>
                      </w:p>
                    </w:tc>
                  </w:sdtContent>
                </w:sdt>
                <w:tc>
                  <w:tcPr>
                    <w:tcW w:w="1421" w:type="dxa"/>
                    <w:shd w:val="clear" w:color="auto" w:fill="auto"/>
                  </w:tcPr>
                  <w:p>
                    <w:pPr>
                      <w:jc w:val="right"/>
                      <w:rPr>
                        <w:sz w:val="18"/>
                        <w:szCs w:val="18"/>
                      </w:rPr>
                    </w:pPr>
                    <w:r>
                      <w:rPr>
                        <w:sz w:val="18"/>
                        <w:szCs w:val="18"/>
                      </w:rPr>
                      <w:t>6,931,157</w:t>
                    </w:r>
                  </w:p>
                </w:tc>
              </w:tr>
            </w:sdtContent>
          </w:sdt>
          <w:sdt>
            <w:sdtPr>
              <w:rPr>
                <w:sz w:val="18"/>
                <w:szCs w:val="18"/>
              </w:rPr>
              <w:alias w:val="前十名无限售条件股东持股情况"/>
              <w:tag w:val="_TUP_8a30d669f66849a0bc0caf49e9b94939"/>
              <w:id w:val="677341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gridSpan w:val="3"/>
                    <w:shd w:val="clear" w:color="auto" w:fill="auto"/>
                  </w:tcPr>
                  <w:p>
                    <w:pPr>
                      <w:rPr>
                        <w:sz w:val="18"/>
                        <w:szCs w:val="18"/>
                      </w:rPr>
                    </w:pPr>
                    <w:r>
                      <w:rPr>
                        <w:sz w:val="18"/>
                        <w:szCs w:val="18"/>
                      </w:rPr>
                      <w:t>中国工商银行股份有限公司－海富通改革驱动灵活配置混合型证券投资基金</w:t>
                    </w:r>
                  </w:p>
                </w:tc>
                <w:tc>
                  <w:tcPr>
                    <w:tcW w:w="1559" w:type="dxa"/>
                    <w:gridSpan w:val="2"/>
                    <w:shd w:val="clear" w:color="auto" w:fill="auto"/>
                  </w:tcPr>
                  <w:p>
                    <w:pPr>
                      <w:jc w:val="right"/>
                      <w:rPr>
                        <w:sz w:val="18"/>
                        <w:szCs w:val="18"/>
                      </w:rPr>
                    </w:pPr>
                    <w:r>
                      <w:rPr>
                        <w:sz w:val="18"/>
                        <w:szCs w:val="18"/>
                      </w:rPr>
                      <w:t>6,067,217</w:t>
                    </w:r>
                  </w:p>
                </w:tc>
                <w:sdt>
                  <w:sdtPr>
                    <w:rPr>
                      <w:bCs/>
                      <w:sz w:val="18"/>
                      <w:szCs w:val="18"/>
                    </w:rPr>
                    <w:alias w:val="前十名无限售条件股东期末持有流通股的种类"/>
                    <w:tag w:val="_GBC_93e28fb4995e4157a27ac6417073fb60"/>
                    <w:id w:val="677341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850" w:type="dxa"/>
                        <w:gridSpan w:val="4"/>
                        <w:shd w:val="clear" w:color="auto" w:fill="auto"/>
                        <w:vAlign w:val="center"/>
                      </w:tcPr>
                      <w:p>
                        <w:pPr>
                          <w:jc w:val="center"/>
                          <w:rPr>
                            <w:bCs/>
                            <w:sz w:val="18"/>
                            <w:szCs w:val="18"/>
                          </w:rPr>
                        </w:pPr>
                        <w:r>
                          <w:rPr>
                            <w:rFonts w:hint="eastAsia"/>
                            <w:bCs/>
                            <w:sz w:val="18"/>
                            <w:szCs w:val="18"/>
                          </w:rPr>
                          <w:t>人民币普通股</w:t>
                        </w:r>
                      </w:p>
                    </w:tc>
                  </w:sdtContent>
                </w:sdt>
                <w:tc>
                  <w:tcPr>
                    <w:tcW w:w="1421" w:type="dxa"/>
                    <w:shd w:val="clear" w:color="auto" w:fill="auto"/>
                  </w:tcPr>
                  <w:p>
                    <w:pPr>
                      <w:jc w:val="right"/>
                      <w:rPr>
                        <w:sz w:val="18"/>
                        <w:szCs w:val="18"/>
                      </w:rPr>
                    </w:pPr>
                    <w:r>
                      <w:rPr>
                        <w:sz w:val="18"/>
                        <w:szCs w:val="18"/>
                      </w:rPr>
                      <w:t>6,067,217</w:t>
                    </w:r>
                  </w:p>
                </w:tc>
              </w:tr>
            </w:sdtContent>
          </w:sdt>
          <w:sdt>
            <w:sdtPr>
              <w:rPr>
                <w:sz w:val="18"/>
                <w:szCs w:val="18"/>
              </w:rPr>
              <w:alias w:val="前十名无限售条件股东持股情况"/>
              <w:tag w:val="_TUP_8a30d669f66849a0bc0caf49e9b94939"/>
              <w:id w:val="677341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gridSpan w:val="3"/>
                    <w:shd w:val="clear" w:color="auto" w:fill="auto"/>
                  </w:tcPr>
                  <w:p>
                    <w:pPr>
                      <w:rPr>
                        <w:sz w:val="18"/>
                        <w:szCs w:val="18"/>
                      </w:rPr>
                    </w:pPr>
                    <w:r>
                      <w:rPr>
                        <w:sz w:val="18"/>
                        <w:szCs w:val="18"/>
                      </w:rPr>
                      <w:t>中国银行－海富通收益增长证券投资基金</w:t>
                    </w:r>
                  </w:p>
                </w:tc>
                <w:tc>
                  <w:tcPr>
                    <w:tcW w:w="1559" w:type="dxa"/>
                    <w:gridSpan w:val="2"/>
                    <w:shd w:val="clear" w:color="auto" w:fill="auto"/>
                  </w:tcPr>
                  <w:p>
                    <w:pPr>
                      <w:jc w:val="right"/>
                      <w:rPr>
                        <w:sz w:val="18"/>
                        <w:szCs w:val="18"/>
                      </w:rPr>
                    </w:pPr>
                    <w:r>
                      <w:rPr>
                        <w:sz w:val="18"/>
                        <w:szCs w:val="18"/>
                      </w:rPr>
                      <w:t>5,816,861</w:t>
                    </w:r>
                  </w:p>
                </w:tc>
                <w:sdt>
                  <w:sdtPr>
                    <w:rPr>
                      <w:bCs/>
                      <w:sz w:val="18"/>
                      <w:szCs w:val="18"/>
                    </w:rPr>
                    <w:alias w:val="前十名无限售条件股东期末持有流通股的种类"/>
                    <w:tag w:val="_GBC_93e28fb4995e4157a27ac6417073fb60"/>
                    <w:id w:val="677341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850" w:type="dxa"/>
                        <w:gridSpan w:val="4"/>
                        <w:shd w:val="clear" w:color="auto" w:fill="auto"/>
                        <w:vAlign w:val="center"/>
                      </w:tcPr>
                      <w:p>
                        <w:pPr>
                          <w:jc w:val="center"/>
                          <w:rPr>
                            <w:bCs/>
                            <w:sz w:val="18"/>
                            <w:szCs w:val="18"/>
                          </w:rPr>
                        </w:pPr>
                        <w:r>
                          <w:rPr>
                            <w:rFonts w:hint="eastAsia"/>
                            <w:bCs/>
                            <w:sz w:val="18"/>
                            <w:szCs w:val="18"/>
                          </w:rPr>
                          <w:t>人民币普通股</w:t>
                        </w:r>
                      </w:p>
                    </w:tc>
                  </w:sdtContent>
                </w:sdt>
                <w:tc>
                  <w:tcPr>
                    <w:tcW w:w="1421" w:type="dxa"/>
                    <w:shd w:val="clear" w:color="auto" w:fill="auto"/>
                  </w:tcPr>
                  <w:p>
                    <w:pPr>
                      <w:jc w:val="right"/>
                      <w:rPr>
                        <w:sz w:val="18"/>
                        <w:szCs w:val="18"/>
                      </w:rPr>
                    </w:pPr>
                    <w:r>
                      <w:rPr>
                        <w:sz w:val="18"/>
                        <w:szCs w:val="18"/>
                      </w:rPr>
                      <w:t>5,816,861</w:t>
                    </w:r>
                  </w:p>
                </w:tc>
              </w:tr>
            </w:sdtContent>
          </w:sdt>
          <w:sdt>
            <w:sdtPr>
              <w:rPr>
                <w:sz w:val="18"/>
                <w:szCs w:val="18"/>
              </w:rPr>
              <w:alias w:val="前十名无限售条件股东持股情况"/>
              <w:tag w:val="_TUP_8a30d669f66849a0bc0caf49e9b94939"/>
              <w:id w:val="677341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gridSpan w:val="3"/>
                    <w:shd w:val="clear" w:color="auto" w:fill="auto"/>
                  </w:tcPr>
                  <w:p>
                    <w:pPr>
                      <w:rPr>
                        <w:sz w:val="18"/>
                        <w:szCs w:val="18"/>
                      </w:rPr>
                    </w:pPr>
                    <w:r>
                      <w:rPr>
                        <w:sz w:val="18"/>
                        <w:szCs w:val="18"/>
                      </w:rPr>
                      <w:t>中国建设银行－南方盛元红利股票型证券投资基金</w:t>
                    </w:r>
                  </w:p>
                </w:tc>
                <w:tc>
                  <w:tcPr>
                    <w:tcW w:w="1559" w:type="dxa"/>
                    <w:gridSpan w:val="2"/>
                    <w:shd w:val="clear" w:color="auto" w:fill="auto"/>
                  </w:tcPr>
                  <w:p>
                    <w:pPr>
                      <w:jc w:val="right"/>
                      <w:rPr>
                        <w:sz w:val="18"/>
                        <w:szCs w:val="18"/>
                      </w:rPr>
                    </w:pPr>
                    <w:r>
                      <w:rPr>
                        <w:sz w:val="18"/>
                        <w:szCs w:val="18"/>
                      </w:rPr>
                      <w:t>4,999,980</w:t>
                    </w:r>
                  </w:p>
                </w:tc>
                <w:sdt>
                  <w:sdtPr>
                    <w:rPr>
                      <w:bCs/>
                      <w:sz w:val="18"/>
                      <w:szCs w:val="18"/>
                    </w:rPr>
                    <w:alias w:val="前十名无限售条件股东期末持有流通股的种类"/>
                    <w:tag w:val="_GBC_93e28fb4995e4157a27ac6417073fb60"/>
                    <w:id w:val="677341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850" w:type="dxa"/>
                        <w:gridSpan w:val="4"/>
                        <w:shd w:val="clear" w:color="auto" w:fill="auto"/>
                        <w:vAlign w:val="center"/>
                      </w:tcPr>
                      <w:p>
                        <w:pPr>
                          <w:jc w:val="center"/>
                          <w:rPr>
                            <w:bCs/>
                            <w:sz w:val="18"/>
                            <w:szCs w:val="18"/>
                          </w:rPr>
                        </w:pPr>
                        <w:r>
                          <w:rPr>
                            <w:rFonts w:hint="eastAsia"/>
                            <w:bCs/>
                            <w:sz w:val="18"/>
                            <w:szCs w:val="18"/>
                          </w:rPr>
                          <w:t>人民币普通股</w:t>
                        </w:r>
                      </w:p>
                    </w:tc>
                  </w:sdtContent>
                </w:sdt>
                <w:tc>
                  <w:tcPr>
                    <w:tcW w:w="1421" w:type="dxa"/>
                    <w:shd w:val="clear" w:color="auto" w:fill="auto"/>
                  </w:tcPr>
                  <w:p>
                    <w:pPr>
                      <w:jc w:val="right"/>
                      <w:rPr>
                        <w:sz w:val="18"/>
                        <w:szCs w:val="18"/>
                      </w:rPr>
                    </w:pPr>
                    <w:r>
                      <w:rPr>
                        <w:sz w:val="18"/>
                        <w:szCs w:val="18"/>
                      </w:rPr>
                      <w:t>4,999,980</w:t>
                    </w:r>
                  </w:p>
                </w:tc>
              </w:tr>
            </w:sdtContent>
          </w:sdt>
          <w:sdt>
            <w:sdtPr>
              <w:rPr>
                <w:sz w:val="18"/>
                <w:szCs w:val="18"/>
              </w:rPr>
              <w:alias w:val="前十名无限售条件股东持股情况"/>
              <w:tag w:val="_TUP_8a30d669f66849a0bc0caf49e9b94939"/>
              <w:id w:val="677341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gridSpan w:val="3"/>
                    <w:shd w:val="clear" w:color="auto" w:fill="auto"/>
                  </w:tcPr>
                  <w:p>
                    <w:pPr>
                      <w:rPr>
                        <w:sz w:val="18"/>
                        <w:szCs w:val="18"/>
                      </w:rPr>
                    </w:pPr>
                    <w:r>
                      <w:rPr>
                        <w:sz w:val="18"/>
                        <w:szCs w:val="18"/>
                      </w:rPr>
                      <w:t>华宝信托有限责任公司－中山证券睿翔1号证券投资集合资金信托</w:t>
                    </w:r>
                  </w:p>
                </w:tc>
                <w:tc>
                  <w:tcPr>
                    <w:tcW w:w="1559" w:type="dxa"/>
                    <w:gridSpan w:val="2"/>
                    <w:shd w:val="clear" w:color="auto" w:fill="auto"/>
                  </w:tcPr>
                  <w:p>
                    <w:pPr>
                      <w:jc w:val="right"/>
                      <w:rPr>
                        <w:sz w:val="18"/>
                        <w:szCs w:val="18"/>
                      </w:rPr>
                    </w:pPr>
                    <w:r>
                      <w:rPr>
                        <w:sz w:val="18"/>
                        <w:szCs w:val="18"/>
                      </w:rPr>
                      <w:t>4,873,786</w:t>
                    </w:r>
                  </w:p>
                </w:tc>
                <w:sdt>
                  <w:sdtPr>
                    <w:rPr>
                      <w:bCs/>
                      <w:sz w:val="18"/>
                      <w:szCs w:val="18"/>
                    </w:rPr>
                    <w:alias w:val="前十名无限售条件股东期末持有流通股的种类"/>
                    <w:tag w:val="_GBC_93e28fb4995e4157a27ac6417073fb60"/>
                    <w:id w:val="677341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850" w:type="dxa"/>
                        <w:gridSpan w:val="4"/>
                        <w:shd w:val="clear" w:color="auto" w:fill="auto"/>
                        <w:vAlign w:val="center"/>
                      </w:tcPr>
                      <w:p>
                        <w:pPr>
                          <w:jc w:val="center"/>
                          <w:rPr>
                            <w:bCs/>
                            <w:sz w:val="18"/>
                            <w:szCs w:val="18"/>
                          </w:rPr>
                        </w:pPr>
                        <w:r>
                          <w:rPr>
                            <w:rFonts w:hint="eastAsia"/>
                            <w:bCs/>
                            <w:sz w:val="18"/>
                            <w:szCs w:val="18"/>
                          </w:rPr>
                          <w:t>人民币普通股</w:t>
                        </w:r>
                      </w:p>
                    </w:tc>
                  </w:sdtContent>
                </w:sdt>
                <w:tc>
                  <w:tcPr>
                    <w:tcW w:w="1421" w:type="dxa"/>
                    <w:shd w:val="clear" w:color="auto" w:fill="auto"/>
                  </w:tcPr>
                  <w:p>
                    <w:pPr>
                      <w:jc w:val="right"/>
                      <w:rPr>
                        <w:sz w:val="18"/>
                        <w:szCs w:val="18"/>
                      </w:rPr>
                    </w:pPr>
                    <w:r>
                      <w:rPr>
                        <w:sz w:val="18"/>
                        <w:szCs w:val="18"/>
                      </w:rPr>
                      <w:t>4,873,786</w:t>
                    </w:r>
                  </w:p>
                </w:tc>
              </w:tr>
            </w:sdtContent>
          </w:sdt>
          <w:sdt>
            <w:sdtPr>
              <w:rPr>
                <w:sz w:val="18"/>
                <w:szCs w:val="18"/>
              </w:rPr>
              <w:alias w:val="前十名无限售条件股东持股情况"/>
              <w:tag w:val="_TUP_8a30d669f66849a0bc0caf49e9b94939"/>
              <w:id w:val="677341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19" w:type="dxa"/>
                    <w:gridSpan w:val="3"/>
                    <w:shd w:val="clear" w:color="auto" w:fill="auto"/>
                  </w:tcPr>
                  <w:p>
                    <w:pPr>
                      <w:rPr>
                        <w:sz w:val="18"/>
                        <w:szCs w:val="18"/>
                      </w:rPr>
                    </w:pPr>
                    <w:r>
                      <w:rPr>
                        <w:sz w:val="18"/>
                        <w:szCs w:val="18"/>
                      </w:rPr>
                      <w:t>陕西省国际信托股份有限公司－陕国投·明华证券投资集合资金信托计划</w:t>
                    </w:r>
                  </w:p>
                </w:tc>
                <w:tc>
                  <w:tcPr>
                    <w:tcW w:w="1559" w:type="dxa"/>
                    <w:gridSpan w:val="2"/>
                    <w:shd w:val="clear" w:color="auto" w:fill="auto"/>
                  </w:tcPr>
                  <w:p>
                    <w:pPr>
                      <w:jc w:val="right"/>
                      <w:rPr>
                        <w:sz w:val="18"/>
                        <w:szCs w:val="18"/>
                      </w:rPr>
                    </w:pPr>
                    <w:r>
                      <w:rPr>
                        <w:sz w:val="18"/>
                        <w:szCs w:val="18"/>
                      </w:rPr>
                      <w:t>4,820,501</w:t>
                    </w:r>
                  </w:p>
                </w:tc>
                <w:sdt>
                  <w:sdtPr>
                    <w:rPr>
                      <w:bCs/>
                      <w:sz w:val="18"/>
                      <w:szCs w:val="18"/>
                    </w:rPr>
                    <w:alias w:val="前十名无限售条件股东期末持有流通股的种类"/>
                    <w:tag w:val="_GBC_93e28fb4995e4157a27ac6417073fb60"/>
                    <w:id w:val="677341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1850" w:type="dxa"/>
                        <w:gridSpan w:val="4"/>
                        <w:shd w:val="clear" w:color="auto" w:fill="auto"/>
                        <w:vAlign w:val="center"/>
                      </w:tcPr>
                      <w:p>
                        <w:pPr>
                          <w:jc w:val="center"/>
                          <w:rPr>
                            <w:bCs/>
                            <w:sz w:val="18"/>
                            <w:szCs w:val="18"/>
                          </w:rPr>
                        </w:pPr>
                        <w:r>
                          <w:rPr>
                            <w:rFonts w:hint="eastAsia"/>
                            <w:bCs/>
                            <w:sz w:val="18"/>
                            <w:szCs w:val="18"/>
                          </w:rPr>
                          <w:t>人民币普通股</w:t>
                        </w:r>
                      </w:p>
                    </w:tc>
                  </w:sdtContent>
                </w:sdt>
                <w:tc>
                  <w:tcPr>
                    <w:tcW w:w="1421" w:type="dxa"/>
                    <w:shd w:val="clear" w:color="auto" w:fill="auto"/>
                  </w:tcPr>
                  <w:p>
                    <w:pPr>
                      <w:jc w:val="right"/>
                      <w:rPr>
                        <w:sz w:val="18"/>
                        <w:szCs w:val="18"/>
                      </w:rPr>
                    </w:pPr>
                    <w:r>
                      <w:rPr>
                        <w:sz w:val="18"/>
                        <w:szCs w:val="18"/>
                      </w:rPr>
                      <w:t>4,820,501</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192061a226df4b6e8eb1755879ba2341"/>
                <w:id w:val="6773420"/>
                <w:lock w:val="sdtLocked"/>
              </w:sdtPr>
              <w:sdtEndPr>
                <w:rPr>
                  <w:sz w:val="18"/>
                  <w:szCs w:val="18"/>
                </w:rPr>
              </w:sdtEndPr>
              <w:sdtContent>
                <w:tc>
                  <w:tcPr>
                    <w:tcW w:w="4219" w:type="dxa"/>
                    <w:gridSpan w:val="3"/>
                    <w:shd w:val="clear" w:color="auto" w:fill="auto"/>
                  </w:tcPr>
                  <w:p>
                    <w:pPr>
                      <w:rPr>
                        <w:sz w:val="18"/>
                        <w:szCs w:val="18"/>
                      </w:rPr>
                    </w:pPr>
                    <w:r>
                      <w:rPr>
                        <w:sz w:val="18"/>
                        <w:szCs w:val="18"/>
                      </w:rPr>
                      <w:t>上述股东关联关系或一致行动的说明</w:t>
                    </w:r>
                  </w:p>
                </w:tc>
              </w:sdtContent>
            </w:sdt>
            <w:tc>
              <w:tcPr>
                <w:tcW w:w="4830" w:type="dxa"/>
                <w:gridSpan w:val="7"/>
                <w:shd w:val="clear" w:color="auto" w:fill="auto"/>
              </w:tcPr>
              <w:p>
                <w:pPr>
                  <w:rPr>
                    <w:sz w:val="18"/>
                    <w:szCs w:val="18"/>
                  </w:rPr>
                </w:pPr>
                <w:r>
                  <w:rPr>
                    <w:rFonts w:hint="eastAsia"/>
                    <w:sz w:val="18"/>
                    <w:szCs w:val="18"/>
                  </w:rPr>
                  <w:t>本公司未知上述股东之间是否存在关联关系或属于《上市公司收购管理办法》中规定的一致行动人。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c4e2149ca6ad46eeb2cd5868a4b6b36f"/>
                <w:id w:val="6773421"/>
                <w:lock w:val="sdtLocked"/>
              </w:sdtPr>
              <w:sdtEndPr>
                <w:rPr>
                  <w:sz w:val="18"/>
                  <w:szCs w:val="18"/>
                </w:rPr>
              </w:sdtEndPr>
              <w:sdtContent>
                <w:tc>
                  <w:tcPr>
                    <w:tcW w:w="4219" w:type="dxa"/>
                    <w:gridSpan w:val="3"/>
                    <w:shd w:val="clear" w:color="auto" w:fill="auto"/>
                  </w:tcPr>
                  <w:p>
                    <w:pPr>
                      <w:rPr>
                        <w:sz w:val="18"/>
                        <w:szCs w:val="18"/>
                      </w:rPr>
                    </w:pPr>
                    <w:r>
                      <w:rPr>
                        <w:rFonts w:hint="eastAsia"/>
                        <w:sz w:val="18"/>
                        <w:szCs w:val="18"/>
                      </w:rPr>
                      <w:t>表决权恢复的优先股股东及持股数量的说明</w:t>
                    </w:r>
                  </w:p>
                </w:tc>
              </w:sdtContent>
            </w:sdt>
            <w:tc>
              <w:tcPr>
                <w:tcW w:w="4830" w:type="dxa"/>
                <w:gridSpan w:val="7"/>
                <w:shd w:val="clear" w:color="auto" w:fill="auto"/>
              </w:tcPr>
              <w:p>
                <w:pPr>
                  <w:rPr>
                    <w:sz w:val="18"/>
                    <w:szCs w:val="18"/>
                  </w:rPr>
                </w:pPr>
                <w:r>
                  <w:rPr>
                    <w:rFonts w:hint="eastAsia"/>
                    <w:sz w:val="18"/>
                    <w:szCs w:val="18"/>
                  </w:rPr>
                  <w:t>不适用</w:t>
                </w:r>
              </w:p>
            </w:tc>
          </w:tr>
        </w:tbl>
        <w:p/>
        <w:p>
          <w:pPr>
            <w:rPr>
              <w:szCs w:val="21"/>
            </w:rPr>
          </w:pPr>
          <w:r>
            <w:rPr>
              <w:szCs w:val="21"/>
            </w:rPr>
            <w:t>前十名有限售条件股东持股数量及限售条件</w:t>
          </w:r>
        </w:p>
        <w:p>
          <w:pPr>
            <w:rPr>
              <w:szCs w:val="21"/>
            </w:rPr>
          </w:pPr>
          <w:sdt>
            <w:sdtPr>
              <w:rPr>
                <w:bCs/>
                <w:szCs w:val="21"/>
              </w:rPr>
              <w:alias w:val="是否适用：前十名有限售条件股东持股数量及限售条件[双击切换]"/>
              <w:tag w:val="_GBC_a31d0675535f4280956d4c15625bca6c"/>
              <w:id w:val="6773422"/>
              <w:lock w:val="sdtContentLocked"/>
              <w:placeholder>
                <w:docPart w:val="GBC22222222222222222222222222222"/>
              </w:placeholder>
            </w:sdtPr>
            <w:sdtEndPr>
              <w:rPr>
                <w:bCs/>
                <w:szCs w:val="21"/>
              </w:rPr>
            </w:sdtEndPr>
            <w:sdtContent>
              <w:r>
                <w:rPr>
                  <w:bCs/>
                  <w:szCs w:val="21"/>
                </w:rPr>
                <w:fldChar w:fldCharType="begin"/>
              </w:r>
              <w:r>
                <w:rPr>
                  <w:bCs/>
                  <w:szCs w:val="21"/>
                </w:rPr>
                <w:instrText xml:space="preserve">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sdtContent>
          </w:sdt>
        </w:p>
      </w:sdtContent>
    </w:sdt>
    <w:sdt>
      <w:sdtPr>
        <w:rPr>
          <w:rFonts w:ascii="宋体" w:hAnsi="宋体" w:cs="宋体"/>
          <w:b w:val="0"/>
          <w:bCs w:val="0"/>
          <w:kern w:val="0"/>
          <w:sz w:val="24"/>
          <w:szCs w:val="21"/>
        </w:rPr>
        <w:alias w:val="模块:战略投资者或一般法人因配售新股成为前10名股东"/>
        <w:tag w:val="_SEC_7b16ab72c87b46c1aaa4818a9a422005"/>
        <w:id w:val="6773425"/>
        <w:lock w:val="sdtLocked"/>
        <w:placeholder>
          <w:docPart w:val="GBC22222222222222222222222222222"/>
        </w:placeholder>
      </w:sdtPr>
      <w:sdtEndPr>
        <w:rPr>
          <w:rFonts w:hint="eastAsia" w:ascii="宋体" w:hAnsi="宋体" w:cs="宋体"/>
          <w:b w:val="0"/>
          <w:bCs w:val="0"/>
          <w:kern w:val="0"/>
          <w:sz w:val="21"/>
          <w:szCs w:val="21"/>
        </w:rPr>
      </w:sdtEndPr>
      <w:sdtContent>
        <w:p>
          <w:pPr>
            <w:pStyle w:val="4"/>
            <w:numPr>
              <w:ilvl w:val="1"/>
              <w:numId w:val="43"/>
            </w:numPr>
            <w:rPr>
              <w:szCs w:val="21"/>
            </w:rPr>
          </w:pPr>
          <w:r>
            <w:rPr>
              <w:szCs w:val="21"/>
            </w:rPr>
            <w:t>战略投资者或一般法人因配售新股成为前10名股东</w:t>
          </w:r>
        </w:p>
        <w:p>
          <w:pPr>
            <w:rPr>
              <w:szCs w:val="21"/>
            </w:rPr>
          </w:pPr>
          <w:sdt>
            <w:sdtPr>
              <w:alias w:val="是否适用：战略投资者或一般法人因配售新股成为前10名股东[双击切换]"/>
              <w:tag w:val="_GBC_f3c63aafb8134fdcbdeb39fd33c2cd8d"/>
              <w:id w:val="6773424"/>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3"/>
        <w:numPr>
          <w:ilvl w:val="0"/>
          <w:numId w:val="39"/>
        </w:numPr>
      </w:pPr>
      <w:r>
        <w:rPr>
          <w:rFonts w:hint="eastAsia"/>
        </w:rPr>
        <w:t>控股股东及实际控制人情况</w:t>
      </w:r>
    </w:p>
    <w:p>
      <w:pPr>
        <w:pStyle w:val="4"/>
        <w:numPr>
          <w:ilvl w:val="0"/>
          <w:numId w:val="44"/>
        </w:numPr>
      </w:pPr>
      <w:r>
        <w:t>控股股东情况</w:t>
      </w:r>
    </w:p>
    <w:sdt>
      <w:sdtPr>
        <w:rPr>
          <w:rFonts w:ascii="宋体" w:hAnsi="宋体" w:cs="宋体"/>
          <w:b w:val="0"/>
          <w:bCs w:val="0"/>
          <w:kern w:val="0"/>
          <w:szCs w:val="21"/>
        </w:rPr>
        <w:alias w:val="模块:控股股东情况法人"/>
        <w:tag w:val="_SEC_603e90843919477b9c48becc10c16844"/>
        <w:id w:val="6773433"/>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45"/>
            </w:numPr>
            <w:rPr>
              <w:szCs w:val="21"/>
            </w:rPr>
          </w:pPr>
          <w:r>
            <w:rPr>
              <w:szCs w:val="21"/>
            </w:rPr>
            <w:t>法人</w:t>
          </w:r>
        </w:p>
        <w:sdt>
          <w:sdtPr>
            <w:alias w:val="是否适用：法人_控股股东情况[双击切换]"/>
            <w:tag w:val="_GBC_eab2d7c8478645dbae996b49d203b0d9"/>
            <w:id w:val="677342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sdt>
              <w:sdtPr>
                <w:tag w:val="_PLD_e1d45d230e0e4c06bc451af63b51d4e2"/>
                <w:id w:val="6773427"/>
                <w:lock w:val="sdtLocked"/>
              </w:sdtPr>
              <w:sdtContent>
                <w:tc>
                  <w:tcPr>
                    <w:tcW w:w="3369" w:type="dxa"/>
                  </w:tcPr>
                  <w:p>
                    <w:pPr>
                      <w:widowControl w:val="0"/>
                      <w:jc w:val="both"/>
                      <w:rPr>
                        <w:szCs w:val="21"/>
                      </w:rPr>
                    </w:pPr>
                    <w:r>
                      <w:rPr>
                        <w:rFonts w:hint="eastAsia"/>
                        <w:szCs w:val="21"/>
                      </w:rPr>
                      <w:t>名称</w:t>
                    </w:r>
                  </w:p>
                </w:tc>
              </w:sdtContent>
            </w:sdt>
            <w:tc>
              <w:tcPr>
                <w:tcW w:w="5680" w:type="dxa"/>
              </w:tcPr>
              <w:p>
                <w:pPr>
                  <w:widowControl w:val="0"/>
                  <w:jc w:val="both"/>
                  <w:rPr>
                    <w:szCs w:val="21"/>
                  </w:rPr>
                </w:pPr>
                <w:r>
                  <w:t>广西柳州钢铁集团有限公司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sdt>
              <w:sdtPr>
                <w:tag w:val="_PLD_8136b3e11235492c8cd0111dfc8a7bd7"/>
                <w:id w:val="6773428"/>
                <w:lock w:val="sdtLocked"/>
              </w:sdtPr>
              <w:sdtContent>
                <w:tc>
                  <w:tcPr>
                    <w:tcW w:w="3369" w:type="dxa"/>
                  </w:tcPr>
                  <w:p>
                    <w:pPr>
                      <w:widowControl w:val="0"/>
                      <w:jc w:val="both"/>
                      <w:rPr>
                        <w:szCs w:val="21"/>
                      </w:rPr>
                    </w:pPr>
                    <w:r>
                      <w:rPr>
                        <w:rFonts w:hint="eastAsia"/>
                        <w:szCs w:val="21"/>
                      </w:rPr>
                      <w:t>单位负责人或法定代表人</w:t>
                    </w:r>
                  </w:p>
                </w:tc>
              </w:sdtContent>
            </w:sdt>
            <w:tc>
              <w:tcPr>
                <w:tcW w:w="5680" w:type="dxa"/>
              </w:tcPr>
              <w:p>
                <w:pPr>
                  <w:widowControl w:val="0"/>
                  <w:jc w:val="both"/>
                  <w:rPr>
                    <w:szCs w:val="21"/>
                  </w:rPr>
                </w:pPr>
                <w:r>
                  <w:t>潘世庆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sdt>
              <w:sdtPr>
                <w:tag w:val="_PLD_1df0002b20b542f5b7092107da8156d8"/>
                <w:id w:val="6773429"/>
                <w:lock w:val="sdtLocked"/>
              </w:sdtPr>
              <w:sdtContent>
                <w:tc>
                  <w:tcPr>
                    <w:tcW w:w="3369" w:type="dxa"/>
                  </w:tcPr>
                  <w:p>
                    <w:pPr>
                      <w:widowControl w:val="0"/>
                      <w:jc w:val="both"/>
                      <w:rPr>
                        <w:szCs w:val="21"/>
                      </w:rPr>
                    </w:pPr>
                    <w:r>
                      <w:rPr>
                        <w:rFonts w:hint="eastAsia"/>
                        <w:szCs w:val="21"/>
                      </w:rPr>
                      <w:t>成立日期</w:t>
                    </w:r>
                  </w:p>
                </w:tc>
              </w:sdtContent>
            </w:sdt>
            <w:tc>
              <w:tcPr>
                <w:tcW w:w="5680" w:type="dxa"/>
              </w:tcPr>
              <w:p>
                <w:pPr>
                  <w:widowControl w:val="0"/>
                  <w:jc w:val="both"/>
                  <w:rPr>
                    <w:szCs w:val="21"/>
                  </w:rPr>
                </w:pPr>
                <w:r>
                  <w:t>1958年7月1日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tag w:val="_PLD_1818a197d8b949079e4533012ebd27c1"/>
                <w:id w:val="6773430"/>
                <w:lock w:val="sdtLocked"/>
              </w:sdtPr>
              <w:sdtContent>
                <w:tc>
                  <w:tcPr>
                    <w:tcW w:w="3369" w:type="dxa"/>
                  </w:tcPr>
                  <w:p>
                    <w:pPr>
                      <w:widowControl w:val="0"/>
                      <w:jc w:val="both"/>
                      <w:rPr>
                        <w:szCs w:val="21"/>
                      </w:rPr>
                    </w:pPr>
                    <w:r>
                      <w:rPr>
                        <w:rFonts w:hint="eastAsia"/>
                        <w:szCs w:val="21"/>
                      </w:rPr>
                      <w:t>主要经营业务</w:t>
                    </w:r>
                  </w:p>
                </w:tc>
              </w:sdtContent>
            </w:sdt>
            <w:tc>
              <w:tcPr>
                <w:tcW w:w="5680" w:type="dxa"/>
              </w:tcPr>
              <w:p>
                <w:pPr>
                  <w:widowControl w:val="0"/>
                  <w:jc w:val="both"/>
                  <w:rPr>
                    <w:szCs w:val="21"/>
                  </w:rPr>
                </w:pPr>
                <w:r>
                  <w:t>轧钢、机械加工修理，水泥制造，矿山开采，煤气、氧气生产，汽车货物运输等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sdt>
              <w:sdtPr>
                <w:tag w:val="_PLD_493328bd6f094c40b55613b4e262be19"/>
                <w:id w:val="6773431"/>
                <w:lock w:val="sdtLocked"/>
              </w:sdtPr>
              <w:sdtContent>
                <w:tc>
                  <w:tcPr>
                    <w:tcW w:w="3369" w:type="dxa"/>
                  </w:tcPr>
                  <w:p>
                    <w:pPr>
                      <w:widowControl w:val="0"/>
                      <w:jc w:val="both"/>
                      <w:rPr>
                        <w:szCs w:val="21"/>
                      </w:rPr>
                    </w:pPr>
                    <w:r>
                      <w:rPr>
                        <w:rFonts w:hint="eastAsia"/>
                        <w:szCs w:val="21"/>
                      </w:rPr>
                      <w:t>报告期内控股和参股的其他境内外上市公司的股权情况</w:t>
                    </w:r>
                  </w:p>
                </w:tc>
              </w:sdtContent>
            </w:sdt>
            <w:tc>
              <w:tcPr>
                <w:tcW w:w="5680" w:type="dxa"/>
              </w:tcPr>
              <w:p>
                <w:pPr>
                  <w:widowControl w:val="0"/>
                  <w:jc w:val="both"/>
                  <w:rPr>
                    <w:szCs w:val="21"/>
                  </w:rPr>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sdt>
              <w:sdtPr>
                <w:tag w:val="_PLD_416c392305fd4bc8a741158a40d9ba6e"/>
                <w:id w:val="6773432"/>
                <w:lock w:val="sdtLocked"/>
              </w:sdtPr>
              <w:sdtContent>
                <w:tc>
                  <w:tcPr>
                    <w:tcW w:w="3369" w:type="dxa"/>
                  </w:tcPr>
                  <w:p>
                    <w:pPr>
                      <w:widowControl w:val="0"/>
                      <w:jc w:val="both"/>
                    </w:pPr>
                    <w:r>
                      <w:rPr>
                        <w:rFonts w:hint="eastAsia"/>
                      </w:rPr>
                      <w:t>其他情况说明</w:t>
                    </w:r>
                  </w:p>
                </w:tc>
              </w:sdtContent>
            </w:sdt>
            <w:tc>
              <w:tcPr>
                <w:tcW w:w="5680" w:type="dxa"/>
              </w:tcPr>
              <w:p>
                <w:pPr>
                  <w:widowControl w:val="0"/>
                  <w:jc w:val="both"/>
                </w:pPr>
                <w:r>
                  <w:t>无</w:t>
                </w:r>
              </w:p>
            </w:tc>
          </w:tr>
        </w:tbl>
        <w:p/>
      </w:sdtContent>
    </w:sdt>
    <w:sdt>
      <w:sdtPr>
        <w:rPr>
          <w:rFonts w:ascii="宋体" w:hAnsi="宋体" w:cs="宋体"/>
          <w:b w:val="0"/>
          <w:bCs w:val="0"/>
          <w:kern w:val="0"/>
          <w:szCs w:val="21"/>
        </w:rPr>
        <w:alias w:val="模块:控股股东情况自然人"/>
        <w:tag w:val="_SEC_c171a23a3658485db3b86f3cfcc2a64d"/>
        <w:id w:val="6773435"/>
        <w:lock w:val="sdtLocked"/>
        <w:placeholder>
          <w:docPart w:val="GBC22222222222222222222222222222"/>
        </w:placeholder>
      </w:sdtPr>
      <w:sdtEndPr>
        <w:rPr>
          <w:rFonts w:ascii="宋体" w:hAnsi="宋体" w:cs="宋体"/>
          <w:b w:val="0"/>
          <w:bCs w:val="0"/>
          <w:kern w:val="0"/>
          <w:szCs w:val="21"/>
        </w:rPr>
      </w:sdtEndPr>
      <w:sdtContent>
        <w:p>
          <w:pPr>
            <w:pStyle w:val="5"/>
            <w:numPr>
              <w:ilvl w:val="0"/>
              <w:numId w:val="45"/>
            </w:numPr>
            <w:rPr>
              <w:szCs w:val="21"/>
            </w:rPr>
          </w:pPr>
          <w:r>
            <w:rPr>
              <w:szCs w:val="21"/>
            </w:rPr>
            <w:t>自然人</w:t>
          </w:r>
        </w:p>
        <w:sdt>
          <w:sdtPr>
            <w:alias w:val="是否适用：自然人_控股股东情况[双击切换]"/>
            <w:tag w:val="_GBC_050e33c59070475b9b048117126cc6ba"/>
            <w:id w:val="677343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公司不存在控股股东情况的特别说明"/>
        <w:tag w:val="_SEC_70bc1c568fef4bfc833da7470401e558"/>
        <w:id w:val="6773437"/>
        <w:lock w:val="sdtLocked"/>
        <w:placeholder>
          <w:docPart w:val="GBC22222222222222222222222222222"/>
        </w:placeholder>
      </w:sdtPr>
      <w:sdtEndPr>
        <w:rPr>
          <w:rFonts w:hint="default" w:ascii="宋体" w:hAnsi="宋体" w:cs="宋体"/>
          <w:b w:val="0"/>
          <w:bCs w:val="0"/>
          <w:kern w:val="0"/>
          <w:szCs w:val="21"/>
        </w:rPr>
      </w:sdtEndPr>
      <w:sdtContent>
        <w:p>
          <w:pPr>
            <w:pStyle w:val="5"/>
            <w:numPr>
              <w:ilvl w:val="0"/>
              <w:numId w:val="45"/>
            </w:numPr>
            <w:rPr>
              <w:szCs w:val="21"/>
            </w:rPr>
          </w:pPr>
          <w:r>
            <w:rPr>
              <w:rFonts w:hint="eastAsia"/>
              <w:szCs w:val="21"/>
            </w:rPr>
            <w:t>公司不存在控股股东情况的特别说明</w:t>
          </w:r>
        </w:p>
        <w:sdt>
          <w:sdtPr>
            <w:rPr>
              <w:rFonts w:hint="eastAsia"/>
              <w:szCs w:val="21"/>
            </w:rPr>
            <w:alias w:val="是否适用：公司不存在控股股东情况的特别说明[双击切换]"/>
            <w:tag w:val="_GBC_2c420ad8f9bd455b89ad3a0d10597af2"/>
            <w:id w:val="6773436"/>
            <w:lock w:val="sdtContentLocked"/>
            <w:placeholder>
              <w:docPart w:val="GBC22222222222222222222222222222"/>
            </w:placeholder>
          </w:sdtPr>
          <w:sdtEndPr>
            <w:rPr>
              <w:rFonts w:hint="eastAsia"/>
              <w:szCs w:val="21"/>
            </w:rPr>
          </w:sdtEndPr>
          <w:sdtContent>
            <w:p>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1"/>
        </w:rPr>
        <w:alias w:val="模块:报告期内控股股东变更情况索引及日期"/>
        <w:tag w:val="_SEC_8c6549023dc64c378601b5bc20deede9"/>
        <w:id w:val="6773439"/>
        <w:lock w:val="sdtLocked"/>
        <w:placeholder>
          <w:docPart w:val="GBC22222222222222222222222222222"/>
        </w:placeholder>
      </w:sdtPr>
      <w:sdtEndPr>
        <w:rPr>
          <w:rFonts w:hint="default" w:ascii="宋体" w:hAnsi="宋体" w:cs="宋体"/>
          <w:b w:val="0"/>
          <w:bCs w:val="0"/>
          <w:kern w:val="0"/>
          <w:szCs w:val="24"/>
        </w:rPr>
      </w:sdtEndPr>
      <w:sdtContent>
        <w:p>
          <w:pPr>
            <w:pStyle w:val="5"/>
            <w:numPr>
              <w:ilvl w:val="0"/>
              <w:numId w:val="45"/>
            </w:numPr>
            <w:rPr>
              <w:szCs w:val="21"/>
            </w:rPr>
          </w:pPr>
          <w:r>
            <w:rPr>
              <w:rFonts w:hint="eastAsia"/>
              <w:szCs w:val="21"/>
            </w:rPr>
            <w:t>报告期内控股股东变更情况索引及日期</w:t>
          </w:r>
        </w:p>
        <w:sdt>
          <w:sdtPr>
            <w:rPr>
              <w:rFonts w:hint="eastAsia"/>
              <w:szCs w:val="21"/>
            </w:rPr>
            <w:alias w:val="是否适用：报告期内控股股东变更情况索引及日期[双击切换]"/>
            <w:tag w:val="_GBC_ba32d923117643d78736fd77472e578b"/>
            <w:id w:val="6773438"/>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5"/>
        <w:numPr>
          <w:ilvl w:val="0"/>
          <w:numId w:val="45"/>
        </w:numPr>
        <w:rPr>
          <w:szCs w:val="21"/>
        </w:rPr>
      </w:pPr>
      <w:r>
        <w:rPr>
          <w:rFonts w:hint="eastAsia"/>
          <w:szCs w:val="21"/>
        </w:rPr>
        <w:t>公司与控股股东之间的产权及控制关系的方框图</w:t>
      </w:r>
    </w:p>
    <w:sdt>
      <w:sdtPr>
        <w:rPr>
          <w:rFonts w:hint="eastAsia"/>
          <w:b/>
          <w:bCs/>
          <w:szCs w:val="21"/>
        </w:rPr>
        <w:alias w:val="模块:公司与控股股东之间的产权及控制关系的方框图"/>
        <w:tag w:val="_SEC_4121b38278ee4945bfa8eb87dafa9db1"/>
        <w:id w:val="6773442"/>
        <w:lock w:val="sdtLocked"/>
        <w:placeholder>
          <w:docPart w:val="GBC22222222222222222222222222222"/>
        </w:placeholder>
      </w:sdtPr>
      <w:sdtEndPr>
        <w:rPr>
          <w:rFonts w:hint="eastAsia"/>
          <w:b w:val="0"/>
          <w:bCs w:val="0"/>
          <w:szCs w:val="21"/>
        </w:rPr>
      </w:sdtEndPr>
      <w:sdtContent>
        <w:sdt>
          <w:sdtPr>
            <w:alias w:val="是否适用：公司与控股股东之间的产权及控制关系的方框图[双击切换]"/>
            <w:tag w:val="_GBC_aa1ed4124bd443219ac5782763143cd7"/>
            <w:id w:val="6773440"/>
            <w:lock w:val="sdtContentLocked"/>
            <w:placeholder>
              <w:docPart w:val="GBC22222222222222222222222222222"/>
            </w:placeholder>
          </w:sdt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图片：公司与控股股东之间的产权及控制关系的方框图"/>
            <w:tag w:val="_GBC_237afe95a2de48a5baec021682951b46"/>
            <w:id w:val="6773441"/>
            <w:lock w:val="sdtLocked"/>
            <w:placeholder>
              <w:docPart w:val="GBC22222222222222222222222222222"/>
            </w:placeholder>
            <w:picture/>
          </w:sdtPr>
          <w:sdtEndPr>
            <w:rPr>
              <w:rFonts w:hint="eastAsia"/>
              <w:szCs w:val="21"/>
            </w:rPr>
          </w:sdtEndPr>
          <w:sdtContent>
            <w:p>
              <w:pPr>
                <w:rPr>
                  <w:szCs w:val="21"/>
                </w:rPr>
              </w:pPr>
              <w:r>
                <w:rPr>
                  <w:rFonts w:hint="eastAsia"/>
                  <w:szCs w:val="21"/>
                </w:rPr>
                <w:drawing>
                  <wp:inline distT="0" distB="0" distL="0" distR="0">
                    <wp:extent cx="3333115" cy="27971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3749" cy="2797806"/>
                            </a:xfrm>
                            <a:prstGeom prst="rect">
                              <a:avLst/>
                            </a:prstGeom>
                            <a:noFill/>
                            <a:ln w="9525">
                              <a:noFill/>
                              <a:miter lim="800000"/>
                              <a:headEnd/>
                              <a:tailEnd/>
                            </a:ln>
                          </pic:spPr>
                        </pic:pic>
                      </a:graphicData>
                    </a:graphic>
                  </wp:inline>
                </w:drawing>
              </w:r>
            </w:p>
          </w:sdtContent>
        </w:sdt>
      </w:sdtContent>
    </w:sdt>
    <w:p>
      <w:pPr>
        <w:rPr>
          <w:szCs w:val="21"/>
        </w:rPr>
      </w:pPr>
    </w:p>
    <w:p>
      <w:pPr>
        <w:pStyle w:val="4"/>
        <w:numPr>
          <w:ilvl w:val="0"/>
          <w:numId w:val="44"/>
        </w:numPr>
      </w:pPr>
      <w:r>
        <w:rPr>
          <w:rFonts w:hint="eastAsia"/>
        </w:rPr>
        <w:t>实际控制人情况</w:t>
      </w:r>
    </w:p>
    <w:sdt>
      <w:sdtPr>
        <w:rPr>
          <w:rFonts w:hint="eastAsia" w:ascii="宋体" w:hAnsi="宋体" w:cs="宋体"/>
          <w:b w:val="0"/>
          <w:bCs w:val="0"/>
          <w:kern w:val="0"/>
          <w:szCs w:val="21"/>
        </w:rPr>
        <w:alias w:val="模块:实际控制人情况法人"/>
        <w:tag w:val="_SEC_d1e4bdc329624f1ba319634a4fbdd195"/>
        <w:id w:val="6773445"/>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46"/>
            </w:numPr>
            <w:rPr>
              <w:szCs w:val="21"/>
            </w:rPr>
          </w:pPr>
          <w:r>
            <w:rPr>
              <w:rFonts w:hint="eastAsia"/>
              <w:szCs w:val="21"/>
            </w:rPr>
            <w:t>法人</w:t>
          </w:r>
        </w:p>
        <w:sdt>
          <w:sdtPr>
            <w:alias w:val="是否适用：法人_实际控制人情况[双击切换]"/>
            <w:tag w:val="_GBC_6cb3195cd6c545489bd6151d0ee57d58"/>
            <w:id w:val="677344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sdt>
              <w:sdtPr>
                <w:tag w:val="_PLD_9fd7942883b74d698fa4ca37d86c3d17"/>
                <w:id w:val="6773444"/>
                <w:lock w:val="sdtLocked"/>
              </w:sdtPr>
              <w:sdtContent>
                <w:tc>
                  <w:tcPr>
                    <w:tcW w:w="3404" w:type="dxa"/>
                  </w:tcPr>
                  <w:p>
                    <w:pPr>
                      <w:widowControl w:val="0"/>
                      <w:jc w:val="both"/>
                      <w:rPr>
                        <w:szCs w:val="21"/>
                      </w:rPr>
                    </w:pPr>
                    <w:r>
                      <w:rPr>
                        <w:szCs w:val="21"/>
                      </w:rPr>
                      <w:t>名称</w:t>
                    </w:r>
                  </w:p>
                </w:tc>
              </w:sdtContent>
            </w:sdt>
            <w:tc>
              <w:tcPr>
                <w:tcW w:w="5645" w:type="dxa"/>
              </w:tcPr>
              <w:p>
                <w:pPr>
                  <w:widowControl w:val="0"/>
                  <w:jc w:val="both"/>
                  <w:rPr>
                    <w:szCs w:val="21"/>
                  </w:rPr>
                </w:pPr>
                <w:r>
                  <w:rPr>
                    <w:rFonts w:hint="eastAsia"/>
                  </w:rPr>
                  <w:t>广西壮族自治区国有资产监督管理委员会</w:t>
                </w:r>
              </w:p>
            </w:tc>
          </w:tr>
        </w:tbl>
        <w:p/>
      </w:sdtContent>
    </w:sdt>
    <w:sdt>
      <w:sdtPr>
        <w:rPr>
          <w:rFonts w:hint="eastAsia" w:ascii="宋体" w:hAnsi="宋体" w:cs="宋体"/>
          <w:b w:val="0"/>
          <w:bCs w:val="0"/>
          <w:kern w:val="0"/>
          <w:szCs w:val="21"/>
        </w:rPr>
        <w:alias w:val="模块:实际控制人情况自然人"/>
        <w:tag w:val="_SEC_82a067868b0b4b5eb99879535e2300c5"/>
        <w:id w:val="6773447"/>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46"/>
            </w:numPr>
            <w:rPr>
              <w:szCs w:val="21"/>
            </w:rPr>
          </w:pPr>
          <w:r>
            <w:rPr>
              <w:rFonts w:hint="eastAsia"/>
              <w:szCs w:val="21"/>
            </w:rPr>
            <w:t>自然人</w:t>
          </w:r>
        </w:p>
        <w:sdt>
          <w:sdtPr>
            <w:alias w:val="是否适用：自然人_实际控制人情况[双击切换]"/>
            <w:tag w:val="_GBC_359229fa8cca4506ac3cec3de8b5e99b"/>
            <w:id w:val="6773446"/>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val="0"/>
          <w:kern w:val="0"/>
          <w:szCs w:val="21"/>
        </w:rPr>
        <w:alias w:val="模块:公司不存在实际控制人情况的特别说明"/>
        <w:tag w:val="_SEC_5c0bf2f1ddf34e8c983cdf9fa31c1df0"/>
        <w:id w:val="6773449"/>
        <w:lock w:val="sdtLocked"/>
        <w:placeholder>
          <w:docPart w:val="GBC22222222222222222222222222222"/>
        </w:placeholder>
      </w:sdtPr>
      <w:sdtEndPr>
        <w:rPr>
          <w:rFonts w:ascii="宋体" w:hAnsi="宋体" w:cs="宋体"/>
          <w:b w:val="0"/>
          <w:bCs w:val="0"/>
          <w:kern w:val="0"/>
          <w:szCs w:val="24"/>
        </w:rPr>
      </w:sdtEndPr>
      <w:sdtContent>
        <w:p>
          <w:pPr>
            <w:pStyle w:val="5"/>
            <w:numPr>
              <w:ilvl w:val="0"/>
              <w:numId w:val="46"/>
            </w:numPr>
            <w:rPr>
              <w:szCs w:val="21"/>
            </w:rPr>
          </w:pPr>
          <w:r>
            <w:rPr>
              <w:szCs w:val="21"/>
            </w:rPr>
            <w:t>公司不存在实际控制人情况的特别说明</w:t>
          </w:r>
        </w:p>
        <w:sdt>
          <w:sdtPr>
            <w:rPr>
              <w:rFonts w:hint="eastAsia"/>
            </w:rPr>
            <w:alias w:val="是否适用：公司不存在实际控制人情况的特别说明[双击切换]"/>
            <w:tag w:val="_GBC_7380ff5e0fc6471583dc22db2252e039"/>
            <w:id w:val="6773448"/>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sdt>
      <w:sdtPr>
        <w:rPr>
          <w:rFonts w:ascii="宋体" w:hAnsi="宋体" w:cs="宋体"/>
          <w:b w:val="0"/>
          <w:bCs w:val="0"/>
          <w:kern w:val="0"/>
          <w:szCs w:val="24"/>
        </w:rPr>
        <w:alias w:val="模块:报告期内实际控制人变更情况索引及日期"/>
        <w:tag w:val="_SEC_8e248c9fca7b490e93849e8f5dce6a71"/>
        <w:id w:val="6773451"/>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46"/>
            </w:numPr>
          </w:pPr>
          <w:r>
            <w:t>报告期内实际控制人变更情况索引及日期</w:t>
          </w:r>
        </w:p>
        <w:sdt>
          <w:sdtPr>
            <w:rPr>
              <w:rFonts w:hint="eastAsia"/>
            </w:rPr>
            <w:alias w:val="是否适用：报告期内实际控制人变更情况索引及日期[双击切换]"/>
            <w:tag w:val="_GBC_f12f62e5c67e473692b22389cda35aaa"/>
            <w:id w:val="6773450"/>
            <w:lock w:val="sdtContentLocked"/>
            <w:placeholder>
              <w:docPart w:val="GBC22222222222222222222222222222"/>
            </w:placeholder>
          </w:sdtPr>
          <w:sdtEndPr>
            <w:rPr>
              <w:rFonts w:hint="eastAsia"/>
            </w:rPr>
          </w:sdtEnd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
      <w:pPr>
        <w:pStyle w:val="5"/>
        <w:numPr>
          <w:ilvl w:val="0"/>
          <w:numId w:val="46"/>
        </w:numPr>
      </w:pPr>
      <w:r>
        <w:t>公司与实际控制人之间的产权及控制关系的方框图</w:t>
      </w:r>
    </w:p>
    <w:sdt>
      <w:sdtPr>
        <w:rPr>
          <w:b/>
          <w:bCs/>
        </w:rPr>
        <w:alias w:val="模块:公司与实际控制人之间的产权及控制关系的方框图"/>
        <w:tag w:val="_SEC_3098fbbbd09c4e7088990d33b36bcf2e"/>
        <w:id w:val="6773454"/>
        <w:lock w:val="sdtLocked"/>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6773452"/>
            <w:lock w:val="sdtContentLocked"/>
            <w:placeholder>
              <w:docPart w:val="GBC22222222222222222222222222222"/>
            </w:placeholder>
          </w:sdt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sdt>
            <w:sdtPr>
              <w:rPr>
                <w:rFonts w:hint="eastAsia"/>
              </w:rPr>
              <w:alias w:val="图片：公司与实际控制人之间的产权及控制关系的方框图"/>
              <w:tag w:val="_GBC_538f0b25ae684717a3c8362262a5a004"/>
              <w:id w:val="6773453"/>
              <w:lock w:val="sdtLocked"/>
              <w:placeholder>
                <w:docPart w:val="GBC22222222222222222222222222222"/>
              </w:placeholder>
              <w:picture/>
            </w:sdtPr>
            <w:sdtEndPr>
              <w:rPr>
                <w:rFonts w:hint="eastAsia"/>
              </w:rPr>
            </w:sdtEndPr>
            <w:sdtContent>
              <w:r>
                <w:rPr>
                  <w:rFonts w:hint="eastAsia"/>
                </w:rPr>
                <w:drawing>
                  <wp:inline distT="0" distB="0" distL="0" distR="0">
                    <wp:extent cx="2807335" cy="23558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7675" cy="2356304"/>
                            </a:xfrm>
                            <a:prstGeom prst="rect">
                              <a:avLst/>
                            </a:prstGeom>
                            <a:noFill/>
                            <a:ln>
                              <a:noFill/>
                            </a:ln>
                          </pic:spPr>
                        </pic:pic>
                      </a:graphicData>
                    </a:graphic>
                  </wp:inline>
                </w:drawing>
              </w:r>
            </w:sdtContent>
          </w:sdt>
        </w:p>
      </w:sdtContent>
    </w:sdt>
    <w:p/>
    <w:sdt>
      <w:sdtPr>
        <w:rPr>
          <w:rFonts w:ascii="宋体" w:hAnsi="宋体" w:cs="宋体"/>
          <w:b w:val="0"/>
          <w:bCs w:val="0"/>
          <w:kern w:val="0"/>
          <w:szCs w:val="24"/>
        </w:rPr>
        <w:alias w:val="模块:实际控制人通过信托或其他资产管理方式控制公司"/>
        <w:tag w:val="_SEC_d9354c7b8b8643b2a3e90cc40a27dfa8"/>
        <w:id w:val="6773456"/>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46"/>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6773455"/>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sdt>
      <w:sdtPr>
        <w:rPr>
          <w:rFonts w:ascii="宋体" w:hAnsi="宋体" w:cs="宋体"/>
          <w:b w:val="0"/>
          <w:bCs w:val="0"/>
          <w:kern w:val="0"/>
          <w:szCs w:val="24"/>
        </w:rPr>
        <w:alias w:val="模块:控股股东及实际控制人其他情况介绍"/>
        <w:tag w:val="_SEC_4d2866150700497eb747371eabd1ca73"/>
        <w:id w:val="6773458"/>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44"/>
            </w:numPr>
          </w:pPr>
          <w:r>
            <w:t>控股股东及实际控制人其他情况介绍</w:t>
          </w:r>
        </w:p>
        <w:sdt>
          <w:sdtPr>
            <w:rPr>
              <w:rFonts w:hint="eastAsia"/>
            </w:rPr>
            <w:alias w:val="是否适用：控股股东及实际控制人其他情况介绍[双击切换]"/>
            <w:tag w:val="_GBC_f45ea2fa04e04b71a116fba6ba3bff32"/>
            <w:id w:val="6773457"/>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sdt>
      <w:sdtPr>
        <w:rPr>
          <w:rFonts w:ascii="宋体" w:hAnsi="宋体" w:cs="宋体"/>
          <w:b w:val="0"/>
          <w:bCs w:val="0"/>
          <w:kern w:val="0"/>
          <w:szCs w:val="24"/>
        </w:rPr>
        <w:alias w:val="模块:其他持股在百分之十以上的法人股东单位：元 币种：人民币法..."/>
        <w:tag w:val="_SEC_01bab7f76d4648508f5b4ff20d1575e4"/>
        <w:id w:val="6773460"/>
        <w:lock w:val="sdtLocked"/>
        <w:placeholder>
          <w:docPart w:val="GBC22222222222222222222222222222"/>
        </w:placeholder>
      </w:sdtPr>
      <w:sdtEndPr>
        <w:rPr>
          <w:rFonts w:hint="eastAsia" w:ascii="宋体" w:hAnsi="宋体" w:cs="宋体"/>
          <w:b w:val="0"/>
          <w:bCs w:val="0"/>
          <w:kern w:val="0"/>
          <w:szCs w:val="21"/>
        </w:rPr>
      </w:sdtEndPr>
      <w:sdtContent>
        <w:p>
          <w:pPr>
            <w:pStyle w:val="3"/>
            <w:numPr>
              <w:ilvl w:val="0"/>
              <w:numId w:val="39"/>
            </w:numPr>
          </w:pPr>
          <w:r>
            <w:rPr>
              <w:rFonts w:hint="eastAsia"/>
            </w:rPr>
            <w:t>其他持股在百分之十以上的法人股东</w:t>
          </w:r>
        </w:p>
        <w:sdt>
          <w:sdtPr>
            <w:alias w:val="是否适用：其他持股在百分之十以上的法人股东[双击切换]"/>
            <w:tag w:val="_GBC_7c5d05f2d72d4d3c9ef6e9b93777b39f"/>
            <w:id w:val="677345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股份限制减持情况说明"/>
        <w:tag w:val="_SEC_b808e6e3153a4b77b1658dde828b8d1f"/>
        <w:id w:val="6773462"/>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39"/>
            </w:numPr>
          </w:pPr>
          <w:r>
            <w:rPr>
              <w:rFonts w:hint="eastAsia"/>
            </w:rPr>
            <w:t>股份限制减持情况说明</w:t>
          </w:r>
        </w:p>
        <w:p>
          <w:sdt>
            <w:sdtPr>
              <w:rPr>
                <w:rFonts w:hint="eastAsia"/>
              </w:rPr>
              <w:alias w:val="是否适用：股份限制减持情况说明[双击切换]"/>
              <w:tag w:val="_GBC_38db60098ddc4e12bffd328b521e0c35"/>
              <w:id w:val="6773461"/>
              <w:lock w:val="sdtContentLocked"/>
              <w:placeholder>
                <w:docPart w:val="GBC22222222222222222222222222222"/>
              </w:placeholder>
            </w:sdtPr>
            <w:sdtEndPr>
              <w:rPr>
                <w:rFonts w:hint="default"/>
              </w:rPr>
            </w:sdtEnd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p>
      <w:pPr>
        <w:rPr>
          <w:rFonts w:ascii="Calibri" w:hAnsi="Calibri" w:cs="Times New Roman"/>
          <w:b/>
          <w:bCs/>
          <w:kern w:val="2"/>
          <w:szCs w:val="32"/>
        </w:rPr>
      </w:pPr>
    </w:p>
    <w:p/>
    <w:p>
      <w:pPr>
        <w:pStyle w:val="2"/>
        <w:numPr>
          <w:ilvl w:val="0"/>
          <w:numId w:val="2"/>
        </w:numPr>
      </w:pPr>
      <w:bookmarkStart w:id="53" w:name="_Toc409437608"/>
      <w:bookmarkStart w:id="54" w:name="_Toc469563081"/>
      <w:bookmarkStart w:id="55" w:name="_Toc437440714"/>
      <w:r>
        <w:rPr>
          <w:rFonts w:hint="eastAsia"/>
        </w:rPr>
        <w:t>优先股相关情况</w:t>
      </w:r>
      <w:bookmarkEnd w:id="53"/>
      <w:bookmarkEnd w:id="54"/>
      <w:bookmarkEnd w:id="55"/>
    </w:p>
    <w:sdt>
      <w:sdtPr>
        <w:rPr>
          <w:szCs w:val="21"/>
        </w:rPr>
        <w:alias w:val="是否适用：优先股相关情况[双击切换]"/>
        <w:tag w:val="_GBC_0076278996ac412e9bff14977615c2e3"/>
        <w:id w:val="6773463"/>
        <w:lock w:val="sdtContentLocked"/>
        <w:placeholder>
          <w:docPart w:val="GBC22222222222222222222222222222"/>
        </w:placeholder>
      </w:sdtPr>
      <w:sdtEndPr>
        <w:rPr>
          <w:szCs w:val="21"/>
        </w:rPr>
      </w:sdtEndPr>
      <w:sdtContent>
        <w:p>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bookmarkStart w:id="56" w:name="_Toc342566003"/>
    </w:p>
    <w:p/>
    <w:p/>
    <w:p/>
    <w:p>
      <w:pPr>
        <w:sectPr>
          <w:pgSz w:w="11906" w:h="16838"/>
          <w:pgMar w:top="1525" w:right="1276" w:bottom="1440" w:left="1797" w:header="855" w:footer="992" w:gutter="0"/>
          <w:cols w:space="425" w:num="1"/>
          <w:docGrid w:linePitch="312" w:charSpace="0"/>
        </w:sectPr>
      </w:pPr>
    </w:p>
    <w:p>
      <w:pPr>
        <w:pStyle w:val="2"/>
        <w:numPr>
          <w:ilvl w:val="0"/>
          <w:numId w:val="2"/>
        </w:numPr>
        <w:spacing w:before="0" w:after="0"/>
      </w:pPr>
      <w:bookmarkStart w:id="57" w:name="_Toc409437609"/>
      <w:bookmarkStart w:id="58" w:name="_Toc437440715"/>
      <w:bookmarkStart w:id="59" w:name="_Toc469563082"/>
      <w:r>
        <w:rPr>
          <w:rFonts w:hint="eastAsia"/>
        </w:rPr>
        <w:t>董事、监事、高级管理人员</w:t>
      </w:r>
      <w:bookmarkEnd w:id="56"/>
      <w:r>
        <w:rPr>
          <w:rFonts w:hint="eastAsia"/>
        </w:rPr>
        <w:t>和员工情况</w:t>
      </w:r>
      <w:bookmarkEnd w:id="57"/>
      <w:bookmarkEnd w:id="58"/>
      <w:bookmarkEnd w:id="59"/>
    </w:p>
    <w:p>
      <w:pPr>
        <w:pStyle w:val="3"/>
        <w:numPr>
          <w:ilvl w:val="0"/>
          <w:numId w:val="47"/>
        </w:numPr>
      </w:pPr>
      <w:bookmarkStart w:id="60" w:name="_Toc342057944"/>
      <w:bookmarkStart w:id="61" w:name="_Toc342566004"/>
      <w:r>
        <w:rPr>
          <w:rFonts w:hint="eastAsia"/>
        </w:rPr>
        <w:t>持股变动情况及报酬情况</w:t>
      </w:r>
    </w:p>
    <w:sdt>
      <w:sdtPr>
        <w:rPr>
          <w:rFonts w:ascii="宋体" w:hAnsi="宋体" w:cs="宋体"/>
          <w:b w:val="0"/>
          <w:bCs w:val="0"/>
          <w:kern w:val="0"/>
          <w:sz w:val="24"/>
          <w:szCs w:val="21"/>
        </w:rPr>
        <w:alias w:val="模块:现任及报告期内离任董事、监事和高级管理人员持股变动及报酬情况"/>
        <w:tag w:val="_SEC_89cbc704a2f94463b5559db1b31e3846"/>
        <w:id w:val="6773563"/>
        <w:lock w:val="sdtLocked"/>
        <w:placeholder>
          <w:docPart w:val="GBC22222222222222222222222222222"/>
        </w:placeholder>
      </w:sdtPr>
      <w:sdtEndPr>
        <w:rPr>
          <w:rFonts w:ascii="宋体" w:hAnsi="宋体" w:cs="宋体"/>
          <w:b w:val="0"/>
          <w:bCs w:val="0"/>
          <w:kern w:val="0"/>
          <w:sz w:val="21"/>
          <w:szCs w:val="21"/>
        </w:rPr>
      </w:sdtEndPr>
      <w:sdtContent>
        <w:p>
          <w:pPr>
            <w:pStyle w:val="4"/>
            <w:numPr>
              <w:ilvl w:val="2"/>
              <w:numId w:val="48"/>
            </w:numPr>
          </w:pPr>
          <w:r>
            <w:rPr>
              <w:szCs w:val="21"/>
            </w:rPr>
            <w:t>现任</w:t>
          </w:r>
          <w:r>
            <w:t>及报告期内离任董事</w:t>
          </w:r>
          <w:r>
            <w:rPr>
              <w:rFonts w:hint="eastAsia"/>
              <w:szCs w:val="21"/>
            </w:rPr>
            <w:t>、监事</w:t>
          </w:r>
          <w:r>
            <w:t>和高级管理人员持股变动及报酬情况</w:t>
          </w:r>
        </w:p>
        <w:sdt>
          <w:sdtPr>
            <w:alias w:val="是否适用：董事、监事和高级管理人员持股变动[双击切换]"/>
            <w:tag w:val="_GBC_3bd930d7b92e4befb6d0fa834c499f37"/>
            <w:id w:val="1825321544"/>
            <w:lock w:val="sdtContentLocked"/>
          </w:sdtPr>
          <w:sdtContent>
            <w:p>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董事、监事、高级管理人员基本情况"/>
              <w:tag w:val="_GBC_e8abc89b8d9f4ac1b1bd74ab3e3721ae"/>
              <w:id w:val="-1528944640"/>
              <w:lock w:val="sdtLocked"/>
              <w:comboBox>
                <w:listItem w:displayText="股" w:value="股"/>
                <w:listItem w:displayText="千股" w:value="千股"/>
                <w:listItem w:displayText="万股" w:value="万股"/>
                <w:listItem w:displayText="百万股" w:value="百万股"/>
                <w:listItem w:displayText="亿股" w:value="亿股"/>
              </w:comboBox>
            </w:sdtPr>
            <w:sdtEndPr>
              <w:rPr>
                <w:rFonts w:hint="eastAsia"/>
                <w:szCs w:val="21"/>
              </w:rPr>
            </w:sdtEndPr>
            <w:sdtContent>
              <w:r>
                <w:rPr>
                  <w:rFonts w:hint="eastAsia"/>
                  <w:szCs w:val="21"/>
                </w:rPr>
                <w:t>股</w:t>
              </w:r>
            </w:sdtContent>
          </w:sdt>
        </w:p>
        <w:tbl>
          <w:tblPr>
            <w:tblStyle w:val="41"/>
            <w:tblW w:w="14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59"/>
            <w:gridCol w:w="852"/>
            <w:gridCol w:w="852"/>
            <w:gridCol w:w="1266"/>
            <w:gridCol w:w="1266"/>
            <w:gridCol w:w="1148"/>
            <w:gridCol w:w="1134"/>
            <w:gridCol w:w="1349"/>
            <w:gridCol w:w="1169"/>
            <w:gridCol w:w="1409"/>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sdt>
              <w:sdtPr>
                <w:tag w:val="_PLD_abb4a4d8ab5c4452bb98fbbfee2a246f"/>
                <w:id w:val="-831827566"/>
                <w:lock w:val="sdtLocked"/>
              </w:sdtPr>
              <w:sdtContent>
                <w:tc>
                  <w:tcPr>
                    <w:tcW w:w="1054" w:type="dxa"/>
                    <w:vAlign w:val="center"/>
                  </w:tcPr>
                  <w:p>
                    <w:pPr>
                      <w:widowControl w:val="0"/>
                      <w:jc w:val="center"/>
                      <w:rPr>
                        <w:szCs w:val="21"/>
                      </w:rPr>
                    </w:pPr>
                    <w:r>
                      <w:rPr>
                        <w:szCs w:val="21"/>
                      </w:rPr>
                      <w:t>姓名</w:t>
                    </w:r>
                  </w:p>
                </w:tc>
              </w:sdtContent>
            </w:sdt>
            <w:sdt>
              <w:sdtPr>
                <w:tag w:val="_PLD_13672a76c5684f16a984b5c3d32b474b"/>
                <w:id w:val="-1772147792"/>
                <w:lock w:val="sdtLocked"/>
              </w:sdtPr>
              <w:sdtContent>
                <w:tc>
                  <w:tcPr>
                    <w:tcW w:w="1159" w:type="dxa"/>
                    <w:vAlign w:val="center"/>
                  </w:tcPr>
                  <w:p>
                    <w:pPr>
                      <w:widowControl w:val="0"/>
                      <w:jc w:val="center"/>
                      <w:rPr>
                        <w:szCs w:val="21"/>
                      </w:rPr>
                    </w:pPr>
                    <w:r>
                      <w:rPr>
                        <w:szCs w:val="21"/>
                      </w:rPr>
                      <w:t>职务(注)</w:t>
                    </w:r>
                  </w:p>
                </w:tc>
              </w:sdtContent>
            </w:sdt>
            <w:sdt>
              <w:sdtPr>
                <w:tag w:val="_PLD_1bef98fa450b4d07935764eacc4bc992"/>
                <w:id w:val="1596288741"/>
                <w:lock w:val="sdtLocked"/>
              </w:sdtPr>
              <w:sdtContent>
                <w:tc>
                  <w:tcPr>
                    <w:tcW w:w="852" w:type="dxa"/>
                    <w:vAlign w:val="center"/>
                  </w:tcPr>
                  <w:p>
                    <w:pPr>
                      <w:widowControl w:val="0"/>
                      <w:jc w:val="center"/>
                      <w:rPr>
                        <w:szCs w:val="21"/>
                      </w:rPr>
                    </w:pPr>
                    <w:r>
                      <w:rPr>
                        <w:szCs w:val="21"/>
                      </w:rPr>
                      <w:t>性别</w:t>
                    </w:r>
                  </w:p>
                </w:tc>
              </w:sdtContent>
            </w:sdt>
            <w:sdt>
              <w:sdtPr>
                <w:tag w:val="_PLD_ec1b24d67e7a4b8bacedf6288bdc8315"/>
                <w:id w:val="-1506429849"/>
                <w:lock w:val="sdtLocked"/>
              </w:sdtPr>
              <w:sdtContent>
                <w:tc>
                  <w:tcPr>
                    <w:tcW w:w="852" w:type="dxa"/>
                    <w:vAlign w:val="center"/>
                  </w:tcPr>
                  <w:p>
                    <w:pPr>
                      <w:widowControl w:val="0"/>
                      <w:jc w:val="center"/>
                      <w:rPr>
                        <w:szCs w:val="21"/>
                      </w:rPr>
                    </w:pPr>
                    <w:r>
                      <w:rPr>
                        <w:szCs w:val="21"/>
                      </w:rPr>
                      <w:t>年龄</w:t>
                    </w:r>
                  </w:p>
                </w:tc>
              </w:sdtContent>
            </w:sdt>
            <w:sdt>
              <w:sdtPr>
                <w:tag w:val="_PLD_eee6a0274cfa4cedbf1a5eb1330d6e15"/>
                <w:id w:val="844597591"/>
                <w:lock w:val="sdtLocked"/>
              </w:sdtPr>
              <w:sdtContent>
                <w:tc>
                  <w:tcPr>
                    <w:tcW w:w="1266" w:type="dxa"/>
                    <w:vAlign w:val="center"/>
                  </w:tcPr>
                  <w:p>
                    <w:pPr>
                      <w:widowControl w:val="0"/>
                      <w:jc w:val="center"/>
                      <w:rPr>
                        <w:szCs w:val="21"/>
                      </w:rPr>
                    </w:pPr>
                    <w:r>
                      <w:rPr>
                        <w:szCs w:val="21"/>
                      </w:rPr>
                      <w:t>任期起始日期</w:t>
                    </w:r>
                  </w:p>
                </w:tc>
              </w:sdtContent>
            </w:sdt>
            <w:sdt>
              <w:sdtPr>
                <w:tag w:val="_PLD_fc5de0703b5548869b89e912385e3d16"/>
                <w:id w:val="980821220"/>
                <w:lock w:val="sdtLocked"/>
              </w:sdtPr>
              <w:sdtContent>
                <w:tc>
                  <w:tcPr>
                    <w:tcW w:w="1266" w:type="dxa"/>
                    <w:vAlign w:val="center"/>
                  </w:tcPr>
                  <w:p>
                    <w:pPr>
                      <w:widowControl w:val="0"/>
                      <w:jc w:val="center"/>
                      <w:rPr>
                        <w:szCs w:val="21"/>
                      </w:rPr>
                    </w:pPr>
                    <w:r>
                      <w:rPr>
                        <w:szCs w:val="21"/>
                      </w:rPr>
                      <w:t>任期终止日期</w:t>
                    </w:r>
                  </w:p>
                </w:tc>
              </w:sdtContent>
            </w:sdt>
            <w:sdt>
              <w:sdtPr>
                <w:tag w:val="_PLD_ae29b48801434c75bd5bc52340721dba"/>
                <w:id w:val="-2019074532"/>
                <w:lock w:val="sdtLocked"/>
              </w:sdtPr>
              <w:sdtContent>
                <w:tc>
                  <w:tcPr>
                    <w:tcW w:w="1148" w:type="dxa"/>
                    <w:vAlign w:val="center"/>
                  </w:tcPr>
                  <w:p>
                    <w:pPr>
                      <w:widowControl w:val="0"/>
                      <w:jc w:val="center"/>
                      <w:rPr>
                        <w:szCs w:val="21"/>
                      </w:rPr>
                    </w:pPr>
                    <w:r>
                      <w:rPr>
                        <w:szCs w:val="21"/>
                      </w:rPr>
                      <w:t>年初持股数</w:t>
                    </w:r>
                  </w:p>
                </w:tc>
              </w:sdtContent>
            </w:sdt>
            <w:sdt>
              <w:sdtPr>
                <w:tag w:val="_PLD_9f3be006bb85483e9a932623a36262a9"/>
                <w:id w:val="-1409226597"/>
                <w:lock w:val="sdtLocked"/>
              </w:sdtPr>
              <w:sdtContent>
                <w:tc>
                  <w:tcPr>
                    <w:tcW w:w="1134" w:type="dxa"/>
                    <w:vAlign w:val="center"/>
                  </w:tcPr>
                  <w:p>
                    <w:pPr>
                      <w:widowControl w:val="0"/>
                      <w:jc w:val="center"/>
                      <w:rPr>
                        <w:szCs w:val="21"/>
                      </w:rPr>
                    </w:pPr>
                    <w:r>
                      <w:rPr>
                        <w:szCs w:val="21"/>
                      </w:rPr>
                      <w:t>年末持股数</w:t>
                    </w:r>
                  </w:p>
                </w:tc>
              </w:sdtContent>
            </w:sdt>
            <w:sdt>
              <w:sdtPr>
                <w:tag w:val="_PLD_ee24cdc2cc364915a18650d944f255e3"/>
                <w:id w:val="-107661303"/>
                <w:lock w:val="sdtLocked"/>
              </w:sdtPr>
              <w:sdtContent>
                <w:tc>
                  <w:tcPr>
                    <w:tcW w:w="1349" w:type="dxa"/>
                    <w:vAlign w:val="center"/>
                  </w:tcPr>
                  <w:p>
                    <w:pPr>
                      <w:widowControl w:val="0"/>
                      <w:jc w:val="center"/>
                      <w:rPr>
                        <w:szCs w:val="21"/>
                      </w:rPr>
                    </w:pPr>
                    <w:r>
                      <w:rPr>
                        <w:szCs w:val="21"/>
                      </w:rPr>
                      <w:t>年度内股份增减变动量</w:t>
                    </w:r>
                  </w:p>
                </w:tc>
              </w:sdtContent>
            </w:sdt>
            <w:sdt>
              <w:sdtPr>
                <w:tag w:val="_PLD_306c091dd9a3402ea7bb17addb44ec85"/>
                <w:id w:val="-146674786"/>
                <w:lock w:val="sdtLocked"/>
              </w:sdtPr>
              <w:sdtContent>
                <w:tc>
                  <w:tcPr>
                    <w:tcW w:w="1169" w:type="dxa"/>
                    <w:vAlign w:val="center"/>
                  </w:tcPr>
                  <w:p>
                    <w:pPr>
                      <w:widowControl w:val="0"/>
                      <w:jc w:val="center"/>
                      <w:rPr>
                        <w:szCs w:val="21"/>
                      </w:rPr>
                    </w:pPr>
                    <w:r>
                      <w:rPr>
                        <w:szCs w:val="21"/>
                      </w:rPr>
                      <w:t>增减变动原因</w:t>
                    </w:r>
                  </w:p>
                </w:tc>
              </w:sdtContent>
            </w:sdt>
            <w:sdt>
              <w:sdtPr>
                <w:tag w:val="_PLD_05dd23f1619c4a77bc3dc676596a8757"/>
                <w:id w:val="1816297580"/>
                <w:lock w:val="sdtLocked"/>
              </w:sdtPr>
              <w:sdtContent>
                <w:tc>
                  <w:tcPr>
                    <w:tcW w:w="1409" w:type="dxa"/>
                  </w:tcPr>
                  <w:p>
                    <w:pPr>
                      <w:widowControl w:val="0"/>
                      <w:jc w:val="center"/>
                      <w:rPr>
                        <w:szCs w:val="21"/>
                      </w:rPr>
                    </w:pPr>
                    <w:r>
                      <w:rPr>
                        <w:szCs w:val="21"/>
                      </w:rPr>
                      <w:t>报告期内从公司</w:t>
                    </w:r>
                    <w:r>
                      <w:rPr>
                        <w:rFonts w:hint="eastAsia"/>
                        <w:szCs w:val="21"/>
                      </w:rPr>
                      <w:t>获得</w:t>
                    </w:r>
                    <w:r>
                      <w:rPr>
                        <w:szCs w:val="21"/>
                      </w:rPr>
                      <w:t>的</w:t>
                    </w:r>
                    <w:r>
                      <w:rPr>
                        <w:rFonts w:hint="eastAsia"/>
                        <w:szCs w:val="21"/>
                      </w:rPr>
                      <w:t>税前</w:t>
                    </w:r>
                    <w:r>
                      <w:rPr>
                        <w:szCs w:val="21"/>
                      </w:rPr>
                      <w:t>报酬总额（万元）</w:t>
                    </w:r>
                  </w:p>
                </w:tc>
              </w:sdtContent>
            </w:sdt>
            <w:sdt>
              <w:sdtPr>
                <w:tag w:val="_PLD_992ad25f3afa4c91a43d1fcf3631ab69"/>
                <w:id w:val="473728249"/>
                <w:lock w:val="sdtLocked"/>
              </w:sdtPr>
              <w:sdtContent>
                <w:tc>
                  <w:tcPr>
                    <w:tcW w:w="1438" w:type="dxa"/>
                  </w:tcPr>
                  <w:p>
                    <w:pPr>
                      <w:widowControl w:val="0"/>
                      <w:jc w:val="center"/>
                      <w:rPr>
                        <w:szCs w:val="21"/>
                      </w:rPr>
                    </w:pPr>
                    <w:r>
                      <w:rPr>
                        <w:rFonts w:hint="eastAsia"/>
                        <w:szCs w:val="21"/>
                      </w:rPr>
                      <w:t>是否在公司关联方获取报酬</w:t>
                    </w:r>
                  </w:p>
                </w:tc>
              </w:sdtContent>
            </w:sdt>
          </w:tr>
          <w:sdt>
            <w:sdtPr>
              <w:rPr>
                <w:rFonts w:asciiTheme="minorHAnsi" w:hAnsiTheme="minorHAnsi" w:eastAsiaTheme="minorEastAsia" w:cstheme="minorBidi"/>
                <w:kern w:val="2"/>
                <w:szCs w:val="21"/>
              </w:rPr>
              <w:alias w:val="董事、监事、高级管理人员基本情况"/>
              <w:tag w:val="_TUP_f0cd7c5e5dc248398e9026516098f821"/>
              <w:id w:val="-1398282509"/>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陈有升</w:t>
                    </w:r>
                  </w:p>
                </w:tc>
                <w:tc>
                  <w:tcPr>
                    <w:tcW w:w="1159" w:type="dxa"/>
                  </w:tcPr>
                  <w:p>
                    <w:pPr>
                      <w:widowControl w:val="0"/>
                      <w:jc w:val="both"/>
                      <w:rPr>
                        <w:szCs w:val="21"/>
                      </w:rPr>
                    </w:pPr>
                    <w:r>
                      <w:rPr>
                        <w:szCs w:val="21"/>
                      </w:rPr>
                      <w:t>董事长</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52</w:t>
                    </w:r>
                  </w:p>
                </w:tc>
                <w:tc>
                  <w:tcPr>
                    <w:tcW w:w="1266" w:type="dxa"/>
                  </w:tcPr>
                  <w:p>
                    <w:pPr>
                      <w:widowControl w:val="0"/>
                      <w:jc w:val="both"/>
                      <w:rPr>
                        <w:szCs w:val="21"/>
                      </w:rPr>
                    </w:pPr>
                    <w:r>
                      <w:rPr>
                        <w:szCs w:val="21"/>
                      </w:rPr>
                      <w:t>2017-05-26</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17.61</w:t>
                    </w:r>
                  </w:p>
                </w:tc>
                <w:sdt>
                  <w:sdtPr>
                    <w:rPr>
                      <w:rFonts w:ascii="Times New Roman" w:hAnsi="Times New Roman"/>
                      <w:szCs w:val="21"/>
                    </w:rPr>
                    <w:alias w:val="董事、监事、高级管理人员是否在公司关联方获取报酬"/>
                    <w:tag w:val="_GBC_da1333fb62ea4775ac485783e963c073"/>
                    <w:id w:val="24725424"/>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32"/>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李永松</w:t>
                    </w:r>
                  </w:p>
                </w:tc>
                <w:tc>
                  <w:tcPr>
                    <w:tcW w:w="1159" w:type="dxa"/>
                  </w:tcPr>
                  <w:p>
                    <w:pPr>
                      <w:widowControl w:val="0"/>
                      <w:jc w:val="both"/>
                      <w:rPr>
                        <w:szCs w:val="21"/>
                      </w:rPr>
                    </w:pPr>
                    <w:r>
                      <w:rPr>
                        <w:szCs w:val="21"/>
                      </w:rPr>
                      <w:t>董事长</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58</w:t>
                    </w:r>
                  </w:p>
                </w:tc>
                <w:tc>
                  <w:tcPr>
                    <w:tcW w:w="1266" w:type="dxa"/>
                  </w:tcPr>
                  <w:p>
                    <w:pPr>
                      <w:widowControl w:val="0"/>
                      <w:jc w:val="both"/>
                      <w:rPr>
                        <w:szCs w:val="21"/>
                      </w:rPr>
                    </w:pPr>
                    <w:r>
                      <w:rPr>
                        <w:szCs w:val="21"/>
                      </w:rPr>
                      <w:t>2015-12-10</w:t>
                    </w:r>
                  </w:p>
                </w:tc>
                <w:tc>
                  <w:tcPr>
                    <w:tcW w:w="1266" w:type="dxa"/>
                  </w:tcPr>
                  <w:p>
                    <w:pPr>
                      <w:widowControl w:val="0"/>
                      <w:jc w:val="both"/>
                      <w:rPr>
                        <w:szCs w:val="21"/>
                      </w:rPr>
                    </w:pPr>
                    <w:r>
                      <w:rPr>
                        <w:szCs w:val="21"/>
                      </w:rPr>
                      <w:t>2017-05-25</w:t>
                    </w:r>
                  </w:p>
                </w:tc>
                <w:tc>
                  <w:tcPr>
                    <w:tcW w:w="1148" w:type="dxa"/>
                  </w:tcPr>
                  <w:p>
                    <w:pPr>
                      <w:widowControl w:val="0"/>
                      <w:jc w:val="right"/>
                      <w:rPr>
                        <w:szCs w:val="21"/>
                      </w:rPr>
                    </w:pPr>
                    <w:r>
                      <w:rPr>
                        <w:rFonts w:hint="eastAsia"/>
                        <w:szCs w:val="21"/>
                      </w:rPr>
                      <w:t>0</w:t>
                    </w:r>
                  </w:p>
                </w:tc>
                <w:tc>
                  <w:tcPr>
                    <w:tcW w:w="1134" w:type="dxa"/>
                  </w:tcPr>
                  <w:p>
                    <w:pPr>
                      <w:widowControl w:val="0"/>
                      <w:jc w:val="right"/>
                      <w:rPr>
                        <w:szCs w:val="21"/>
                      </w:rPr>
                    </w:pPr>
                    <w:r>
                      <w:rPr>
                        <w:rFonts w:hint="eastAsia"/>
                        <w:szCs w:val="21"/>
                      </w:rPr>
                      <w:t>0</w:t>
                    </w:r>
                  </w:p>
                </w:tc>
                <w:tc>
                  <w:tcPr>
                    <w:tcW w:w="1349" w:type="dxa"/>
                  </w:tcPr>
                  <w:p>
                    <w:pPr>
                      <w:widowControl w:val="0"/>
                      <w:jc w:val="right"/>
                      <w:rPr>
                        <w:szCs w:val="21"/>
                      </w:rPr>
                    </w:pPr>
                    <w:r>
                      <w:rPr>
                        <w:rFonts w:hint="eastAsia"/>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52.51</w:t>
                    </w:r>
                  </w:p>
                </w:tc>
                <w:sdt>
                  <w:sdtPr>
                    <w:rPr>
                      <w:rFonts w:ascii="Times New Roman" w:hAnsi="Times New Roman"/>
                      <w:szCs w:val="21"/>
                    </w:rPr>
                    <w:alias w:val="董事、监事、高级管理人员是否在公司关联方获取报酬"/>
                    <w:tag w:val="_GBC_da1333fb62ea4775ac485783e963c073"/>
                    <w:id w:val="24585631"/>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34"/>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施沛润</w:t>
                    </w:r>
                  </w:p>
                </w:tc>
                <w:tc>
                  <w:tcPr>
                    <w:tcW w:w="1159" w:type="dxa"/>
                  </w:tcPr>
                  <w:p>
                    <w:pPr>
                      <w:widowControl w:val="0"/>
                      <w:jc w:val="both"/>
                      <w:rPr>
                        <w:szCs w:val="21"/>
                      </w:rPr>
                    </w:pPr>
                    <w:r>
                      <w:rPr>
                        <w:szCs w:val="21"/>
                      </w:rPr>
                      <w:t>董事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53</w:t>
                    </w:r>
                  </w:p>
                </w:tc>
                <w:tc>
                  <w:tcPr>
                    <w:tcW w:w="1266" w:type="dxa"/>
                  </w:tcPr>
                  <w:p>
                    <w:pPr>
                      <w:widowControl w:val="0"/>
                      <w:jc w:val="both"/>
                      <w:rPr>
                        <w:szCs w:val="21"/>
                      </w:rPr>
                    </w:pPr>
                    <w:r>
                      <w:rPr>
                        <w:szCs w:val="21"/>
                      </w:rPr>
                      <w:t>2012-05-22</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0</w:t>
                    </w:r>
                  </w:p>
                </w:tc>
                <w:sdt>
                  <w:sdtPr>
                    <w:rPr>
                      <w:rFonts w:ascii="Times New Roman" w:hAnsi="Times New Roman"/>
                      <w:szCs w:val="21"/>
                    </w:rPr>
                    <w:alias w:val="董事、监事、高级管理人员是否在公司关联方获取报酬"/>
                    <w:tag w:val="_GBC_da1333fb62ea4775ac485783e963c073"/>
                    <w:id w:val="24585633"/>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36"/>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甘贵平</w:t>
                    </w:r>
                  </w:p>
                </w:tc>
                <w:tc>
                  <w:tcPr>
                    <w:tcW w:w="1159" w:type="dxa"/>
                  </w:tcPr>
                  <w:p>
                    <w:pPr>
                      <w:widowControl w:val="0"/>
                      <w:jc w:val="both"/>
                      <w:rPr>
                        <w:szCs w:val="21"/>
                      </w:rPr>
                    </w:pPr>
                    <w:r>
                      <w:rPr>
                        <w:szCs w:val="21"/>
                      </w:rPr>
                      <w:t>董事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53</w:t>
                    </w:r>
                  </w:p>
                </w:tc>
                <w:tc>
                  <w:tcPr>
                    <w:tcW w:w="1266" w:type="dxa"/>
                  </w:tcPr>
                  <w:p>
                    <w:pPr>
                      <w:widowControl w:val="0"/>
                      <w:jc w:val="both"/>
                      <w:rPr>
                        <w:szCs w:val="21"/>
                      </w:rPr>
                    </w:pPr>
                    <w:r>
                      <w:rPr>
                        <w:szCs w:val="21"/>
                      </w:rPr>
                      <w:t>2012-05-22</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0</w:t>
                    </w:r>
                  </w:p>
                </w:tc>
                <w:sdt>
                  <w:sdtPr>
                    <w:rPr>
                      <w:rFonts w:ascii="Times New Roman" w:hAnsi="Times New Roman"/>
                      <w:szCs w:val="21"/>
                    </w:rPr>
                    <w:alias w:val="董事、监事、高级管理人员是否在公司关联方获取报酬"/>
                    <w:tag w:val="_GBC_da1333fb62ea4775ac485783e963c073"/>
                    <w:id w:val="24585635"/>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38"/>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潘世庆</w:t>
                    </w:r>
                  </w:p>
                </w:tc>
                <w:tc>
                  <w:tcPr>
                    <w:tcW w:w="1159" w:type="dxa"/>
                  </w:tcPr>
                  <w:p>
                    <w:pPr>
                      <w:widowControl w:val="0"/>
                      <w:jc w:val="both"/>
                      <w:rPr>
                        <w:szCs w:val="21"/>
                      </w:rPr>
                    </w:pPr>
                    <w:r>
                      <w:rPr>
                        <w:szCs w:val="21"/>
                      </w:rPr>
                      <w:t>董事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53</w:t>
                    </w:r>
                  </w:p>
                </w:tc>
                <w:tc>
                  <w:tcPr>
                    <w:tcW w:w="1266" w:type="dxa"/>
                  </w:tcPr>
                  <w:p>
                    <w:pPr>
                      <w:widowControl w:val="0"/>
                      <w:jc w:val="both"/>
                      <w:rPr>
                        <w:szCs w:val="21"/>
                      </w:rPr>
                    </w:pPr>
                    <w:r>
                      <w:rPr>
                        <w:szCs w:val="21"/>
                      </w:rPr>
                      <w:t>2014-04-22</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0</w:t>
                    </w:r>
                  </w:p>
                </w:tc>
                <w:sdt>
                  <w:sdtPr>
                    <w:rPr>
                      <w:rFonts w:ascii="Times New Roman" w:hAnsi="Times New Roman"/>
                      <w:szCs w:val="21"/>
                    </w:rPr>
                    <w:alias w:val="董事、监事、高级管理人员是否在公司关联方获取报酬"/>
                    <w:tag w:val="_GBC_da1333fb62ea4775ac485783e963c073"/>
                    <w:id w:val="24585637"/>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40"/>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张奕</w:t>
                    </w:r>
                  </w:p>
                </w:tc>
                <w:tc>
                  <w:tcPr>
                    <w:tcW w:w="1159" w:type="dxa"/>
                  </w:tcPr>
                  <w:p>
                    <w:pPr>
                      <w:widowControl w:val="0"/>
                      <w:jc w:val="both"/>
                      <w:rPr>
                        <w:szCs w:val="21"/>
                      </w:rPr>
                    </w:pPr>
                    <w:r>
                      <w:rPr>
                        <w:szCs w:val="21"/>
                      </w:rPr>
                      <w:t>董事</w:t>
                    </w:r>
                  </w:p>
                </w:tc>
                <w:tc>
                  <w:tcPr>
                    <w:tcW w:w="852" w:type="dxa"/>
                  </w:tcPr>
                  <w:p>
                    <w:pPr>
                      <w:widowControl w:val="0"/>
                      <w:jc w:val="both"/>
                      <w:rPr>
                        <w:szCs w:val="21"/>
                      </w:rPr>
                    </w:pPr>
                    <w:r>
                      <w:rPr>
                        <w:szCs w:val="21"/>
                      </w:rPr>
                      <w:t>女</w:t>
                    </w:r>
                  </w:p>
                </w:tc>
                <w:tc>
                  <w:tcPr>
                    <w:tcW w:w="852" w:type="dxa"/>
                  </w:tcPr>
                  <w:p>
                    <w:pPr>
                      <w:widowControl w:val="0"/>
                      <w:jc w:val="both"/>
                      <w:rPr>
                        <w:szCs w:val="21"/>
                      </w:rPr>
                    </w:pPr>
                    <w:r>
                      <w:rPr>
                        <w:szCs w:val="21"/>
                      </w:rPr>
                      <w:t>48</w:t>
                    </w:r>
                  </w:p>
                </w:tc>
                <w:tc>
                  <w:tcPr>
                    <w:tcW w:w="1266" w:type="dxa"/>
                  </w:tcPr>
                  <w:p>
                    <w:pPr>
                      <w:widowControl w:val="0"/>
                      <w:jc w:val="both"/>
                      <w:rPr>
                        <w:szCs w:val="21"/>
                      </w:rPr>
                    </w:pPr>
                    <w:r>
                      <w:rPr>
                        <w:szCs w:val="21"/>
                      </w:rPr>
                      <w:t>2012-05-22</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0</w:t>
                    </w:r>
                  </w:p>
                </w:tc>
                <w:sdt>
                  <w:sdtPr>
                    <w:rPr>
                      <w:rFonts w:ascii="Times New Roman" w:hAnsi="Times New Roman"/>
                      <w:szCs w:val="21"/>
                    </w:rPr>
                    <w:alias w:val="董事、监事、高级管理人员是否在公司关联方获取报酬"/>
                    <w:tag w:val="_GBC_da1333fb62ea4775ac485783e963c073"/>
                    <w:id w:val="24585639"/>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42"/>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罗军</w:t>
                    </w:r>
                  </w:p>
                </w:tc>
                <w:tc>
                  <w:tcPr>
                    <w:tcW w:w="1159" w:type="dxa"/>
                  </w:tcPr>
                  <w:p>
                    <w:pPr>
                      <w:widowControl w:val="0"/>
                      <w:jc w:val="both"/>
                      <w:rPr>
                        <w:szCs w:val="21"/>
                      </w:rPr>
                    </w:pPr>
                    <w:r>
                      <w:rPr>
                        <w:szCs w:val="21"/>
                      </w:rPr>
                      <w:t>董事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47</w:t>
                    </w:r>
                  </w:p>
                </w:tc>
                <w:tc>
                  <w:tcPr>
                    <w:tcW w:w="1266" w:type="dxa"/>
                  </w:tcPr>
                  <w:p>
                    <w:pPr>
                      <w:widowControl w:val="0"/>
                      <w:jc w:val="both"/>
                      <w:rPr>
                        <w:szCs w:val="21"/>
                      </w:rPr>
                    </w:pPr>
                    <w:r>
                      <w:rPr>
                        <w:szCs w:val="21"/>
                      </w:rPr>
                      <w:t>2015-05-26</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0</w:t>
                    </w:r>
                  </w:p>
                </w:tc>
                <w:sdt>
                  <w:sdtPr>
                    <w:rPr>
                      <w:rFonts w:ascii="Times New Roman" w:hAnsi="Times New Roman"/>
                      <w:szCs w:val="21"/>
                    </w:rPr>
                    <w:alias w:val="董事、监事、高级管理人员是否在公司关联方获取报酬"/>
                    <w:tag w:val="_GBC_da1333fb62ea4775ac485783e963c073"/>
                    <w:id w:val="24585641"/>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44"/>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阎骏</w:t>
                    </w:r>
                  </w:p>
                </w:tc>
                <w:tc>
                  <w:tcPr>
                    <w:tcW w:w="1159" w:type="dxa"/>
                  </w:tcPr>
                  <w:p>
                    <w:pPr>
                      <w:widowControl w:val="0"/>
                      <w:jc w:val="both"/>
                      <w:rPr>
                        <w:szCs w:val="21"/>
                      </w:rPr>
                    </w:pPr>
                    <w:r>
                      <w:rPr>
                        <w:szCs w:val="21"/>
                      </w:rPr>
                      <w:t>董事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47</w:t>
                    </w:r>
                  </w:p>
                </w:tc>
                <w:tc>
                  <w:tcPr>
                    <w:tcW w:w="1266" w:type="dxa"/>
                  </w:tcPr>
                  <w:p>
                    <w:pPr>
                      <w:widowControl w:val="0"/>
                      <w:jc w:val="both"/>
                      <w:rPr>
                        <w:szCs w:val="21"/>
                      </w:rPr>
                    </w:pPr>
                    <w:r>
                      <w:rPr>
                        <w:szCs w:val="21"/>
                      </w:rPr>
                      <w:t>2015-12-10</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0</w:t>
                    </w:r>
                  </w:p>
                </w:tc>
                <w:sdt>
                  <w:sdtPr>
                    <w:rPr>
                      <w:rFonts w:ascii="Times New Roman" w:hAnsi="Times New Roman"/>
                      <w:szCs w:val="21"/>
                    </w:rPr>
                    <w:alias w:val="董事、监事、高级管理人员是否在公司关联方获取报酬"/>
                    <w:tag w:val="_GBC_da1333fb62ea4775ac485783e963c073"/>
                    <w:id w:val="24585643"/>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46"/>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黄国君</w:t>
                    </w:r>
                  </w:p>
                </w:tc>
                <w:tc>
                  <w:tcPr>
                    <w:tcW w:w="1159" w:type="dxa"/>
                  </w:tcPr>
                  <w:p>
                    <w:pPr>
                      <w:widowControl w:val="0"/>
                      <w:jc w:val="both"/>
                      <w:rPr>
                        <w:szCs w:val="21"/>
                      </w:rPr>
                    </w:pPr>
                    <w:r>
                      <w:rPr>
                        <w:szCs w:val="21"/>
                      </w:rPr>
                      <w:t>独立董事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54</w:t>
                    </w:r>
                  </w:p>
                </w:tc>
                <w:tc>
                  <w:tcPr>
                    <w:tcW w:w="1266" w:type="dxa"/>
                  </w:tcPr>
                  <w:p>
                    <w:pPr>
                      <w:widowControl w:val="0"/>
                      <w:jc w:val="both"/>
                      <w:rPr>
                        <w:szCs w:val="21"/>
                      </w:rPr>
                    </w:pPr>
                    <w:r>
                      <w:rPr>
                        <w:szCs w:val="21"/>
                      </w:rPr>
                      <w:t>2013-05-30</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12.00</w:t>
                    </w:r>
                  </w:p>
                </w:tc>
                <w:sdt>
                  <w:sdtPr>
                    <w:rPr>
                      <w:rFonts w:ascii="Times New Roman" w:hAnsi="Times New Roman"/>
                      <w:szCs w:val="21"/>
                    </w:rPr>
                    <w:alias w:val="董事、监事、高级管理人员是否在公司关联方获取报酬"/>
                    <w:tag w:val="_GBC_da1333fb62ea4775ac485783e963c073"/>
                    <w:id w:val="24585645"/>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48"/>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袁公章</w:t>
                    </w:r>
                  </w:p>
                </w:tc>
                <w:tc>
                  <w:tcPr>
                    <w:tcW w:w="1159" w:type="dxa"/>
                  </w:tcPr>
                  <w:p>
                    <w:pPr>
                      <w:widowControl w:val="0"/>
                      <w:jc w:val="both"/>
                      <w:rPr>
                        <w:szCs w:val="21"/>
                      </w:rPr>
                    </w:pPr>
                    <w:r>
                      <w:rPr>
                        <w:szCs w:val="21"/>
                      </w:rPr>
                      <w:t>独立董事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44</w:t>
                    </w:r>
                  </w:p>
                </w:tc>
                <w:tc>
                  <w:tcPr>
                    <w:tcW w:w="1266" w:type="dxa"/>
                  </w:tcPr>
                  <w:p>
                    <w:pPr>
                      <w:widowControl w:val="0"/>
                      <w:jc w:val="both"/>
                      <w:rPr>
                        <w:szCs w:val="21"/>
                      </w:rPr>
                    </w:pPr>
                    <w:r>
                      <w:rPr>
                        <w:szCs w:val="21"/>
                      </w:rPr>
                      <w:t>2014-06-24</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12.00</w:t>
                    </w:r>
                  </w:p>
                </w:tc>
                <w:sdt>
                  <w:sdtPr>
                    <w:rPr>
                      <w:rFonts w:ascii="Times New Roman" w:hAnsi="Times New Roman"/>
                      <w:szCs w:val="21"/>
                    </w:rPr>
                    <w:alias w:val="董事、监事、高级管理人员是否在公司关联方获取报酬"/>
                    <w:tag w:val="_GBC_da1333fb62ea4775ac485783e963c073"/>
                    <w:id w:val="24585647"/>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50"/>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李骅</w:t>
                    </w:r>
                  </w:p>
                </w:tc>
                <w:tc>
                  <w:tcPr>
                    <w:tcW w:w="1159" w:type="dxa"/>
                  </w:tcPr>
                  <w:p>
                    <w:pPr>
                      <w:widowControl w:val="0"/>
                      <w:jc w:val="both"/>
                      <w:rPr>
                        <w:szCs w:val="21"/>
                      </w:rPr>
                    </w:pPr>
                    <w:r>
                      <w:rPr>
                        <w:szCs w:val="21"/>
                      </w:rPr>
                      <w:t>独立董事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47</w:t>
                    </w:r>
                  </w:p>
                </w:tc>
                <w:tc>
                  <w:tcPr>
                    <w:tcW w:w="1266" w:type="dxa"/>
                  </w:tcPr>
                  <w:p>
                    <w:pPr>
                      <w:widowControl w:val="0"/>
                      <w:jc w:val="both"/>
                      <w:rPr>
                        <w:szCs w:val="21"/>
                      </w:rPr>
                    </w:pPr>
                    <w:r>
                      <w:rPr>
                        <w:szCs w:val="21"/>
                      </w:rPr>
                      <w:t>2014-06-24</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12.00</w:t>
                    </w:r>
                  </w:p>
                </w:tc>
                <w:sdt>
                  <w:sdtPr>
                    <w:rPr>
                      <w:rFonts w:ascii="Times New Roman" w:hAnsi="Times New Roman"/>
                      <w:szCs w:val="21"/>
                    </w:rPr>
                    <w:alias w:val="董事、监事、高级管理人员是否在公司关联方获取报酬"/>
                    <w:tag w:val="_GBC_da1333fb62ea4775ac485783e963c073"/>
                    <w:id w:val="24585649"/>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52"/>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赵峰</w:t>
                    </w:r>
                  </w:p>
                </w:tc>
                <w:tc>
                  <w:tcPr>
                    <w:tcW w:w="1159" w:type="dxa"/>
                  </w:tcPr>
                  <w:p>
                    <w:pPr>
                      <w:widowControl w:val="0"/>
                      <w:jc w:val="both"/>
                      <w:rPr>
                        <w:szCs w:val="21"/>
                      </w:rPr>
                    </w:pPr>
                    <w:r>
                      <w:rPr>
                        <w:szCs w:val="21"/>
                      </w:rPr>
                      <w:t>独立董事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42</w:t>
                    </w:r>
                  </w:p>
                </w:tc>
                <w:tc>
                  <w:tcPr>
                    <w:tcW w:w="1266" w:type="dxa"/>
                  </w:tcPr>
                  <w:p>
                    <w:pPr>
                      <w:widowControl w:val="0"/>
                      <w:jc w:val="both"/>
                      <w:rPr>
                        <w:szCs w:val="21"/>
                      </w:rPr>
                    </w:pPr>
                    <w:r>
                      <w:rPr>
                        <w:szCs w:val="21"/>
                      </w:rPr>
                      <w:t>2016-05-26</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0</w:t>
                    </w:r>
                  </w:p>
                </w:tc>
                <w:sdt>
                  <w:sdtPr>
                    <w:rPr>
                      <w:rFonts w:ascii="Times New Roman" w:hAnsi="Times New Roman"/>
                      <w:szCs w:val="21"/>
                    </w:rPr>
                    <w:alias w:val="董事、监事、高级管理人员是否在公司关联方获取报酬"/>
                    <w:tag w:val="_GBC_da1333fb62ea4775ac485783e963c073"/>
                    <w:id w:val="24585651"/>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54"/>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梁培发</w:t>
                    </w:r>
                  </w:p>
                </w:tc>
                <w:tc>
                  <w:tcPr>
                    <w:tcW w:w="1159" w:type="dxa"/>
                  </w:tcPr>
                  <w:p>
                    <w:pPr>
                      <w:widowControl w:val="0"/>
                      <w:jc w:val="both"/>
                      <w:rPr>
                        <w:szCs w:val="21"/>
                      </w:rPr>
                    </w:pPr>
                    <w:r>
                      <w:rPr>
                        <w:szCs w:val="21"/>
                      </w:rPr>
                      <w:t>监事会主席</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55</w:t>
                    </w:r>
                  </w:p>
                </w:tc>
                <w:tc>
                  <w:tcPr>
                    <w:tcW w:w="1266" w:type="dxa"/>
                  </w:tcPr>
                  <w:p>
                    <w:pPr>
                      <w:widowControl w:val="0"/>
                      <w:jc w:val="both"/>
                      <w:rPr>
                        <w:szCs w:val="21"/>
                      </w:rPr>
                    </w:pPr>
                    <w:r>
                      <w:rPr>
                        <w:szCs w:val="21"/>
                      </w:rPr>
                      <w:t>2012-05-22</w:t>
                    </w:r>
                  </w:p>
                </w:tc>
                <w:tc>
                  <w:tcPr>
                    <w:tcW w:w="1266" w:type="dxa"/>
                  </w:tcPr>
                  <w:p>
                    <w:pPr>
                      <w:widowControl w:val="0"/>
                      <w:jc w:val="both"/>
                      <w:rPr>
                        <w:szCs w:val="21"/>
                      </w:rPr>
                    </w:pPr>
                    <w:r>
                      <w:rPr>
                        <w:szCs w:val="21"/>
                      </w:rPr>
                      <w:t>2018-05-26</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0</w:t>
                    </w:r>
                  </w:p>
                </w:tc>
                <w:sdt>
                  <w:sdtPr>
                    <w:rPr>
                      <w:rFonts w:ascii="Times New Roman" w:hAnsi="Times New Roman"/>
                      <w:szCs w:val="21"/>
                    </w:rPr>
                    <w:alias w:val="董事、监事、高级管理人员是否在公司关联方获取报酬"/>
                    <w:tag w:val="_GBC_da1333fb62ea4775ac485783e963c073"/>
                    <w:id w:val="24585653"/>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56"/>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陈有升</w:t>
                    </w:r>
                  </w:p>
                </w:tc>
                <w:tc>
                  <w:tcPr>
                    <w:tcW w:w="1159" w:type="dxa"/>
                  </w:tcPr>
                  <w:p>
                    <w:pPr>
                      <w:widowControl w:val="0"/>
                      <w:jc w:val="both"/>
                      <w:rPr>
                        <w:szCs w:val="21"/>
                      </w:rPr>
                    </w:pPr>
                    <w:r>
                      <w:rPr>
                        <w:szCs w:val="21"/>
                      </w:rPr>
                      <w:t>监事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52</w:t>
                    </w:r>
                  </w:p>
                </w:tc>
                <w:tc>
                  <w:tcPr>
                    <w:tcW w:w="1266" w:type="dxa"/>
                  </w:tcPr>
                  <w:p>
                    <w:pPr>
                      <w:widowControl w:val="0"/>
                      <w:jc w:val="both"/>
                      <w:rPr>
                        <w:szCs w:val="21"/>
                      </w:rPr>
                    </w:pPr>
                    <w:r>
                      <w:rPr>
                        <w:szCs w:val="21"/>
                      </w:rPr>
                      <w:t>2015-05-26</w:t>
                    </w:r>
                  </w:p>
                </w:tc>
                <w:tc>
                  <w:tcPr>
                    <w:tcW w:w="1266" w:type="dxa"/>
                  </w:tcPr>
                  <w:p>
                    <w:pPr>
                      <w:widowControl w:val="0"/>
                      <w:jc w:val="both"/>
                      <w:rPr>
                        <w:szCs w:val="21"/>
                      </w:rPr>
                    </w:pPr>
                    <w:r>
                      <w:rPr>
                        <w:szCs w:val="21"/>
                      </w:rPr>
                      <w:t>2017-05-25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0</w:t>
                    </w:r>
                  </w:p>
                </w:tc>
                <w:sdt>
                  <w:sdtPr>
                    <w:rPr>
                      <w:rFonts w:ascii="Times New Roman" w:hAnsi="Times New Roman"/>
                      <w:szCs w:val="21"/>
                    </w:rPr>
                    <w:alias w:val="董事、监事、高级管理人员是否在公司关联方获取报酬"/>
                    <w:tag w:val="_GBC_da1333fb62ea4775ac485783e963c073"/>
                    <w:id w:val="24585655"/>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58"/>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莫朝兴</w:t>
                    </w:r>
                  </w:p>
                </w:tc>
                <w:tc>
                  <w:tcPr>
                    <w:tcW w:w="1159" w:type="dxa"/>
                  </w:tcPr>
                  <w:p>
                    <w:pPr>
                      <w:widowControl w:val="0"/>
                      <w:jc w:val="both"/>
                      <w:rPr>
                        <w:szCs w:val="21"/>
                      </w:rPr>
                    </w:pPr>
                    <w:r>
                      <w:rPr>
                        <w:szCs w:val="21"/>
                      </w:rPr>
                      <w:t>监事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47</w:t>
                    </w:r>
                  </w:p>
                </w:tc>
                <w:tc>
                  <w:tcPr>
                    <w:tcW w:w="1266" w:type="dxa"/>
                  </w:tcPr>
                  <w:p>
                    <w:pPr>
                      <w:widowControl w:val="0"/>
                      <w:jc w:val="both"/>
                      <w:rPr>
                        <w:szCs w:val="21"/>
                      </w:rPr>
                    </w:pPr>
                    <w:r>
                      <w:rPr>
                        <w:szCs w:val="21"/>
                      </w:rPr>
                      <w:t>2016-05-26</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79.61</w:t>
                    </w:r>
                  </w:p>
                </w:tc>
                <w:sdt>
                  <w:sdtPr>
                    <w:rPr>
                      <w:rFonts w:ascii="Times New Roman" w:hAnsi="Times New Roman"/>
                      <w:szCs w:val="21"/>
                    </w:rPr>
                    <w:alias w:val="董事、监事、高级管理人员是否在公司关联方获取报酬"/>
                    <w:tag w:val="_GBC_da1333fb62ea4775ac485783e963c073"/>
                    <w:id w:val="24585657"/>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60"/>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阮志勇</w:t>
                    </w:r>
                  </w:p>
                </w:tc>
                <w:tc>
                  <w:tcPr>
                    <w:tcW w:w="1159" w:type="dxa"/>
                  </w:tcPr>
                  <w:p>
                    <w:pPr>
                      <w:widowControl w:val="0"/>
                      <w:jc w:val="both"/>
                      <w:rPr>
                        <w:szCs w:val="21"/>
                      </w:rPr>
                    </w:pPr>
                    <w:r>
                      <w:rPr>
                        <w:szCs w:val="21"/>
                      </w:rPr>
                      <w:t>监事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47</w:t>
                    </w:r>
                  </w:p>
                </w:tc>
                <w:tc>
                  <w:tcPr>
                    <w:tcW w:w="1266" w:type="dxa"/>
                  </w:tcPr>
                  <w:p>
                    <w:pPr>
                      <w:widowControl w:val="0"/>
                      <w:jc w:val="both"/>
                      <w:rPr>
                        <w:szCs w:val="21"/>
                      </w:rPr>
                    </w:pPr>
                    <w:r>
                      <w:rPr>
                        <w:szCs w:val="21"/>
                      </w:rPr>
                      <w:t>2016-05-26</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10,000</w:t>
                    </w:r>
                  </w:p>
                </w:tc>
                <w:tc>
                  <w:tcPr>
                    <w:tcW w:w="1134" w:type="dxa"/>
                  </w:tcPr>
                  <w:p>
                    <w:pPr>
                      <w:widowControl w:val="0"/>
                      <w:jc w:val="right"/>
                      <w:rPr>
                        <w:szCs w:val="21"/>
                      </w:rPr>
                    </w:pPr>
                    <w:r>
                      <w:rPr>
                        <w:szCs w:val="21"/>
                      </w:rPr>
                      <w:t>10,000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p>
                </w:tc>
                <w:sdt>
                  <w:sdtPr>
                    <w:rPr>
                      <w:rFonts w:ascii="Times New Roman" w:hAnsi="Times New Roman"/>
                      <w:szCs w:val="21"/>
                    </w:rPr>
                    <w:alias w:val="董事、监事、高级管理人员是否在公司关联方获取报酬"/>
                    <w:tag w:val="_GBC_da1333fb62ea4775ac485783e963c073"/>
                    <w:id w:val="24585659"/>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62"/>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甘牧原</w:t>
                    </w:r>
                  </w:p>
                </w:tc>
                <w:tc>
                  <w:tcPr>
                    <w:tcW w:w="1159" w:type="dxa"/>
                  </w:tcPr>
                  <w:p>
                    <w:pPr>
                      <w:widowControl w:val="0"/>
                      <w:jc w:val="both"/>
                      <w:rPr>
                        <w:szCs w:val="21"/>
                      </w:rPr>
                    </w:pPr>
                    <w:r>
                      <w:rPr>
                        <w:szCs w:val="21"/>
                      </w:rPr>
                      <w:t>监事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50</w:t>
                    </w:r>
                  </w:p>
                </w:tc>
                <w:tc>
                  <w:tcPr>
                    <w:tcW w:w="1266" w:type="dxa"/>
                  </w:tcPr>
                  <w:p>
                    <w:pPr>
                      <w:widowControl w:val="0"/>
                      <w:jc w:val="both"/>
                      <w:rPr>
                        <w:szCs w:val="21"/>
                      </w:rPr>
                    </w:pPr>
                    <w:r>
                      <w:rPr>
                        <w:szCs w:val="21"/>
                      </w:rPr>
                      <w:t>2017-05-26</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66.02</w:t>
                    </w:r>
                  </w:p>
                </w:tc>
                <w:sdt>
                  <w:sdtPr>
                    <w:rPr>
                      <w:rFonts w:ascii="Times New Roman" w:hAnsi="Times New Roman"/>
                      <w:szCs w:val="21"/>
                    </w:rPr>
                    <w:alias w:val="董事、监事、高级管理人员是否在公司关联方获取报酬"/>
                    <w:tag w:val="_GBC_da1333fb62ea4775ac485783e963c073"/>
                    <w:id w:val="24585661"/>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64"/>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林承格</w:t>
                    </w:r>
                  </w:p>
                </w:tc>
                <w:tc>
                  <w:tcPr>
                    <w:tcW w:w="1159" w:type="dxa"/>
                  </w:tcPr>
                  <w:p>
                    <w:pPr>
                      <w:widowControl w:val="0"/>
                      <w:jc w:val="both"/>
                      <w:rPr>
                        <w:szCs w:val="21"/>
                      </w:rPr>
                    </w:pPr>
                    <w:r>
                      <w:rPr>
                        <w:szCs w:val="21"/>
                      </w:rPr>
                      <w:t>监事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53</w:t>
                    </w:r>
                  </w:p>
                </w:tc>
                <w:tc>
                  <w:tcPr>
                    <w:tcW w:w="1266" w:type="dxa"/>
                  </w:tcPr>
                  <w:p>
                    <w:pPr>
                      <w:widowControl w:val="0"/>
                      <w:jc w:val="both"/>
                      <w:rPr>
                        <w:szCs w:val="21"/>
                      </w:rPr>
                    </w:pPr>
                    <w:r>
                      <w:rPr>
                        <w:szCs w:val="21"/>
                      </w:rPr>
                      <w:t>2014-04-22</w:t>
                    </w:r>
                  </w:p>
                </w:tc>
                <w:tc>
                  <w:tcPr>
                    <w:tcW w:w="1266" w:type="dxa"/>
                  </w:tcPr>
                  <w:p>
                    <w:pPr>
                      <w:widowControl w:val="0"/>
                      <w:jc w:val="both"/>
                      <w:rPr>
                        <w:szCs w:val="21"/>
                      </w:rPr>
                    </w:pPr>
                    <w:r>
                      <w:rPr>
                        <w:szCs w:val="21"/>
                      </w:rPr>
                      <w:t>2017-12-07</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p>
                </w:tc>
                <w:sdt>
                  <w:sdtPr>
                    <w:rPr>
                      <w:rFonts w:ascii="Times New Roman" w:hAnsi="Times New Roman"/>
                      <w:szCs w:val="21"/>
                    </w:rPr>
                    <w:alias w:val="董事、监事、高级管理人员是否在公司关联方获取报酬"/>
                    <w:tag w:val="_GBC_da1333fb62ea4775ac485783e963c073"/>
                    <w:id w:val="24585663"/>
                    <w:lock w:val="sdtLocked"/>
                    <w:showingPlcHdr/>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66"/>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韩宗桂</w:t>
                    </w:r>
                  </w:p>
                </w:tc>
                <w:tc>
                  <w:tcPr>
                    <w:tcW w:w="1159" w:type="dxa"/>
                  </w:tcPr>
                  <w:p>
                    <w:pPr>
                      <w:widowControl w:val="0"/>
                      <w:jc w:val="both"/>
                      <w:rPr>
                        <w:szCs w:val="21"/>
                      </w:rPr>
                    </w:pPr>
                    <w:r>
                      <w:rPr>
                        <w:szCs w:val="21"/>
                      </w:rPr>
                      <w:t>监事</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50</w:t>
                    </w:r>
                  </w:p>
                </w:tc>
                <w:tc>
                  <w:tcPr>
                    <w:tcW w:w="1266" w:type="dxa"/>
                  </w:tcPr>
                  <w:p>
                    <w:pPr>
                      <w:widowControl w:val="0"/>
                      <w:jc w:val="both"/>
                      <w:rPr>
                        <w:szCs w:val="21"/>
                      </w:rPr>
                    </w:pPr>
                    <w:r>
                      <w:rPr>
                        <w:szCs w:val="21"/>
                      </w:rPr>
                      <w:t>2017-12-07</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p>
                </w:tc>
                <w:sdt>
                  <w:sdtPr>
                    <w:rPr>
                      <w:rFonts w:ascii="Times New Roman" w:hAnsi="Times New Roman"/>
                      <w:szCs w:val="21"/>
                    </w:rPr>
                    <w:alias w:val="董事、监事、高级管理人员是否在公司关联方获取报酬"/>
                    <w:tag w:val="_GBC_da1333fb62ea4775ac485783e963c073"/>
                    <w:id w:val="24585665"/>
                    <w:lock w:val="sdtLocked"/>
                    <w:showingPlcHdr/>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68"/>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黄元民</w:t>
                    </w:r>
                  </w:p>
                </w:tc>
                <w:tc>
                  <w:tcPr>
                    <w:tcW w:w="1159" w:type="dxa"/>
                  </w:tcPr>
                  <w:p>
                    <w:pPr>
                      <w:widowControl w:val="0"/>
                      <w:jc w:val="both"/>
                      <w:rPr>
                        <w:szCs w:val="21"/>
                      </w:rPr>
                    </w:pPr>
                    <w:r>
                      <w:rPr>
                        <w:szCs w:val="21"/>
                      </w:rPr>
                      <w:t>总经理</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57</w:t>
                    </w:r>
                  </w:p>
                </w:tc>
                <w:tc>
                  <w:tcPr>
                    <w:tcW w:w="1266" w:type="dxa"/>
                  </w:tcPr>
                  <w:p>
                    <w:pPr>
                      <w:widowControl w:val="0"/>
                      <w:jc w:val="both"/>
                      <w:rPr>
                        <w:szCs w:val="21"/>
                      </w:rPr>
                    </w:pPr>
                    <w:r>
                      <w:rPr>
                        <w:szCs w:val="21"/>
                      </w:rPr>
                      <w:t>2012-05-22</w:t>
                    </w:r>
                  </w:p>
                </w:tc>
                <w:tc>
                  <w:tcPr>
                    <w:tcW w:w="1266" w:type="dxa"/>
                  </w:tcPr>
                  <w:p>
                    <w:pPr>
                      <w:widowControl w:val="0"/>
                      <w:jc w:val="both"/>
                      <w:rPr>
                        <w:szCs w:val="21"/>
                      </w:rPr>
                    </w:pPr>
                    <w:r>
                      <w:rPr>
                        <w:szCs w:val="21"/>
                      </w:rPr>
                      <w:t>2017-04-25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54.32</w:t>
                    </w:r>
                  </w:p>
                </w:tc>
                <w:sdt>
                  <w:sdtPr>
                    <w:rPr>
                      <w:rFonts w:ascii="Times New Roman" w:hAnsi="Times New Roman"/>
                      <w:szCs w:val="21"/>
                    </w:rPr>
                    <w:alias w:val="董事、监事、高级管理人员是否在公司关联方获取报酬"/>
                    <w:tag w:val="_GBC_da1333fb62ea4775ac485783e963c073"/>
                    <w:id w:val="24585667"/>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70"/>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覃佩诚</w:t>
                    </w:r>
                  </w:p>
                </w:tc>
                <w:tc>
                  <w:tcPr>
                    <w:tcW w:w="1159" w:type="dxa"/>
                  </w:tcPr>
                  <w:p>
                    <w:pPr>
                      <w:widowControl w:val="0"/>
                      <w:jc w:val="both"/>
                      <w:rPr>
                        <w:szCs w:val="21"/>
                      </w:rPr>
                    </w:pPr>
                    <w:r>
                      <w:rPr>
                        <w:szCs w:val="21"/>
                      </w:rPr>
                      <w:t>总经理</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53</w:t>
                    </w:r>
                  </w:p>
                </w:tc>
                <w:tc>
                  <w:tcPr>
                    <w:tcW w:w="1266" w:type="dxa"/>
                  </w:tcPr>
                  <w:p>
                    <w:pPr>
                      <w:widowControl w:val="0"/>
                      <w:jc w:val="both"/>
                      <w:rPr>
                        <w:szCs w:val="21"/>
                      </w:rPr>
                    </w:pPr>
                    <w:r>
                      <w:rPr>
                        <w:szCs w:val="21"/>
                      </w:rPr>
                      <w:t>2017-04-26</w:t>
                    </w:r>
                  </w:p>
                </w:tc>
                <w:tc>
                  <w:tcPr>
                    <w:tcW w:w="1266" w:type="dxa"/>
                  </w:tcPr>
                  <w:p>
                    <w:pPr>
                      <w:widowControl w:val="0"/>
                      <w:jc w:val="both"/>
                      <w:rPr>
                        <w:szCs w:val="21"/>
                      </w:rPr>
                    </w:pPr>
                    <w:r>
                      <w:rPr>
                        <w:szCs w:val="21"/>
                      </w:rPr>
                      <w:t>2018-05-26</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17.61</w:t>
                    </w:r>
                  </w:p>
                </w:tc>
                <w:sdt>
                  <w:sdtPr>
                    <w:rPr>
                      <w:rFonts w:ascii="Times New Roman" w:hAnsi="Times New Roman"/>
                      <w:szCs w:val="21"/>
                    </w:rPr>
                    <w:alias w:val="董事、监事、高级管理人员是否在公司关联方获取报酬"/>
                    <w:tag w:val="_GBC_da1333fb62ea4775ac485783e963c073"/>
                    <w:id w:val="24585669"/>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72"/>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班俊超</w:t>
                    </w:r>
                  </w:p>
                </w:tc>
                <w:tc>
                  <w:tcPr>
                    <w:tcW w:w="1159" w:type="dxa"/>
                  </w:tcPr>
                  <w:p>
                    <w:pPr>
                      <w:widowControl w:val="0"/>
                      <w:jc w:val="both"/>
                      <w:rPr>
                        <w:szCs w:val="21"/>
                      </w:rPr>
                    </w:pPr>
                    <w:r>
                      <w:rPr>
                        <w:szCs w:val="21"/>
                      </w:rPr>
                      <w:t>副总经理</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56</w:t>
                    </w:r>
                  </w:p>
                </w:tc>
                <w:tc>
                  <w:tcPr>
                    <w:tcW w:w="1266" w:type="dxa"/>
                  </w:tcPr>
                  <w:p>
                    <w:pPr>
                      <w:widowControl w:val="0"/>
                      <w:jc w:val="both"/>
                      <w:rPr>
                        <w:szCs w:val="21"/>
                      </w:rPr>
                    </w:pPr>
                    <w:r>
                      <w:rPr>
                        <w:szCs w:val="21"/>
                      </w:rPr>
                      <w:t>2012-05-22</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66.02</w:t>
                    </w:r>
                  </w:p>
                </w:tc>
                <w:sdt>
                  <w:sdtPr>
                    <w:rPr>
                      <w:rFonts w:ascii="Times New Roman" w:hAnsi="Times New Roman"/>
                      <w:szCs w:val="21"/>
                    </w:rPr>
                    <w:alias w:val="董事、监事、高级管理人员是否在公司关联方获取报酬"/>
                    <w:tag w:val="_GBC_da1333fb62ea4775ac485783e963c073"/>
                    <w:id w:val="24585671"/>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74"/>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裴侃</w:t>
                    </w:r>
                  </w:p>
                </w:tc>
                <w:tc>
                  <w:tcPr>
                    <w:tcW w:w="1159" w:type="dxa"/>
                  </w:tcPr>
                  <w:p>
                    <w:pPr>
                      <w:widowControl w:val="0"/>
                      <w:jc w:val="both"/>
                      <w:rPr>
                        <w:szCs w:val="21"/>
                      </w:rPr>
                    </w:pPr>
                    <w:r>
                      <w:rPr>
                        <w:szCs w:val="21"/>
                      </w:rPr>
                      <w:t>副总经理、董秘</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49</w:t>
                    </w:r>
                  </w:p>
                </w:tc>
                <w:tc>
                  <w:tcPr>
                    <w:tcW w:w="1266" w:type="dxa"/>
                  </w:tcPr>
                  <w:p>
                    <w:pPr>
                      <w:widowControl w:val="0"/>
                      <w:jc w:val="both"/>
                      <w:rPr>
                        <w:szCs w:val="21"/>
                      </w:rPr>
                    </w:pPr>
                    <w:r>
                      <w:rPr>
                        <w:szCs w:val="21"/>
                      </w:rPr>
                      <w:t>2017-04-26</w:t>
                    </w:r>
                  </w:p>
                </w:tc>
                <w:tc>
                  <w:tcPr>
                    <w:tcW w:w="1266" w:type="dxa"/>
                  </w:tcPr>
                  <w:p>
                    <w:pPr>
                      <w:widowControl w:val="0"/>
                      <w:jc w:val="both"/>
                      <w:rPr>
                        <w:szCs w:val="21"/>
                      </w:rPr>
                    </w:pPr>
                    <w:r>
                      <w:rPr>
                        <w:szCs w:val="21"/>
                      </w:rPr>
                      <w:t>2018-05-26</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17.61</w:t>
                    </w:r>
                  </w:p>
                </w:tc>
                <w:sdt>
                  <w:sdtPr>
                    <w:rPr>
                      <w:rFonts w:ascii="Times New Roman" w:hAnsi="Times New Roman"/>
                      <w:szCs w:val="21"/>
                    </w:rPr>
                    <w:alias w:val="董事、监事、高级管理人员是否在公司关联方获取报酬"/>
                    <w:tag w:val="_GBC_da1333fb62ea4775ac485783e963c073"/>
                    <w:id w:val="24585673"/>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是</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76"/>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杜忠军</w:t>
                    </w:r>
                  </w:p>
                </w:tc>
                <w:tc>
                  <w:tcPr>
                    <w:tcW w:w="1159" w:type="dxa"/>
                  </w:tcPr>
                  <w:p>
                    <w:pPr>
                      <w:widowControl w:val="0"/>
                      <w:jc w:val="both"/>
                      <w:rPr>
                        <w:szCs w:val="21"/>
                      </w:rPr>
                    </w:pPr>
                    <w:r>
                      <w:rPr>
                        <w:szCs w:val="21"/>
                      </w:rPr>
                      <w:t>总会计师</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38</w:t>
                    </w:r>
                  </w:p>
                </w:tc>
                <w:tc>
                  <w:tcPr>
                    <w:tcW w:w="1266" w:type="dxa"/>
                  </w:tcPr>
                  <w:p>
                    <w:pPr>
                      <w:widowControl w:val="0"/>
                      <w:jc w:val="both"/>
                      <w:rPr>
                        <w:szCs w:val="21"/>
                      </w:rPr>
                    </w:pPr>
                    <w:r>
                      <w:rPr>
                        <w:szCs w:val="21"/>
                      </w:rPr>
                      <w:t>2016-04-26</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59.54</w:t>
                    </w:r>
                  </w:p>
                </w:tc>
                <w:sdt>
                  <w:sdtPr>
                    <w:rPr>
                      <w:rFonts w:ascii="Times New Roman" w:hAnsi="Times New Roman"/>
                      <w:szCs w:val="21"/>
                    </w:rPr>
                    <w:alias w:val="董事、监事、高级管理人员是否在公司关联方获取报酬"/>
                    <w:tag w:val="_GBC_da1333fb62ea4775ac485783e963c073"/>
                    <w:id w:val="24585675"/>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78"/>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韦军尤</w:t>
                    </w:r>
                  </w:p>
                </w:tc>
                <w:tc>
                  <w:tcPr>
                    <w:tcW w:w="1159" w:type="dxa"/>
                  </w:tcPr>
                  <w:p>
                    <w:pPr>
                      <w:widowControl w:val="0"/>
                      <w:jc w:val="both"/>
                      <w:rPr>
                        <w:szCs w:val="21"/>
                      </w:rPr>
                    </w:pPr>
                    <w:r>
                      <w:rPr>
                        <w:szCs w:val="21"/>
                      </w:rPr>
                      <w:t>副总经理</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46</w:t>
                    </w:r>
                  </w:p>
                </w:tc>
                <w:tc>
                  <w:tcPr>
                    <w:tcW w:w="1266" w:type="dxa"/>
                  </w:tcPr>
                  <w:p>
                    <w:pPr>
                      <w:widowControl w:val="0"/>
                      <w:jc w:val="both"/>
                      <w:rPr>
                        <w:szCs w:val="21"/>
                      </w:rPr>
                    </w:pPr>
                    <w:r>
                      <w:rPr>
                        <w:szCs w:val="21"/>
                      </w:rPr>
                      <w:t>2015-05-26</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81.32</w:t>
                    </w:r>
                  </w:p>
                </w:tc>
                <w:sdt>
                  <w:sdtPr>
                    <w:rPr>
                      <w:rFonts w:ascii="Times New Roman" w:hAnsi="Times New Roman"/>
                      <w:szCs w:val="21"/>
                    </w:rPr>
                    <w:alias w:val="董事、监事、高级管理人员是否在公司关联方获取报酬"/>
                    <w:tag w:val="_GBC_da1333fb62ea4775ac485783e963c073"/>
                    <w:id w:val="24585677"/>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80"/>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熊小明</w:t>
                    </w:r>
                  </w:p>
                </w:tc>
                <w:tc>
                  <w:tcPr>
                    <w:tcW w:w="1159" w:type="dxa"/>
                  </w:tcPr>
                  <w:p>
                    <w:pPr>
                      <w:widowControl w:val="0"/>
                      <w:jc w:val="both"/>
                      <w:rPr>
                        <w:szCs w:val="21"/>
                      </w:rPr>
                    </w:pPr>
                    <w:r>
                      <w:rPr>
                        <w:szCs w:val="21"/>
                      </w:rPr>
                      <w:t>副总经理</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44</w:t>
                    </w:r>
                  </w:p>
                </w:tc>
                <w:tc>
                  <w:tcPr>
                    <w:tcW w:w="1266" w:type="dxa"/>
                  </w:tcPr>
                  <w:p>
                    <w:pPr>
                      <w:widowControl w:val="0"/>
                      <w:jc w:val="both"/>
                      <w:rPr>
                        <w:szCs w:val="21"/>
                      </w:rPr>
                    </w:pPr>
                    <w:r>
                      <w:rPr>
                        <w:szCs w:val="21"/>
                      </w:rPr>
                      <w:t>2015-05-26</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50,000</w:t>
                    </w:r>
                  </w:p>
                </w:tc>
                <w:tc>
                  <w:tcPr>
                    <w:tcW w:w="1134" w:type="dxa"/>
                  </w:tcPr>
                  <w:p>
                    <w:pPr>
                      <w:widowControl w:val="0"/>
                      <w:jc w:val="right"/>
                      <w:rPr>
                        <w:szCs w:val="21"/>
                      </w:rPr>
                    </w:pPr>
                    <w:r>
                      <w:rPr>
                        <w:szCs w:val="21"/>
                      </w:rPr>
                      <w:t>50,000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84.49</w:t>
                    </w:r>
                  </w:p>
                </w:tc>
                <w:sdt>
                  <w:sdtPr>
                    <w:rPr>
                      <w:rFonts w:ascii="Times New Roman" w:hAnsi="Times New Roman"/>
                      <w:szCs w:val="21"/>
                    </w:rPr>
                    <w:alias w:val="董事、监事、高级管理人员是否在公司关联方获取报酬"/>
                    <w:tag w:val="_GBC_da1333fb62ea4775ac485783e963c073"/>
                    <w:id w:val="24585679"/>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82"/>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覃强</w:t>
                    </w:r>
                  </w:p>
                </w:tc>
                <w:tc>
                  <w:tcPr>
                    <w:tcW w:w="1159" w:type="dxa"/>
                  </w:tcPr>
                  <w:p>
                    <w:pPr>
                      <w:widowControl w:val="0"/>
                      <w:jc w:val="both"/>
                      <w:rPr>
                        <w:szCs w:val="21"/>
                      </w:rPr>
                    </w:pPr>
                    <w:r>
                      <w:rPr>
                        <w:szCs w:val="21"/>
                      </w:rPr>
                      <w:t>副总经理</w:t>
                    </w:r>
                  </w:p>
                </w:tc>
                <w:tc>
                  <w:tcPr>
                    <w:tcW w:w="852" w:type="dxa"/>
                  </w:tcPr>
                  <w:p>
                    <w:pPr>
                      <w:widowControl w:val="0"/>
                      <w:jc w:val="both"/>
                      <w:rPr>
                        <w:szCs w:val="21"/>
                      </w:rPr>
                    </w:pPr>
                    <w:r>
                      <w:rPr>
                        <w:szCs w:val="21"/>
                      </w:rPr>
                      <w:t>男</w:t>
                    </w:r>
                  </w:p>
                </w:tc>
                <w:tc>
                  <w:tcPr>
                    <w:tcW w:w="852" w:type="dxa"/>
                  </w:tcPr>
                  <w:p>
                    <w:pPr>
                      <w:widowControl w:val="0"/>
                      <w:jc w:val="both"/>
                      <w:rPr>
                        <w:szCs w:val="21"/>
                      </w:rPr>
                    </w:pPr>
                    <w:r>
                      <w:rPr>
                        <w:szCs w:val="21"/>
                      </w:rPr>
                      <w:t>52</w:t>
                    </w:r>
                  </w:p>
                </w:tc>
                <w:tc>
                  <w:tcPr>
                    <w:tcW w:w="1266" w:type="dxa"/>
                  </w:tcPr>
                  <w:p>
                    <w:pPr>
                      <w:widowControl w:val="0"/>
                      <w:jc w:val="both"/>
                      <w:rPr>
                        <w:szCs w:val="21"/>
                      </w:rPr>
                    </w:pPr>
                    <w:r>
                      <w:rPr>
                        <w:szCs w:val="21"/>
                      </w:rPr>
                      <w:t>2015-11-24</w:t>
                    </w:r>
                  </w:p>
                </w:tc>
                <w:tc>
                  <w:tcPr>
                    <w:tcW w:w="1266" w:type="dxa"/>
                  </w:tcPr>
                  <w:p>
                    <w:pPr>
                      <w:widowControl w:val="0"/>
                      <w:jc w:val="both"/>
                      <w:rPr>
                        <w:szCs w:val="21"/>
                      </w:rPr>
                    </w:pPr>
                    <w:r>
                      <w:rPr>
                        <w:szCs w:val="21"/>
                      </w:rPr>
                      <w:t>2018-05-25</w:t>
                    </w:r>
                  </w:p>
                </w:tc>
                <w:tc>
                  <w:tcPr>
                    <w:tcW w:w="1148" w:type="dxa"/>
                  </w:tcPr>
                  <w:p>
                    <w:pPr>
                      <w:widowControl w:val="0"/>
                      <w:jc w:val="right"/>
                      <w:rPr>
                        <w:szCs w:val="21"/>
                      </w:rPr>
                    </w:pPr>
                    <w:r>
                      <w:rPr>
                        <w:szCs w:val="21"/>
                      </w:rPr>
                      <w:t>0</w:t>
                    </w:r>
                  </w:p>
                </w:tc>
                <w:tc>
                  <w:tcPr>
                    <w:tcW w:w="1134" w:type="dxa"/>
                  </w:tcPr>
                  <w:p>
                    <w:pPr>
                      <w:widowControl w:val="0"/>
                      <w:jc w:val="right"/>
                      <w:rPr>
                        <w:szCs w:val="21"/>
                      </w:rPr>
                    </w:pPr>
                    <w:r>
                      <w:rPr>
                        <w:szCs w:val="21"/>
                      </w:rPr>
                      <w:t>0</w:t>
                    </w:r>
                  </w:p>
                </w:tc>
                <w:tc>
                  <w:tcPr>
                    <w:tcW w:w="1349" w:type="dxa"/>
                  </w:tcPr>
                  <w:p>
                    <w:pPr>
                      <w:widowControl w:val="0"/>
                      <w:jc w:val="right"/>
                      <w:rPr>
                        <w:szCs w:val="21"/>
                      </w:rPr>
                    </w:pPr>
                    <w:r>
                      <w:rPr>
                        <w:szCs w:val="21"/>
                      </w:rPr>
                      <w:t>0</w:t>
                    </w:r>
                  </w:p>
                </w:tc>
                <w:tc>
                  <w:tcPr>
                    <w:tcW w:w="1169" w:type="dxa"/>
                  </w:tcPr>
                  <w:p>
                    <w:pPr>
                      <w:widowControl w:val="0"/>
                      <w:jc w:val="both"/>
                      <w:rPr>
                        <w:szCs w:val="21"/>
                      </w:rPr>
                    </w:pPr>
                  </w:p>
                </w:tc>
                <w:tc>
                  <w:tcPr>
                    <w:tcW w:w="1409" w:type="dxa"/>
                  </w:tcPr>
                  <w:p>
                    <w:pPr>
                      <w:widowControl w:val="0"/>
                      <w:jc w:val="right"/>
                      <w:rPr>
                        <w:szCs w:val="21"/>
                      </w:rPr>
                    </w:pPr>
                    <w:r>
                      <w:rPr>
                        <w:szCs w:val="21"/>
                      </w:rPr>
                      <w:t>74.39</w:t>
                    </w:r>
                  </w:p>
                </w:tc>
                <w:sdt>
                  <w:sdtPr>
                    <w:rPr>
                      <w:rFonts w:ascii="Times New Roman" w:hAnsi="Times New Roman"/>
                      <w:szCs w:val="21"/>
                    </w:rPr>
                    <w:alias w:val="董事、监事、高级管理人员是否在公司关联方获取报酬"/>
                    <w:tag w:val="_GBC_da1333fb62ea4775ac485783e963c073"/>
                    <w:id w:val="24585681"/>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sdt>
            <w:sdtPr>
              <w:rPr>
                <w:rFonts w:asciiTheme="minorHAnsi" w:hAnsiTheme="minorHAnsi" w:eastAsiaTheme="minorEastAsia" w:cstheme="minorBidi"/>
                <w:kern w:val="2"/>
                <w:szCs w:val="21"/>
              </w:rPr>
              <w:alias w:val="董事、监事、高级管理人员基本情况"/>
              <w:tag w:val="_TUP_f0cd7c5e5dc248398e9026516098f821"/>
              <w:id w:val="24585684"/>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4" w:type="dxa"/>
                  </w:tcPr>
                  <w:p>
                    <w:pPr>
                      <w:widowControl w:val="0"/>
                      <w:jc w:val="both"/>
                      <w:rPr>
                        <w:szCs w:val="21"/>
                      </w:rPr>
                    </w:pPr>
                    <w:r>
                      <w:rPr>
                        <w:rFonts w:asciiTheme="minorHAnsi" w:hAnsiTheme="minorHAnsi" w:eastAsiaTheme="minorEastAsia" w:cstheme="minorBidi"/>
                        <w:kern w:val="2"/>
                        <w:szCs w:val="21"/>
                      </w:rPr>
                      <w:t>王世辉</w:t>
                    </w:r>
                  </w:p>
                </w:tc>
                <w:tc>
                  <w:tcPr>
                    <w:tcW w:w="1159" w:type="dxa"/>
                  </w:tcPr>
                  <w:p>
                    <w:pPr>
                      <w:widowControl w:val="0"/>
                      <w:jc w:val="both"/>
                      <w:rPr>
                        <w:szCs w:val="21"/>
                      </w:rPr>
                    </w:pPr>
                    <w:r>
                      <w:rPr>
                        <w:rFonts w:hint="eastAsia"/>
                        <w:szCs w:val="21"/>
                      </w:rPr>
                      <w:t>副总经理</w:t>
                    </w:r>
                  </w:p>
                </w:tc>
                <w:tc>
                  <w:tcPr>
                    <w:tcW w:w="852" w:type="dxa"/>
                  </w:tcPr>
                  <w:p>
                    <w:pPr>
                      <w:widowControl w:val="0"/>
                      <w:jc w:val="both"/>
                      <w:rPr>
                        <w:szCs w:val="21"/>
                      </w:rPr>
                    </w:pPr>
                    <w:r>
                      <w:rPr>
                        <w:rFonts w:hint="eastAsia"/>
                        <w:szCs w:val="21"/>
                      </w:rPr>
                      <w:t>男</w:t>
                    </w:r>
                  </w:p>
                </w:tc>
                <w:tc>
                  <w:tcPr>
                    <w:tcW w:w="852" w:type="dxa"/>
                  </w:tcPr>
                  <w:p>
                    <w:pPr>
                      <w:widowControl w:val="0"/>
                      <w:jc w:val="both"/>
                      <w:rPr>
                        <w:szCs w:val="21"/>
                      </w:rPr>
                    </w:pPr>
                    <w:r>
                      <w:rPr>
                        <w:rFonts w:hint="eastAsia"/>
                        <w:szCs w:val="21"/>
                      </w:rPr>
                      <w:t>54</w:t>
                    </w:r>
                  </w:p>
                </w:tc>
                <w:tc>
                  <w:tcPr>
                    <w:tcW w:w="1266" w:type="dxa"/>
                  </w:tcPr>
                  <w:p>
                    <w:pPr>
                      <w:widowControl w:val="0"/>
                      <w:jc w:val="both"/>
                      <w:rPr>
                        <w:szCs w:val="21"/>
                      </w:rPr>
                    </w:pPr>
                    <w:r>
                      <w:rPr>
                        <w:rFonts w:hint="eastAsia"/>
                        <w:szCs w:val="21"/>
                      </w:rPr>
                      <w:t>2016-08-25</w:t>
                    </w:r>
                  </w:p>
                </w:tc>
                <w:tc>
                  <w:tcPr>
                    <w:tcW w:w="1266" w:type="dxa"/>
                  </w:tcPr>
                  <w:p>
                    <w:pPr>
                      <w:widowControl w:val="0"/>
                      <w:jc w:val="both"/>
                      <w:rPr>
                        <w:szCs w:val="21"/>
                      </w:rPr>
                    </w:pPr>
                    <w:r>
                      <w:rPr>
                        <w:rFonts w:hint="eastAsia"/>
                        <w:szCs w:val="21"/>
                      </w:rPr>
                      <w:t>2017-04-26</w:t>
                    </w:r>
                  </w:p>
                </w:tc>
                <w:tc>
                  <w:tcPr>
                    <w:tcW w:w="1148" w:type="dxa"/>
                  </w:tcPr>
                  <w:p>
                    <w:pPr>
                      <w:widowControl w:val="0"/>
                      <w:jc w:val="right"/>
                      <w:rPr>
                        <w:szCs w:val="21"/>
                      </w:rPr>
                    </w:pPr>
                    <w:r>
                      <w:rPr>
                        <w:rFonts w:hint="eastAsia"/>
                        <w:szCs w:val="21"/>
                      </w:rPr>
                      <w:t>0</w:t>
                    </w:r>
                  </w:p>
                </w:tc>
                <w:tc>
                  <w:tcPr>
                    <w:tcW w:w="1134" w:type="dxa"/>
                  </w:tcPr>
                  <w:p>
                    <w:pPr>
                      <w:widowControl w:val="0"/>
                      <w:jc w:val="right"/>
                      <w:rPr>
                        <w:szCs w:val="21"/>
                      </w:rPr>
                    </w:pPr>
                    <w:r>
                      <w:rPr>
                        <w:rFonts w:hint="eastAsia"/>
                        <w:szCs w:val="21"/>
                      </w:rPr>
                      <w:t>0</w:t>
                    </w:r>
                  </w:p>
                </w:tc>
                <w:tc>
                  <w:tcPr>
                    <w:tcW w:w="1349" w:type="dxa"/>
                  </w:tcPr>
                  <w:p>
                    <w:pPr>
                      <w:widowControl w:val="0"/>
                      <w:jc w:val="right"/>
                      <w:rPr>
                        <w:szCs w:val="21"/>
                      </w:rPr>
                    </w:pPr>
                    <w:r>
                      <w:rPr>
                        <w:rFonts w:hint="eastAsia"/>
                        <w:szCs w:val="21"/>
                      </w:rPr>
                      <w:t>0</w:t>
                    </w:r>
                  </w:p>
                </w:tc>
                <w:tc>
                  <w:tcPr>
                    <w:tcW w:w="1169" w:type="dxa"/>
                  </w:tcPr>
                  <w:p>
                    <w:pPr>
                      <w:widowControl w:val="0"/>
                      <w:jc w:val="both"/>
                      <w:rPr>
                        <w:szCs w:val="21"/>
                      </w:rPr>
                    </w:pPr>
                  </w:p>
                </w:tc>
                <w:tc>
                  <w:tcPr>
                    <w:tcW w:w="1409" w:type="dxa"/>
                  </w:tcPr>
                  <w:p>
                    <w:pPr>
                      <w:widowControl w:val="0"/>
                      <w:jc w:val="right"/>
                      <w:rPr>
                        <w:szCs w:val="21"/>
                      </w:rPr>
                    </w:pPr>
                    <w:r>
                      <w:rPr>
                        <w:rFonts w:hint="eastAsia"/>
                        <w:szCs w:val="21"/>
                      </w:rPr>
                      <w:t>56.60</w:t>
                    </w:r>
                  </w:p>
                </w:tc>
                <w:sdt>
                  <w:sdtPr>
                    <w:rPr>
                      <w:rFonts w:ascii="Times New Roman" w:hAnsi="Times New Roman"/>
                      <w:szCs w:val="21"/>
                    </w:rPr>
                    <w:alias w:val="董事、监事、高级管理人员是否在公司关联方获取报酬"/>
                    <w:tag w:val="_GBC_da1333fb62ea4775ac485783e963c073"/>
                    <w:id w:val="24585683"/>
                    <w:lock w:val="sdtLocked"/>
                    <w:comboBox>
                      <w:listItem w:displayText="是" w:value="是"/>
                      <w:listItem w:displayText="否" w:value="否"/>
                    </w:comboBox>
                  </w:sdtPr>
                  <w:sdtEndPr>
                    <w:rPr>
                      <w:rFonts w:ascii="Times New Roman" w:hAnsi="Times New Roman"/>
                      <w:szCs w:val="21"/>
                    </w:rPr>
                  </w:sdtEndPr>
                  <w:sdtContent>
                    <w:tc>
                      <w:tcPr>
                        <w:tcW w:w="1438" w:type="dxa"/>
                      </w:tcPr>
                      <w:p>
                        <w:pPr>
                          <w:widowControl w:val="0"/>
                          <w:jc w:val="left"/>
                          <w:rPr>
                            <w:szCs w:val="21"/>
                          </w:rPr>
                        </w:pPr>
                        <w:r>
                          <w:rPr>
                            <w:szCs w:val="21"/>
                          </w:rPr>
                          <w:t>否</w:t>
                        </w:r>
                      </w:p>
                    </w:tc>
                  </w:sdtContent>
                </w:sdt>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tag w:val="_PLD_77b6527cdbc6498fb05d720c497cd5ff"/>
                <w:id w:val="-1807922604"/>
                <w:lock w:val="sdtLocked"/>
              </w:sdtPr>
              <w:sdtContent>
                <w:tc>
                  <w:tcPr>
                    <w:tcW w:w="1054" w:type="dxa"/>
                    <w:tcBorders>
                      <w:bottom w:val="single" w:color="auto" w:sz="4" w:space="0"/>
                    </w:tcBorders>
                    <w:vAlign w:val="center"/>
                  </w:tcPr>
                  <w:p>
                    <w:pPr>
                      <w:widowControl w:val="0"/>
                      <w:jc w:val="center"/>
                      <w:rPr>
                        <w:szCs w:val="21"/>
                      </w:rPr>
                    </w:pPr>
                    <w:r>
                      <w:rPr>
                        <w:rFonts w:hint="eastAsia"/>
                        <w:szCs w:val="21"/>
                      </w:rPr>
                      <w:t>合计</w:t>
                    </w:r>
                  </w:p>
                </w:tc>
              </w:sdtContent>
            </w:sdt>
            <w:tc>
              <w:tcPr>
                <w:tcW w:w="1159" w:type="dxa"/>
                <w:tcBorders>
                  <w:bottom w:val="single" w:color="auto" w:sz="4" w:space="0"/>
                </w:tcBorders>
              </w:tcPr>
              <w:p>
                <w:pPr>
                  <w:widowControl w:val="0"/>
                  <w:jc w:val="center"/>
                  <w:rPr>
                    <w:szCs w:val="21"/>
                  </w:rPr>
                </w:pPr>
                <w:r>
                  <w:rPr>
                    <w:rFonts w:hint="eastAsia"/>
                    <w:szCs w:val="21"/>
                  </w:rPr>
                  <w:t>/</w:t>
                </w:r>
              </w:p>
            </w:tc>
            <w:tc>
              <w:tcPr>
                <w:tcW w:w="852" w:type="dxa"/>
                <w:tcBorders>
                  <w:bottom w:val="single" w:color="auto" w:sz="4" w:space="0"/>
                </w:tcBorders>
              </w:tcPr>
              <w:p>
                <w:pPr>
                  <w:widowControl w:val="0"/>
                  <w:jc w:val="center"/>
                  <w:rPr>
                    <w:szCs w:val="21"/>
                  </w:rPr>
                </w:pPr>
                <w:r>
                  <w:rPr>
                    <w:rFonts w:hint="eastAsia"/>
                    <w:szCs w:val="21"/>
                  </w:rPr>
                  <w:t>/</w:t>
                </w:r>
              </w:p>
            </w:tc>
            <w:tc>
              <w:tcPr>
                <w:tcW w:w="852" w:type="dxa"/>
                <w:tcBorders>
                  <w:bottom w:val="single" w:color="auto" w:sz="4" w:space="0"/>
                </w:tcBorders>
              </w:tcPr>
              <w:p>
                <w:pPr>
                  <w:widowControl w:val="0"/>
                  <w:jc w:val="center"/>
                  <w:rPr>
                    <w:szCs w:val="21"/>
                  </w:rPr>
                </w:pPr>
                <w:r>
                  <w:rPr>
                    <w:rFonts w:hint="eastAsia"/>
                    <w:szCs w:val="21"/>
                  </w:rPr>
                  <w:t>/</w:t>
                </w:r>
              </w:p>
            </w:tc>
            <w:tc>
              <w:tcPr>
                <w:tcW w:w="1266" w:type="dxa"/>
                <w:tcBorders>
                  <w:bottom w:val="single" w:color="auto" w:sz="4" w:space="0"/>
                </w:tcBorders>
              </w:tcPr>
              <w:p>
                <w:pPr>
                  <w:widowControl w:val="0"/>
                  <w:jc w:val="center"/>
                  <w:rPr>
                    <w:szCs w:val="21"/>
                  </w:rPr>
                </w:pPr>
                <w:r>
                  <w:rPr>
                    <w:rFonts w:hint="eastAsia"/>
                    <w:szCs w:val="21"/>
                  </w:rPr>
                  <w:t>/</w:t>
                </w:r>
              </w:p>
            </w:tc>
            <w:tc>
              <w:tcPr>
                <w:tcW w:w="1266" w:type="dxa"/>
                <w:tcBorders>
                  <w:bottom w:val="single" w:color="auto" w:sz="4" w:space="0"/>
                </w:tcBorders>
              </w:tcPr>
              <w:p>
                <w:pPr>
                  <w:widowControl w:val="0"/>
                  <w:jc w:val="center"/>
                  <w:rPr>
                    <w:szCs w:val="21"/>
                  </w:rPr>
                </w:pPr>
                <w:r>
                  <w:rPr>
                    <w:rFonts w:hint="eastAsia"/>
                    <w:szCs w:val="21"/>
                  </w:rPr>
                  <w:t>/</w:t>
                </w:r>
              </w:p>
            </w:tc>
            <w:tc>
              <w:tcPr>
                <w:tcW w:w="1148" w:type="dxa"/>
                <w:tcBorders>
                  <w:bottom w:val="single" w:color="auto" w:sz="4" w:space="0"/>
                </w:tcBorders>
              </w:tcPr>
              <w:p>
                <w:pPr>
                  <w:widowControl w:val="0"/>
                  <w:jc w:val="right"/>
                  <w:rPr>
                    <w:szCs w:val="21"/>
                  </w:rPr>
                </w:pPr>
                <w:r>
                  <w:rPr>
                    <w:szCs w:val="21"/>
                  </w:rPr>
                  <w:t>60,000</w:t>
                </w:r>
              </w:p>
            </w:tc>
            <w:tc>
              <w:tcPr>
                <w:tcW w:w="1134" w:type="dxa"/>
                <w:tcBorders>
                  <w:bottom w:val="single" w:color="auto" w:sz="4" w:space="0"/>
                </w:tcBorders>
              </w:tcPr>
              <w:p>
                <w:pPr>
                  <w:widowControl w:val="0"/>
                  <w:jc w:val="right"/>
                  <w:rPr>
                    <w:szCs w:val="21"/>
                  </w:rPr>
                </w:pPr>
                <w:r>
                  <w:rPr>
                    <w:szCs w:val="21"/>
                  </w:rPr>
                  <w:t>60,000</w:t>
                </w:r>
              </w:p>
            </w:tc>
            <w:tc>
              <w:tcPr>
                <w:tcW w:w="1349" w:type="dxa"/>
                <w:tcBorders>
                  <w:bottom w:val="single" w:color="auto" w:sz="4" w:space="0"/>
                </w:tcBorders>
              </w:tcPr>
              <w:p>
                <w:pPr>
                  <w:widowControl w:val="0"/>
                  <w:jc w:val="right"/>
                  <w:rPr>
                    <w:szCs w:val="21"/>
                  </w:rPr>
                </w:pPr>
                <w:r>
                  <w:rPr>
                    <w:szCs w:val="21"/>
                  </w:rPr>
                  <w:t>0</w:t>
                </w:r>
              </w:p>
            </w:tc>
            <w:tc>
              <w:tcPr>
                <w:tcW w:w="1169" w:type="dxa"/>
                <w:tcBorders>
                  <w:bottom w:val="single" w:color="auto" w:sz="4" w:space="0"/>
                </w:tcBorders>
              </w:tcPr>
              <w:p>
                <w:pPr>
                  <w:widowControl w:val="0"/>
                  <w:jc w:val="center"/>
                  <w:rPr>
                    <w:szCs w:val="21"/>
                  </w:rPr>
                </w:pPr>
                <w:r>
                  <w:rPr>
                    <w:rFonts w:hint="eastAsia"/>
                    <w:szCs w:val="21"/>
                  </w:rPr>
                  <w:t>/</w:t>
                </w:r>
              </w:p>
            </w:tc>
            <w:tc>
              <w:tcPr>
                <w:tcW w:w="1409" w:type="dxa"/>
                <w:tcBorders>
                  <w:bottom w:val="single" w:color="auto" w:sz="4" w:space="0"/>
                </w:tcBorders>
              </w:tcPr>
              <w:p>
                <w:pPr>
                  <w:widowControl w:val="0"/>
                  <w:jc w:val="right"/>
                  <w:rPr>
                    <w:szCs w:val="21"/>
                  </w:rPr>
                </w:pPr>
                <w:r>
                  <w:rPr>
                    <w:szCs w:val="21"/>
                  </w:rPr>
                  <w:t>763.65</w:t>
                </w:r>
              </w:p>
            </w:tc>
            <w:tc>
              <w:tcPr>
                <w:tcW w:w="1438" w:type="dxa"/>
                <w:tcBorders>
                  <w:bottom w:val="single" w:color="auto" w:sz="4" w:space="0"/>
                </w:tcBorders>
              </w:tcPr>
              <w:p>
                <w:pPr>
                  <w:widowControl w:val="0"/>
                  <w:jc w:val="center"/>
                  <w:rPr>
                    <w:szCs w:val="21"/>
                  </w:rPr>
                </w:pPr>
                <w:r>
                  <w:rPr>
                    <w:rFonts w:hint="eastAsia"/>
                    <w:szCs w:val="21"/>
                  </w:rPr>
                  <w:t>/</w:t>
                </w:r>
              </w:p>
            </w:tc>
          </w:tr>
        </w:tbl>
        <w:p>
          <w:pPr>
            <w:rPr>
              <w:szCs w:val="21"/>
            </w:rPr>
          </w:pPr>
        </w:p>
        <w:tbl>
          <w:tblPr>
            <w:tblStyle w:val="41"/>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5c1f79c7f9c4946bb463f07c6f916bb"/>
                <w:id w:val="24585978"/>
                <w:lock w:val="sdtLocked"/>
              </w:sdtPr>
              <w:sdtContent>
                <w:tc>
                  <w:tcPr>
                    <w:tcW w:w="1384" w:type="dxa"/>
                    <w:vAlign w:val="center"/>
                  </w:tcPr>
                  <w:p>
                    <w:pPr>
                      <w:widowControl w:val="0"/>
                      <w:jc w:val="center"/>
                      <w:rPr>
                        <w:szCs w:val="21"/>
                      </w:rPr>
                    </w:pPr>
                    <w:r>
                      <w:rPr>
                        <w:rFonts w:hint="eastAsia"/>
                        <w:szCs w:val="21"/>
                      </w:rPr>
                      <w:t>姓名</w:t>
                    </w:r>
                  </w:p>
                </w:tc>
              </w:sdtContent>
            </w:sdt>
            <w:sdt>
              <w:sdtPr>
                <w:tag w:val="_PLD_80fad23c67fe4eb0bfdd5fd9d3da7e37"/>
                <w:id w:val="24585979"/>
                <w:lock w:val="sdtLocked"/>
              </w:sdtPr>
              <w:sdtContent>
                <w:tc>
                  <w:tcPr>
                    <w:tcW w:w="12705" w:type="dxa"/>
                    <w:vAlign w:val="center"/>
                  </w:tcPr>
                  <w:p>
                    <w:pPr>
                      <w:widowControl w:val="0"/>
                      <w:jc w:val="center"/>
                      <w:rPr>
                        <w:szCs w:val="21"/>
                      </w:rPr>
                    </w:pPr>
                    <w:r>
                      <w:rPr>
                        <w:szCs w:val="21"/>
                      </w:rPr>
                      <w:t>主要工作经历</w:t>
                    </w:r>
                  </w:p>
                </w:tc>
              </w:sdtContent>
            </w:sdt>
          </w:tr>
          <w:sdt>
            <w:sdtPr>
              <w:rPr>
                <w:rFonts w:hint="eastAsia" w:asciiTheme="minorHAnsi" w:hAnsiTheme="minorHAnsi" w:eastAsiaTheme="minorEastAsia" w:cstheme="minorBidi"/>
                <w:kern w:val="2"/>
                <w:szCs w:val="21"/>
              </w:rPr>
              <w:alias w:val="董事、监事、高级管理人员基本情况"/>
              <w:tag w:val="_TUP_d77da575496d413a9ca8b8227d3ac337"/>
              <w:id w:val="24585980"/>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陈有升</w:t>
                    </w:r>
                  </w:p>
                </w:tc>
                <w:tc>
                  <w:tcPr>
                    <w:tcW w:w="12705" w:type="dxa"/>
                  </w:tcPr>
                  <w:p>
                    <w:pPr>
                      <w:widowControl w:val="0"/>
                      <w:jc w:val="both"/>
                      <w:rPr>
                        <w:szCs w:val="21"/>
                      </w:rPr>
                    </w:pPr>
                    <w:r>
                      <w:rPr>
                        <w:rFonts w:hint="eastAsia"/>
                        <w:szCs w:val="21"/>
                      </w:rPr>
                      <w:t>曾任公司烧结厂厂长、公司监事、集团公司机动工程部部长；现任公司董事长、党委书记。</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81"/>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李永松</w:t>
                    </w:r>
                  </w:p>
                </w:tc>
                <w:tc>
                  <w:tcPr>
                    <w:tcW w:w="12705" w:type="dxa"/>
                  </w:tcPr>
                  <w:p>
                    <w:pPr>
                      <w:widowControl w:val="0"/>
                      <w:jc w:val="both"/>
                      <w:rPr>
                        <w:szCs w:val="21"/>
                      </w:rPr>
                    </w:pPr>
                    <w:r>
                      <w:rPr>
                        <w:rFonts w:hint="eastAsia"/>
                        <w:szCs w:val="21"/>
                      </w:rPr>
                      <w:t>曾任集团公司热轧板带厂厂长、公司董事长、党委书记。</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82"/>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施沛润</w:t>
                    </w:r>
                  </w:p>
                </w:tc>
                <w:tc>
                  <w:tcPr>
                    <w:tcW w:w="12705" w:type="dxa"/>
                  </w:tcPr>
                  <w:p>
                    <w:pPr>
                      <w:widowControl w:val="0"/>
                      <w:jc w:val="both"/>
                      <w:rPr>
                        <w:szCs w:val="21"/>
                      </w:rPr>
                    </w:pPr>
                    <w:r>
                      <w:rPr>
                        <w:rFonts w:hint="eastAsia"/>
                        <w:szCs w:val="21"/>
                      </w:rPr>
                      <w:t>曾任公司焦化厂厂长，技术中心主任，公司董事、董事长；现任公司董事，集团公司董事、副总经理、科协副主席</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83"/>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甘贵平</w:t>
                    </w:r>
                  </w:p>
                </w:tc>
                <w:tc>
                  <w:tcPr>
                    <w:tcW w:w="12705" w:type="dxa"/>
                  </w:tcPr>
                  <w:p>
                    <w:pPr>
                      <w:widowControl w:val="0"/>
                      <w:jc w:val="both"/>
                      <w:rPr>
                        <w:szCs w:val="21"/>
                      </w:rPr>
                    </w:pPr>
                    <w:r>
                      <w:rPr>
                        <w:rFonts w:hint="eastAsia"/>
                        <w:szCs w:val="21"/>
                      </w:rPr>
                      <w:t>曾任经销公司经理，公司副总经理，集团公司副总经济师、副总经理、总经理、党委副书记、科协主席；现任公司董事，集团公司副董事长、总经理、党委副书记、科协主席。</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84"/>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潘世庆</w:t>
                    </w:r>
                  </w:p>
                </w:tc>
                <w:tc>
                  <w:tcPr>
                    <w:tcW w:w="12705" w:type="dxa"/>
                  </w:tcPr>
                  <w:p>
                    <w:pPr>
                      <w:widowControl w:val="0"/>
                      <w:jc w:val="both"/>
                      <w:rPr>
                        <w:szCs w:val="21"/>
                      </w:rPr>
                    </w:pPr>
                    <w:r>
                      <w:rPr>
                        <w:rFonts w:hint="eastAsia"/>
                        <w:szCs w:val="21"/>
                      </w:rPr>
                      <w:t>曾任广西壮族自治区国有资产监督管理委员会处长、副主任；现任公司董事，集团公司董事长、党委书记</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85"/>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张奕</w:t>
                    </w:r>
                  </w:p>
                </w:tc>
                <w:tc>
                  <w:tcPr>
                    <w:tcW w:w="12705" w:type="dxa"/>
                  </w:tcPr>
                  <w:p>
                    <w:pPr>
                      <w:widowControl w:val="0"/>
                      <w:jc w:val="both"/>
                      <w:rPr>
                        <w:szCs w:val="21"/>
                      </w:rPr>
                    </w:pPr>
                    <w:r>
                      <w:rPr>
                        <w:rFonts w:hint="eastAsia"/>
                        <w:szCs w:val="21"/>
                      </w:rPr>
                      <w:t>曾任公司财务部副部长，集团公司资产财务部部长、党委书记，集团公司副总会计师；现任公司董事，集团公司总会计师。</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86"/>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罗军</w:t>
                    </w:r>
                  </w:p>
                </w:tc>
                <w:tc>
                  <w:tcPr>
                    <w:tcW w:w="12705" w:type="dxa"/>
                  </w:tcPr>
                  <w:p>
                    <w:pPr>
                      <w:widowControl w:val="0"/>
                      <w:jc w:val="both"/>
                      <w:rPr>
                        <w:szCs w:val="21"/>
                      </w:rPr>
                    </w:pPr>
                    <w:r>
                      <w:rPr>
                        <w:rFonts w:hint="eastAsia"/>
                        <w:szCs w:val="21"/>
                      </w:rPr>
                      <w:t>曾任集团公司热轧厂党委书记、副厂长、纪委书记、工会主席，集团公司总经理助理，信息管理部部长；现任公司董事，集团公司副总经理、总工程师。</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87"/>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阎骏</w:t>
                    </w:r>
                  </w:p>
                </w:tc>
                <w:tc>
                  <w:tcPr>
                    <w:tcW w:w="12705" w:type="dxa"/>
                  </w:tcPr>
                  <w:p>
                    <w:pPr>
                      <w:widowControl w:val="0"/>
                      <w:jc w:val="both"/>
                      <w:rPr>
                        <w:szCs w:val="21"/>
                      </w:rPr>
                    </w:pPr>
                    <w:r>
                      <w:rPr>
                        <w:rFonts w:hint="eastAsia"/>
                        <w:szCs w:val="21"/>
                      </w:rPr>
                      <w:t>曾任公司焦化厂厂长、机动工程部部长、公司总经理；现任公司董事，集团公司副总经理。</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88"/>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黄国君</w:t>
                    </w:r>
                  </w:p>
                </w:tc>
                <w:tc>
                  <w:tcPr>
                    <w:tcW w:w="12705" w:type="dxa"/>
                  </w:tcPr>
                  <w:p>
                    <w:pPr>
                      <w:widowControl w:val="0"/>
                      <w:jc w:val="both"/>
                      <w:rPr>
                        <w:szCs w:val="21"/>
                      </w:rPr>
                    </w:pPr>
                    <w:r>
                      <w:rPr>
                        <w:rFonts w:hint="eastAsia"/>
                        <w:szCs w:val="21"/>
                      </w:rPr>
                      <w:t>曾任中国航空学会第七届理事会结构设计及强度专业委员会委员，现任中国科学院力学研究所流固耦合系统力学重点实验室，副研究员，兼任中国力学学会反应堆结构力学专业委员会委员、中国振动学会结构动力学专业委员会委员。</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89"/>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袁公章</w:t>
                    </w:r>
                  </w:p>
                </w:tc>
                <w:tc>
                  <w:tcPr>
                    <w:tcW w:w="12705" w:type="dxa"/>
                  </w:tcPr>
                  <w:p>
                    <w:pPr>
                      <w:widowControl w:val="0"/>
                      <w:jc w:val="both"/>
                      <w:rPr>
                        <w:szCs w:val="21"/>
                      </w:rPr>
                    </w:pPr>
                    <w:r>
                      <w:rPr>
                        <w:rFonts w:hint="eastAsia"/>
                        <w:szCs w:val="21"/>
                      </w:rPr>
                      <w:t>曾任广西壮族自治区律师协会副会长，广西企业法制建设协会副会长，中华全国律师协会破产与重组专业委员会委员、中华全国律师协会律师事务所建设指导委员会委员，广西司法厅、广西律协企业律师服务团企业改革服务组副组长，广西区经委顾问专家指导委员会专家、南宁市仲裁委仲裁员，现任北京大成（南宁）律师事务所专职律师，高级合伙人。</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90"/>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李骅</w:t>
                    </w:r>
                  </w:p>
                </w:tc>
                <w:tc>
                  <w:tcPr>
                    <w:tcW w:w="12705" w:type="dxa"/>
                  </w:tcPr>
                  <w:p>
                    <w:pPr>
                      <w:widowControl w:val="0"/>
                      <w:jc w:val="both"/>
                      <w:rPr>
                        <w:szCs w:val="21"/>
                      </w:rPr>
                    </w:pPr>
                    <w:r>
                      <w:rPr>
                        <w:rFonts w:hint="eastAsia"/>
                        <w:szCs w:val="21"/>
                      </w:rPr>
                      <w:t>注册会计师，现任广西天华会计师事务所有限责任公司所长（主任会计师）。</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91"/>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赵峰</w:t>
                    </w:r>
                  </w:p>
                </w:tc>
                <w:tc>
                  <w:tcPr>
                    <w:tcW w:w="12705" w:type="dxa"/>
                  </w:tcPr>
                  <w:p>
                    <w:pPr>
                      <w:widowControl w:val="0"/>
                      <w:jc w:val="both"/>
                      <w:rPr>
                        <w:szCs w:val="21"/>
                      </w:rPr>
                    </w:pPr>
                    <w:r>
                      <w:rPr>
                        <w:rFonts w:hint="eastAsia"/>
                        <w:szCs w:val="21"/>
                      </w:rPr>
                      <w:t>曾任山东钢铁集团有限公司钢铁研究院科研规划部部长，正略钧策管理咨询高级顾问；现任冶金工业规划研究院总设计师、经济处处长。</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92"/>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梁培发</w:t>
                    </w:r>
                  </w:p>
                </w:tc>
                <w:tc>
                  <w:tcPr>
                    <w:tcW w:w="12705" w:type="dxa"/>
                  </w:tcPr>
                  <w:p>
                    <w:pPr>
                      <w:widowControl w:val="0"/>
                      <w:jc w:val="both"/>
                      <w:rPr>
                        <w:szCs w:val="21"/>
                      </w:rPr>
                    </w:pPr>
                    <w:r>
                      <w:rPr>
                        <w:rFonts w:hint="eastAsia"/>
                        <w:szCs w:val="21"/>
                      </w:rPr>
                      <w:t>曾任集团公司企划部副部长；现任公司纪委书记、工会主席、监事会主席，集团公司审监部法务部部长、党支部书记。</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93"/>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林承格</w:t>
                    </w:r>
                  </w:p>
                </w:tc>
                <w:tc>
                  <w:tcPr>
                    <w:tcW w:w="12705" w:type="dxa"/>
                  </w:tcPr>
                  <w:p>
                    <w:pPr>
                      <w:widowControl w:val="0"/>
                      <w:jc w:val="both"/>
                      <w:rPr>
                        <w:szCs w:val="21"/>
                      </w:rPr>
                    </w:pPr>
                    <w:r>
                      <w:t>曾任集团公司董事、党委副书记、工会主席、公司监事会主席。</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94"/>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甘牧原</w:t>
                    </w:r>
                  </w:p>
                </w:tc>
                <w:tc>
                  <w:tcPr>
                    <w:tcW w:w="12705" w:type="dxa"/>
                  </w:tcPr>
                  <w:p>
                    <w:pPr>
                      <w:widowControl w:val="0"/>
                      <w:jc w:val="both"/>
                      <w:rPr>
                        <w:szCs w:val="21"/>
                      </w:rPr>
                    </w:pPr>
                    <w:r>
                      <w:rPr>
                        <w:rFonts w:hint="eastAsia"/>
                        <w:szCs w:val="21"/>
                      </w:rPr>
                      <w:t>曾任柳州瑞昱钢铁国际贸易有限公司副总经理，柳钢集团国贸公司党支部副书记、副总经理；现任公司监事、烧结厂厂长。</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95"/>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韩宗桂</w:t>
                    </w:r>
                  </w:p>
                </w:tc>
                <w:tc>
                  <w:tcPr>
                    <w:tcW w:w="12705" w:type="dxa"/>
                  </w:tcPr>
                  <w:p>
                    <w:pPr>
                      <w:widowControl w:val="0"/>
                      <w:jc w:val="both"/>
                      <w:rPr>
                        <w:szCs w:val="21"/>
                      </w:rPr>
                    </w:pPr>
                    <w:r>
                      <w:rPr>
                        <w:rFonts w:hint="eastAsia"/>
                        <w:szCs w:val="21"/>
                      </w:rPr>
                      <w:t>曾任广西壮族自治区国资委办公室（党委办公室）主任兼机关服务中心主任、机关党委专职副书记、广西壮族自治区国资委党建工作处（党委组织部）处长；现任公司监事，集团公司党委副书记、工会主席、董事。</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96"/>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莫朝兴</w:t>
                    </w:r>
                  </w:p>
                </w:tc>
                <w:tc>
                  <w:tcPr>
                    <w:tcW w:w="12705" w:type="dxa"/>
                  </w:tcPr>
                  <w:p>
                    <w:pPr>
                      <w:widowControl w:val="0"/>
                      <w:jc w:val="both"/>
                      <w:rPr>
                        <w:szCs w:val="21"/>
                      </w:rPr>
                    </w:pPr>
                    <w:r>
                      <w:rPr>
                        <w:rFonts w:hint="eastAsia"/>
                        <w:szCs w:val="21"/>
                      </w:rPr>
                      <w:t>曾任公司炼铁厂副厂长；现任公司监事、炼铁厂厂长。</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97"/>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阮志勇</w:t>
                    </w:r>
                  </w:p>
                </w:tc>
                <w:tc>
                  <w:tcPr>
                    <w:tcW w:w="12705" w:type="dxa"/>
                  </w:tcPr>
                  <w:p>
                    <w:pPr>
                      <w:widowControl w:val="0"/>
                      <w:jc w:val="both"/>
                      <w:rPr>
                        <w:szCs w:val="21"/>
                      </w:rPr>
                    </w:pPr>
                    <w:r>
                      <w:rPr>
                        <w:rFonts w:hint="eastAsia"/>
                        <w:szCs w:val="21"/>
                      </w:rPr>
                      <w:t>曾任公司烧结厂副厂长；现任公司监事，技术中心党委书记、副主任。</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98"/>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覃佩诚</w:t>
                    </w:r>
                  </w:p>
                </w:tc>
                <w:tc>
                  <w:tcPr>
                    <w:tcW w:w="12705" w:type="dxa"/>
                  </w:tcPr>
                  <w:p>
                    <w:pPr>
                      <w:widowControl w:val="0"/>
                      <w:jc w:val="both"/>
                      <w:rPr>
                        <w:szCs w:val="21"/>
                      </w:rPr>
                    </w:pPr>
                    <w:r>
                      <w:rPr>
                        <w:rFonts w:hint="eastAsia"/>
                        <w:szCs w:val="21"/>
                      </w:rPr>
                      <w:t>曾任柳钢集团矿业公司经理、柳钢集团国贸公司董事长；现任公司党委副书记、总经理。</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5999"/>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班俊超</w:t>
                    </w:r>
                  </w:p>
                </w:tc>
                <w:tc>
                  <w:tcPr>
                    <w:tcW w:w="12705" w:type="dxa"/>
                  </w:tcPr>
                  <w:p>
                    <w:pPr>
                      <w:widowControl w:val="0"/>
                      <w:jc w:val="both"/>
                      <w:rPr>
                        <w:szCs w:val="21"/>
                      </w:rPr>
                    </w:pPr>
                    <w:r>
                      <w:rPr>
                        <w:rFonts w:hint="eastAsia"/>
                        <w:szCs w:val="21"/>
                      </w:rPr>
                      <w:t>曾任公司证券部部长、综合管理部副部长、董事会秘书；现任公司副总经理。</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6000"/>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黄元民</w:t>
                    </w:r>
                  </w:p>
                </w:tc>
                <w:tc>
                  <w:tcPr>
                    <w:tcW w:w="12705" w:type="dxa"/>
                  </w:tcPr>
                  <w:p>
                    <w:pPr>
                      <w:widowControl w:val="0"/>
                      <w:jc w:val="both"/>
                      <w:rPr>
                        <w:szCs w:val="21"/>
                      </w:rPr>
                    </w:pPr>
                    <w:r>
                      <w:rPr>
                        <w:rFonts w:hint="eastAsia"/>
                        <w:szCs w:val="21"/>
                      </w:rPr>
                      <w:t>曾任集团公司总经理办公室主任、副总工程师，公司转炉厂厂长、技术中心主任，公司副总经理、总经理。</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6001"/>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裴侃</w:t>
                    </w:r>
                  </w:p>
                </w:tc>
                <w:tc>
                  <w:tcPr>
                    <w:tcW w:w="12705" w:type="dxa"/>
                  </w:tcPr>
                  <w:p>
                    <w:pPr>
                      <w:widowControl w:val="0"/>
                      <w:jc w:val="both"/>
                      <w:rPr>
                        <w:szCs w:val="21"/>
                      </w:rPr>
                    </w:pPr>
                    <w:r>
                      <w:rPr>
                        <w:rFonts w:hint="eastAsia"/>
                        <w:szCs w:val="21"/>
                      </w:rPr>
                      <w:t>曾任广西有色金属集团冶金有限公司董事、广西有色金属集团有限公司投资产权部副经理、柳钢集团资产经营管理有限公司总经理；现任公司副总经理、董事会秘书。</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6002"/>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杜忠军</w:t>
                    </w:r>
                  </w:p>
                </w:tc>
                <w:tc>
                  <w:tcPr>
                    <w:tcW w:w="12705" w:type="dxa"/>
                  </w:tcPr>
                  <w:p>
                    <w:pPr>
                      <w:widowControl w:val="0"/>
                      <w:jc w:val="both"/>
                      <w:rPr>
                        <w:szCs w:val="21"/>
                      </w:rPr>
                    </w:pPr>
                    <w:r>
                      <w:rPr>
                        <w:rFonts w:hint="eastAsia"/>
                        <w:szCs w:val="21"/>
                      </w:rPr>
                      <w:t>曾任公司财务部驻中板厂财务科科长；现任公司副总会计师、财务部副部长。</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6003"/>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王世辉</w:t>
                    </w:r>
                  </w:p>
                </w:tc>
                <w:tc>
                  <w:tcPr>
                    <w:tcW w:w="12705" w:type="dxa"/>
                  </w:tcPr>
                  <w:p>
                    <w:pPr>
                      <w:widowControl w:val="0"/>
                      <w:jc w:val="both"/>
                      <w:rPr>
                        <w:szCs w:val="21"/>
                      </w:rPr>
                    </w:pPr>
                    <w:r>
                      <w:rPr>
                        <w:rFonts w:hint="eastAsia"/>
                        <w:szCs w:val="21"/>
                      </w:rPr>
                      <w:t>曾任公司物资公司副经理，原燃料部党组织书记、副部长，公司副总经理</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6004"/>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韦军尤</w:t>
                    </w:r>
                  </w:p>
                </w:tc>
                <w:tc>
                  <w:tcPr>
                    <w:tcW w:w="12705" w:type="dxa"/>
                  </w:tcPr>
                  <w:p>
                    <w:pPr>
                      <w:widowControl w:val="0"/>
                      <w:jc w:val="both"/>
                      <w:rPr>
                        <w:szCs w:val="21"/>
                      </w:rPr>
                    </w:pPr>
                    <w:r>
                      <w:rPr>
                        <w:rFonts w:hint="eastAsia"/>
                        <w:szCs w:val="21"/>
                      </w:rPr>
                      <w:t>曾任公司转炉炼钢厂副厂长；现任公司副总经理、转炉厂厂长。</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6005"/>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熊小明</w:t>
                    </w:r>
                  </w:p>
                </w:tc>
                <w:tc>
                  <w:tcPr>
                    <w:tcW w:w="12705" w:type="dxa"/>
                  </w:tcPr>
                  <w:p>
                    <w:pPr>
                      <w:widowControl w:val="0"/>
                      <w:jc w:val="both"/>
                      <w:rPr>
                        <w:szCs w:val="21"/>
                      </w:rPr>
                    </w:pPr>
                    <w:r>
                      <w:rPr>
                        <w:rFonts w:hint="eastAsia"/>
                        <w:szCs w:val="21"/>
                      </w:rPr>
                      <w:t>曾任经销公司副经理；现任公司副总经理、经销公司经理。</w:t>
                    </w:r>
                  </w:p>
                </w:tc>
              </w:tr>
            </w:sdtContent>
          </w:sdt>
          <w:sdt>
            <w:sdtPr>
              <w:rPr>
                <w:rFonts w:hint="eastAsia" w:asciiTheme="minorHAnsi" w:hAnsiTheme="minorHAnsi" w:eastAsiaTheme="minorEastAsia" w:cstheme="minorBidi"/>
                <w:kern w:val="2"/>
                <w:szCs w:val="21"/>
              </w:rPr>
              <w:alias w:val="董事、监事、高级管理人员基本情况"/>
              <w:tag w:val="_TUP_d77da575496d413a9ca8b8227d3ac337"/>
              <w:id w:val="24586006"/>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widowControl w:val="0"/>
                      <w:jc w:val="both"/>
                      <w:rPr>
                        <w:szCs w:val="21"/>
                      </w:rPr>
                    </w:pPr>
                    <w:r>
                      <w:rPr>
                        <w:rFonts w:hint="eastAsia"/>
                        <w:szCs w:val="21"/>
                      </w:rPr>
                      <w:t>覃强</w:t>
                    </w:r>
                  </w:p>
                </w:tc>
                <w:tc>
                  <w:tcPr>
                    <w:tcW w:w="12705" w:type="dxa"/>
                  </w:tcPr>
                  <w:p>
                    <w:pPr>
                      <w:widowControl w:val="0"/>
                      <w:jc w:val="both"/>
                      <w:rPr>
                        <w:szCs w:val="21"/>
                      </w:rPr>
                    </w:pPr>
                    <w:r>
                      <w:rPr>
                        <w:rFonts w:hint="eastAsia"/>
                        <w:szCs w:val="21"/>
                      </w:rPr>
                      <w:t>曾任公司转炉炼钢厂党委书记、工会主席、副厂长；现任公司副总经理、总调度室总调度长。</w:t>
                    </w:r>
                  </w:p>
                </w:tc>
              </w:tr>
            </w:sdtContent>
          </w:sdt>
        </w:tbl>
        <w:p/>
        <w:p>
          <w:pPr>
            <w:rPr>
              <w:szCs w:val="21"/>
            </w:rPr>
          </w:pPr>
          <w:r>
            <w:rPr>
              <w:szCs w:val="21"/>
            </w:rPr>
            <w:t>其它情况说明</w:t>
          </w:r>
        </w:p>
        <w:sdt>
          <w:sdtPr>
            <w:rPr>
              <w:szCs w:val="21"/>
            </w:rPr>
            <w:alias w:val="是否适用：董事、监事 和高级管理人员持股变动及报酬情况其他情况说明[双击切换]"/>
            <w:tag w:val="_GBC_149b0087b50746ab832499e3f006aa21"/>
            <w:id w:val="1832338313"/>
            <w:lock w:val="sdtContentLocked"/>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MACROBUTTON  SnrToggleCheckbox √不适用 </w:instrText>
              </w:r>
              <w:r>
                <w:rPr>
                  <w:szCs w:val="21"/>
                </w:rPr>
                <w:fldChar w:fldCharType="end"/>
              </w:r>
            </w:p>
          </w:sdtContent>
        </w:sdt>
        <w:sdt>
          <w:sdtPr>
            <w:rPr>
              <w:szCs w:val="21"/>
            </w:rPr>
            <w:alias w:val="董事、监事和高级管理人员持股变动及报酬其他情况说明"/>
            <w:tag w:val="_GBC_f21c3547182e4d2cbd38fd86e2d30b17"/>
            <w:id w:val="45263402"/>
            <w:lock w:val="sdtLocked"/>
            <w:showingPlcHdr/>
          </w:sdtPr>
          <w:sdtEndPr>
            <w:rPr>
              <w:szCs w:val="21"/>
            </w:rPr>
          </w:sdtEndPr>
          <w:sdtContent>
            <w:p>
              <w:pPr>
                <w:rPr>
                  <w:szCs w:val="21"/>
                </w:rPr>
              </w:pPr>
              <w:r>
                <w:rPr>
                  <w:rFonts w:hint="eastAsia"/>
                  <w:color w:val="333399"/>
                  <w:u w:val="single"/>
                </w:rPr>
                <w:t>　　　</w:t>
              </w:r>
            </w:p>
          </w:sdtContent>
        </w:sdt>
        <w:p>
          <w:pPr>
            <w:rPr>
              <w:szCs w:val="21"/>
            </w:rPr>
          </w:pPr>
        </w:p>
      </w:sdtContent>
    </w:sdt>
    <w:p>
      <w:pPr>
        <w:rPr>
          <w:szCs w:val="21"/>
        </w:rPr>
      </w:pPr>
    </w:p>
    <w:bookmarkEnd w:id="60"/>
    <w:bookmarkEnd w:id="61"/>
    <w:p>
      <w:pPr>
        <w:pStyle w:val="4"/>
        <w:rPr>
          <w:szCs w:val="21"/>
        </w:rPr>
      </w:pPr>
      <w:bookmarkStart w:id="62" w:name="_Toc342566005"/>
      <w:bookmarkStart w:id="63" w:name="_Toc342057945"/>
      <w:r>
        <w:rPr>
          <w:rFonts w:hint="eastAsia"/>
          <w:szCs w:val="21"/>
        </w:rPr>
        <w:t>(二)董事、高级管理人员报告期内被授予的股权激励情况</w:t>
      </w:r>
      <w:bookmarkEnd w:id="62"/>
      <w:bookmarkEnd w:id="63"/>
    </w:p>
    <w:p>
      <w:pPr>
        <w:kinsoku w:val="0"/>
        <w:overflowPunct w:val="0"/>
        <w:autoSpaceDE w:val="0"/>
        <w:autoSpaceDN w:val="0"/>
        <w:adjustRightInd w:val="0"/>
        <w:snapToGrid w:val="0"/>
      </w:pPr>
      <w:sdt>
        <w:sdtPr>
          <w:rPr>
            <w:rFonts w:hint="eastAsia"/>
            <w:szCs w:val="21"/>
          </w:rPr>
          <w:alias w:val="是否适用：董事、监事、高级管理人员报告期内被授予的股权激励情况[双击切换]"/>
          <w:tag w:val="_GBC_c2d0a53ac8044ce0b5022c6f5ccdc0a9"/>
          <w:id w:val="6773564"/>
          <w:lock w:val="sdtContentLocked"/>
          <w:placeholder>
            <w:docPart w:val="GBC22222222222222222222222222222"/>
          </w:placeholder>
        </w:sdtPr>
        <w:sdtEndPr>
          <w:rPr>
            <w:rFonts w:hint="eastAsia"/>
            <w:szCs w:val="21"/>
          </w:rPr>
        </w:sdtEnd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pPr>
        <w:pStyle w:val="3"/>
        <w:numPr>
          <w:ilvl w:val="0"/>
          <w:numId w:val="47"/>
        </w:numPr>
      </w:pPr>
      <w:r>
        <w:rPr>
          <w:rFonts w:hint="eastAsia"/>
        </w:rPr>
        <w:t>现任及报告期内离任董事、监事和高级管理人员的任职情况</w:t>
      </w:r>
    </w:p>
    <w:sdt>
      <w:sdtPr>
        <w:rPr>
          <w:rFonts w:ascii="宋体" w:hAnsi="宋体" w:cs="宋体"/>
          <w:b w:val="0"/>
          <w:bCs w:val="0"/>
          <w:kern w:val="0"/>
          <w:szCs w:val="21"/>
        </w:rPr>
        <w:alias w:val="模块:在股东单位任职情况"/>
        <w:tag w:val="_SEC_71174076095e4b3299192300e2845511"/>
        <w:id w:val="6773580"/>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49"/>
            </w:numPr>
            <w:rPr>
              <w:szCs w:val="21"/>
            </w:rPr>
          </w:pPr>
          <w:r>
            <w:rPr>
              <w:szCs w:val="21"/>
            </w:rPr>
            <w:t>在股东单位任职情况</w:t>
          </w:r>
        </w:p>
        <w:sdt>
          <w:sdtPr>
            <w:rPr>
              <w:szCs w:val="21"/>
            </w:rPr>
            <w:alias w:val="是否适用：在股东单位任职情况[双击切换]"/>
            <w:tag w:val="_GBC_c450b54d9ea443cf85cc614c8528526b"/>
            <w:id w:val="6773565"/>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41"/>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4536"/>
            <w:gridCol w:w="2268"/>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sdt>
              <w:sdtPr>
                <w:tag w:val="_PLD_11f45a37b8cb4cfd8d25787f0979b6e9"/>
                <w:id w:val="6773566"/>
                <w:lock w:val="sdtLocked"/>
              </w:sdtPr>
              <w:sdtContent>
                <w:tc>
                  <w:tcPr>
                    <w:tcW w:w="1951" w:type="dxa"/>
                    <w:vAlign w:val="center"/>
                  </w:tcPr>
                  <w:p>
                    <w:pPr>
                      <w:widowControl w:val="0"/>
                      <w:jc w:val="center"/>
                      <w:rPr>
                        <w:szCs w:val="21"/>
                      </w:rPr>
                    </w:pPr>
                    <w:r>
                      <w:rPr>
                        <w:szCs w:val="21"/>
                      </w:rPr>
                      <w:t>任职人员姓名</w:t>
                    </w:r>
                  </w:p>
                </w:tc>
              </w:sdtContent>
            </w:sdt>
            <w:sdt>
              <w:sdtPr>
                <w:tag w:val="_PLD_174ff645994f420ea5626aa7d6f5ddb5"/>
                <w:id w:val="6773567"/>
                <w:lock w:val="sdtLocked"/>
              </w:sdtPr>
              <w:sdtContent>
                <w:tc>
                  <w:tcPr>
                    <w:tcW w:w="3260" w:type="dxa"/>
                    <w:vAlign w:val="center"/>
                  </w:tcPr>
                  <w:p>
                    <w:pPr>
                      <w:widowControl w:val="0"/>
                      <w:jc w:val="center"/>
                      <w:rPr>
                        <w:szCs w:val="21"/>
                      </w:rPr>
                    </w:pPr>
                    <w:r>
                      <w:rPr>
                        <w:szCs w:val="21"/>
                      </w:rPr>
                      <w:t>股东单位名称</w:t>
                    </w:r>
                  </w:p>
                </w:tc>
              </w:sdtContent>
            </w:sdt>
            <w:sdt>
              <w:sdtPr>
                <w:tag w:val="_PLD_c5b9ccac06314dc19400d1f75f51ed76"/>
                <w:id w:val="6773568"/>
                <w:lock w:val="sdtLocked"/>
              </w:sdtPr>
              <w:sdtContent>
                <w:tc>
                  <w:tcPr>
                    <w:tcW w:w="4536" w:type="dxa"/>
                    <w:vAlign w:val="center"/>
                  </w:tcPr>
                  <w:p>
                    <w:pPr>
                      <w:widowControl w:val="0"/>
                      <w:jc w:val="center"/>
                      <w:rPr>
                        <w:szCs w:val="21"/>
                      </w:rPr>
                    </w:pPr>
                    <w:r>
                      <w:rPr>
                        <w:szCs w:val="21"/>
                      </w:rPr>
                      <w:t>在股东单位担任的职务</w:t>
                    </w:r>
                  </w:p>
                </w:tc>
              </w:sdtContent>
            </w:sdt>
            <w:sdt>
              <w:sdtPr>
                <w:tag w:val="_PLD_6d359bac7e194427adef03e3d072f875"/>
                <w:id w:val="6773569"/>
                <w:lock w:val="sdtLocked"/>
              </w:sdtPr>
              <w:sdtContent>
                <w:tc>
                  <w:tcPr>
                    <w:tcW w:w="2268" w:type="dxa"/>
                    <w:vAlign w:val="center"/>
                  </w:tcPr>
                  <w:p>
                    <w:pPr>
                      <w:widowControl w:val="0"/>
                      <w:jc w:val="center"/>
                      <w:rPr>
                        <w:szCs w:val="21"/>
                      </w:rPr>
                    </w:pPr>
                    <w:r>
                      <w:rPr>
                        <w:szCs w:val="21"/>
                      </w:rPr>
                      <w:t>任期起始日期</w:t>
                    </w:r>
                  </w:p>
                </w:tc>
              </w:sdtContent>
            </w:sdt>
            <w:sdt>
              <w:sdtPr>
                <w:tag w:val="_PLD_ba28085d64d240089bfcbff8c64cf230"/>
                <w:id w:val="6773570"/>
                <w:lock w:val="sdtLocked"/>
              </w:sdtPr>
              <w:sdtContent>
                <w:tc>
                  <w:tcPr>
                    <w:tcW w:w="2074" w:type="dxa"/>
                    <w:vAlign w:val="center"/>
                  </w:tcPr>
                  <w:p>
                    <w:pPr>
                      <w:widowControl w:val="0"/>
                      <w:jc w:val="center"/>
                      <w:rPr>
                        <w:szCs w:val="21"/>
                      </w:rPr>
                    </w:pPr>
                    <w:r>
                      <w:rPr>
                        <w:szCs w:val="21"/>
                      </w:rPr>
                      <w:t>任期终止日期</w:t>
                    </w:r>
                  </w:p>
                </w:tc>
              </w:sdtContent>
            </w:sdt>
          </w:tr>
          <w:sdt>
            <w:sdtPr>
              <w:rPr>
                <w:rFonts w:hint="eastAsia" w:asciiTheme="minorHAnsi" w:hAnsiTheme="minorHAnsi" w:eastAsiaTheme="minorEastAsia" w:cstheme="minorBidi"/>
                <w:kern w:val="2"/>
                <w:sz w:val="18"/>
                <w:szCs w:val="18"/>
              </w:rPr>
              <w:alias w:val="董事、监事、高级管理人员在股东单位任职情况"/>
              <w:tag w:val="_TUP_6fadbebda8f14f00acfb087a1f629834"/>
              <w:id w:val="6773571"/>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951" w:type="dxa"/>
                  </w:tcPr>
                  <w:p>
                    <w:pPr>
                      <w:widowControl w:val="0"/>
                      <w:jc w:val="both"/>
                      <w:rPr>
                        <w:sz w:val="18"/>
                        <w:szCs w:val="18"/>
                      </w:rPr>
                    </w:pPr>
                    <w:r>
                      <w:rPr>
                        <w:sz w:val="18"/>
                        <w:szCs w:val="18"/>
                      </w:rPr>
                      <w:t>施沛润</w:t>
                    </w:r>
                  </w:p>
                </w:tc>
                <w:tc>
                  <w:tcPr>
                    <w:tcW w:w="3260" w:type="dxa"/>
                  </w:tcPr>
                  <w:p>
                    <w:pPr>
                      <w:widowControl w:val="0"/>
                      <w:jc w:val="both"/>
                      <w:rPr>
                        <w:sz w:val="18"/>
                        <w:szCs w:val="18"/>
                      </w:rPr>
                    </w:pPr>
                    <w:r>
                      <w:rPr>
                        <w:sz w:val="18"/>
                        <w:szCs w:val="18"/>
                      </w:rPr>
                      <w:t>广西柳州钢铁集团有限公司</w:t>
                    </w:r>
                  </w:p>
                </w:tc>
                <w:tc>
                  <w:tcPr>
                    <w:tcW w:w="4536" w:type="dxa"/>
                  </w:tcPr>
                  <w:p>
                    <w:pPr>
                      <w:widowControl w:val="0"/>
                      <w:jc w:val="both"/>
                      <w:rPr>
                        <w:sz w:val="18"/>
                        <w:szCs w:val="18"/>
                      </w:rPr>
                    </w:pPr>
                    <w:r>
                      <w:rPr>
                        <w:sz w:val="18"/>
                        <w:szCs w:val="18"/>
                      </w:rPr>
                      <w:t>集团公司董事、副总经理、科协副主席</w:t>
                    </w:r>
                  </w:p>
                </w:tc>
                <w:tc>
                  <w:tcPr>
                    <w:tcW w:w="2268" w:type="dxa"/>
                  </w:tcPr>
                  <w:p>
                    <w:pPr>
                      <w:widowControl w:val="0"/>
                      <w:jc w:val="both"/>
                      <w:rPr>
                        <w:sz w:val="18"/>
                        <w:szCs w:val="18"/>
                      </w:rPr>
                    </w:pPr>
                    <w:r>
                      <w:rPr>
                        <w:sz w:val="18"/>
                        <w:szCs w:val="18"/>
                      </w:rPr>
                      <w:t>　</w:t>
                    </w:r>
                  </w:p>
                </w:tc>
                <w:tc>
                  <w:tcPr>
                    <w:tcW w:w="2074" w:type="dxa"/>
                  </w:tcPr>
                  <w:p>
                    <w:pPr>
                      <w:widowControl w:val="0"/>
                      <w:jc w:val="both"/>
                      <w:rPr>
                        <w:sz w:val="18"/>
                        <w:szCs w:val="18"/>
                      </w:rPr>
                    </w:pPr>
                    <w:r>
                      <w:rPr>
                        <w:sz w:val="18"/>
                        <w:szCs w:val="18"/>
                      </w:rPr>
                      <w:t>　</w:t>
                    </w:r>
                  </w:p>
                </w:tc>
              </w:tr>
            </w:sdtContent>
          </w:sdt>
          <w:sdt>
            <w:sdtPr>
              <w:rPr>
                <w:rFonts w:hint="eastAsia" w:asciiTheme="minorHAnsi" w:hAnsiTheme="minorHAnsi" w:eastAsiaTheme="minorEastAsia" w:cstheme="minorBidi"/>
                <w:kern w:val="2"/>
                <w:sz w:val="18"/>
                <w:szCs w:val="18"/>
              </w:rPr>
              <w:alias w:val="董事、监事、高级管理人员在股东单位任职情况"/>
              <w:tag w:val="_TUP_6fadbebda8f14f00acfb087a1f629834"/>
              <w:id w:val="6773572"/>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951" w:type="dxa"/>
                  </w:tcPr>
                  <w:p>
                    <w:pPr>
                      <w:widowControl w:val="0"/>
                      <w:jc w:val="both"/>
                      <w:rPr>
                        <w:sz w:val="18"/>
                        <w:szCs w:val="18"/>
                      </w:rPr>
                    </w:pPr>
                    <w:r>
                      <w:rPr>
                        <w:sz w:val="18"/>
                        <w:szCs w:val="18"/>
                      </w:rPr>
                      <w:t>甘贵平</w:t>
                    </w:r>
                  </w:p>
                </w:tc>
                <w:tc>
                  <w:tcPr>
                    <w:tcW w:w="3260" w:type="dxa"/>
                  </w:tcPr>
                  <w:p>
                    <w:pPr>
                      <w:widowControl w:val="0"/>
                      <w:jc w:val="both"/>
                      <w:rPr>
                        <w:sz w:val="18"/>
                        <w:szCs w:val="18"/>
                      </w:rPr>
                    </w:pPr>
                    <w:r>
                      <w:rPr>
                        <w:sz w:val="18"/>
                        <w:szCs w:val="18"/>
                      </w:rPr>
                      <w:t>广西柳州钢铁集团有限公司</w:t>
                    </w:r>
                  </w:p>
                </w:tc>
                <w:tc>
                  <w:tcPr>
                    <w:tcW w:w="4536" w:type="dxa"/>
                  </w:tcPr>
                  <w:p>
                    <w:pPr>
                      <w:widowControl w:val="0"/>
                      <w:jc w:val="both"/>
                      <w:rPr>
                        <w:sz w:val="18"/>
                        <w:szCs w:val="18"/>
                      </w:rPr>
                    </w:pPr>
                    <w:r>
                      <w:rPr>
                        <w:sz w:val="18"/>
                        <w:szCs w:val="18"/>
                      </w:rPr>
                      <w:t>集团公司副董事长、总经理、党委副书记、科协主席</w:t>
                    </w:r>
                  </w:p>
                </w:tc>
                <w:tc>
                  <w:tcPr>
                    <w:tcW w:w="2268" w:type="dxa"/>
                  </w:tcPr>
                  <w:p>
                    <w:pPr>
                      <w:widowControl w:val="0"/>
                      <w:jc w:val="both"/>
                      <w:rPr>
                        <w:sz w:val="18"/>
                        <w:szCs w:val="18"/>
                      </w:rPr>
                    </w:pPr>
                    <w:r>
                      <w:rPr>
                        <w:sz w:val="18"/>
                        <w:szCs w:val="18"/>
                      </w:rPr>
                      <w:t>　</w:t>
                    </w:r>
                  </w:p>
                </w:tc>
                <w:tc>
                  <w:tcPr>
                    <w:tcW w:w="2074" w:type="dxa"/>
                  </w:tcPr>
                  <w:p>
                    <w:pPr>
                      <w:widowControl w:val="0"/>
                      <w:jc w:val="both"/>
                      <w:rPr>
                        <w:sz w:val="18"/>
                        <w:szCs w:val="18"/>
                      </w:rPr>
                    </w:pPr>
                    <w:r>
                      <w:rPr>
                        <w:sz w:val="18"/>
                        <w:szCs w:val="18"/>
                      </w:rPr>
                      <w:t>　</w:t>
                    </w:r>
                  </w:p>
                </w:tc>
              </w:tr>
            </w:sdtContent>
          </w:sdt>
          <w:sdt>
            <w:sdtPr>
              <w:rPr>
                <w:rFonts w:hint="eastAsia" w:asciiTheme="minorHAnsi" w:hAnsiTheme="minorHAnsi" w:eastAsiaTheme="minorEastAsia" w:cstheme="minorBidi"/>
                <w:kern w:val="2"/>
                <w:sz w:val="18"/>
                <w:szCs w:val="18"/>
              </w:rPr>
              <w:alias w:val="董事、监事、高级管理人员在股东单位任职情况"/>
              <w:tag w:val="_TUP_6fadbebda8f14f00acfb087a1f629834"/>
              <w:id w:val="6773573"/>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951" w:type="dxa"/>
                  </w:tcPr>
                  <w:p>
                    <w:pPr>
                      <w:widowControl w:val="0"/>
                      <w:jc w:val="both"/>
                      <w:rPr>
                        <w:sz w:val="18"/>
                        <w:szCs w:val="18"/>
                      </w:rPr>
                    </w:pPr>
                    <w:r>
                      <w:rPr>
                        <w:sz w:val="18"/>
                        <w:szCs w:val="18"/>
                      </w:rPr>
                      <w:t>潘世庆</w:t>
                    </w:r>
                  </w:p>
                </w:tc>
                <w:tc>
                  <w:tcPr>
                    <w:tcW w:w="3260" w:type="dxa"/>
                  </w:tcPr>
                  <w:p>
                    <w:pPr>
                      <w:widowControl w:val="0"/>
                      <w:jc w:val="both"/>
                      <w:rPr>
                        <w:sz w:val="18"/>
                        <w:szCs w:val="18"/>
                      </w:rPr>
                    </w:pPr>
                    <w:r>
                      <w:rPr>
                        <w:sz w:val="18"/>
                        <w:szCs w:val="18"/>
                      </w:rPr>
                      <w:t>广西柳州钢铁集团有限公司</w:t>
                    </w:r>
                  </w:p>
                </w:tc>
                <w:tc>
                  <w:tcPr>
                    <w:tcW w:w="4536" w:type="dxa"/>
                  </w:tcPr>
                  <w:p>
                    <w:pPr>
                      <w:widowControl w:val="0"/>
                      <w:jc w:val="both"/>
                      <w:rPr>
                        <w:sz w:val="18"/>
                        <w:szCs w:val="18"/>
                      </w:rPr>
                    </w:pPr>
                    <w:r>
                      <w:rPr>
                        <w:sz w:val="18"/>
                        <w:szCs w:val="18"/>
                      </w:rPr>
                      <w:t>集团公司董事长、党委书记</w:t>
                    </w:r>
                  </w:p>
                </w:tc>
                <w:tc>
                  <w:tcPr>
                    <w:tcW w:w="2268" w:type="dxa"/>
                  </w:tcPr>
                  <w:p>
                    <w:pPr>
                      <w:widowControl w:val="0"/>
                      <w:jc w:val="both"/>
                      <w:rPr>
                        <w:sz w:val="18"/>
                        <w:szCs w:val="18"/>
                      </w:rPr>
                    </w:pPr>
                    <w:r>
                      <w:rPr>
                        <w:sz w:val="18"/>
                        <w:szCs w:val="18"/>
                      </w:rPr>
                      <w:t>　</w:t>
                    </w:r>
                  </w:p>
                </w:tc>
                <w:tc>
                  <w:tcPr>
                    <w:tcW w:w="2074" w:type="dxa"/>
                  </w:tcPr>
                  <w:p>
                    <w:pPr>
                      <w:widowControl w:val="0"/>
                      <w:jc w:val="both"/>
                      <w:rPr>
                        <w:sz w:val="18"/>
                        <w:szCs w:val="18"/>
                      </w:rPr>
                    </w:pPr>
                    <w:r>
                      <w:rPr>
                        <w:sz w:val="18"/>
                        <w:szCs w:val="18"/>
                      </w:rPr>
                      <w:t>　</w:t>
                    </w:r>
                  </w:p>
                </w:tc>
              </w:tr>
            </w:sdtContent>
          </w:sdt>
          <w:sdt>
            <w:sdtPr>
              <w:rPr>
                <w:rFonts w:hint="eastAsia" w:asciiTheme="minorHAnsi" w:hAnsiTheme="minorHAnsi" w:eastAsiaTheme="minorEastAsia" w:cstheme="minorBidi"/>
                <w:kern w:val="2"/>
                <w:sz w:val="18"/>
                <w:szCs w:val="18"/>
              </w:rPr>
              <w:alias w:val="董事、监事、高级管理人员在股东单位任职情况"/>
              <w:tag w:val="_TUP_6fadbebda8f14f00acfb087a1f629834"/>
              <w:id w:val="6773574"/>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951" w:type="dxa"/>
                  </w:tcPr>
                  <w:p>
                    <w:pPr>
                      <w:widowControl w:val="0"/>
                      <w:jc w:val="both"/>
                      <w:rPr>
                        <w:sz w:val="18"/>
                        <w:szCs w:val="18"/>
                      </w:rPr>
                    </w:pPr>
                    <w:r>
                      <w:rPr>
                        <w:sz w:val="18"/>
                        <w:szCs w:val="18"/>
                      </w:rPr>
                      <w:t>张奕</w:t>
                    </w:r>
                  </w:p>
                </w:tc>
                <w:tc>
                  <w:tcPr>
                    <w:tcW w:w="3260" w:type="dxa"/>
                  </w:tcPr>
                  <w:p>
                    <w:pPr>
                      <w:widowControl w:val="0"/>
                      <w:jc w:val="both"/>
                      <w:rPr>
                        <w:sz w:val="18"/>
                        <w:szCs w:val="18"/>
                      </w:rPr>
                    </w:pPr>
                    <w:r>
                      <w:rPr>
                        <w:sz w:val="18"/>
                        <w:szCs w:val="18"/>
                      </w:rPr>
                      <w:t>广西柳州钢铁集团有限公司</w:t>
                    </w:r>
                  </w:p>
                </w:tc>
                <w:tc>
                  <w:tcPr>
                    <w:tcW w:w="4536" w:type="dxa"/>
                  </w:tcPr>
                  <w:p>
                    <w:pPr>
                      <w:widowControl w:val="0"/>
                      <w:jc w:val="both"/>
                      <w:rPr>
                        <w:sz w:val="18"/>
                        <w:szCs w:val="18"/>
                      </w:rPr>
                    </w:pPr>
                    <w:r>
                      <w:rPr>
                        <w:sz w:val="18"/>
                        <w:szCs w:val="18"/>
                      </w:rPr>
                      <w:t>集团公司总会计师</w:t>
                    </w:r>
                  </w:p>
                </w:tc>
                <w:tc>
                  <w:tcPr>
                    <w:tcW w:w="2268" w:type="dxa"/>
                  </w:tcPr>
                  <w:p>
                    <w:pPr>
                      <w:widowControl w:val="0"/>
                      <w:jc w:val="both"/>
                      <w:rPr>
                        <w:sz w:val="18"/>
                        <w:szCs w:val="18"/>
                      </w:rPr>
                    </w:pPr>
                    <w:r>
                      <w:rPr>
                        <w:sz w:val="18"/>
                        <w:szCs w:val="18"/>
                      </w:rPr>
                      <w:t>　</w:t>
                    </w:r>
                  </w:p>
                </w:tc>
                <w:tc>
                  <w:tcPr>
                    <w:tcW w:w="2074" w:type="dxa"/>
                  </w:tcPr>
                  <w:p>
                    <w:pPr>
                      <w:widowControl w:val="0"/>
                      <w:jc w:val="both"/>
                      <w:rPr>
                        <w:sz w:val="18"/>
                        <w:szCs w:val="18"/>
                      </w:rPr>
                    </w:pPr>
                    <w:r>
                      <w:rPr>
                        <w:sz w:val="18"/>
                        <w:szCs w:val="18"/>
                      </w:rPr>
                      <w:t>　</w:t>
                    </w:r>
                  </w:p>
                </w:tc>
              </w:tr>
            </w:sdtContent>
          </w:sdt>
          <w:sdt>
            <w:sdtPr>
              <w:rPr>
                <w:rFonts w:hint="eastAsia" w:asciiTheme="minorHAnsi" w:hAnsiTheme="minorHAnsi" w:eastAsiaTheme="minorEastAsia" w:cstheme="minorBidi"/>
                <w:kern w:val="2"/>
                <w:sz w:val="18"/>
                <w:szCs w:val="18"/>
              </w:rPr>
              <w:alias w:val="董事、监事、高级管理人员在股东单位任职情况"/>
              <w:tag w:val="_TUP_6fadbebda8f14f00acfb087a1f629834"/>
              <w:id w:val="6773575"/>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951" w:type="dxa"/>
                  </w:tcPr>
                  <w:p>
                    <w:pPr>
                      <w:widowControl w:val="0"/>
                      <w:jc w:val="both"/>
                      <w:rPr>
                        <w:sz w:val="18"/>
                        <w:szCs w:val="18"/>
                      </w:rPr>
                    </w:pPr>
                    <w:r>
                      <w:rPr>
                        <w:sz w:val="18"/>
                        <w:szCs w:val="18"/>
                      </w:rPr>
                      <w:t>罗军</w:t>
                    </w:r>
                  </w:p>
                </w:tc>
                <w:tc>
                  <w:tcPr>
                    <w:tcW w:w="3260" w:type="dxa"/>
                  </w:tcPr>
                  <w:p>
                    <w:pPr>
                      <w:widowControl w:val="0"/>
                      <w:jc w:val="both"/>
                      <w:rPr>
                        <w:sz w:val="18"/>
                        <w:szCs w:val="18"/>
                      </w:rPr>
                    </w:pPr>
                    <w:r>
                      <w:rPr>
                        <w:sz w:val="18"/>
                        <w:szCs w:val="18"/>
                      </w:rPr>
                      <w:t>广西柳州钢铁集团有限公司</w:t>
                    </w:r>
                  </w:p>
                </w:tc>
                <w:tc>
                  <w:tcPr>
                    <w:tcW w:w="4536" w:type="dxa"/>
                  </w:tcPr>
                  <w:p>
                    <w:pPr>
                      <w:widowControl w:val="0"/>
                      <w:jc w:val="both"/>
                      <w:rPr>
                        <w:sz w:val="18"/>
                        <w:szCs w:val="18"/>
                      </w:rPr>
                    </w:pPr>
                    <w:r>
                      <w:rPr>
                        <w:sz w:val="18"/>
                        <w:szCs w:val="18"/>
                      </w:rPr>
                      <w:t>集团公司副总经理、总工程师</w:t>
                    </w:r>
                  </w:p>
                </w:tc>
                <w:tc>
                  <w:tcPr>
                    <w:tcW w:w="2268" w:type="dxa"/>
                  </w:tcPr>
                  <w:p>
                    <w:pPr>
                      <w:widowControl w:val="0"/>
                      <w:jc w:val="both"/>
                      <w:rPr>
                        <w:sz w:val="18"/>
                        <w:szCs w:val="18"/>
                      </w:rPr>
                    </w:pPr>
                    <w:r>
                      <w:rPr>
                        <w:sz w:val="18"/>
                        <w:szCs w:val="18"/>
                      </w:rPr>
                      <w:t>　</w:t>
                    </w:r>
                  </w:p>
                </w:tc>
                <w:tc>
                  <w:tcPr>
                    <w:tcW w:w="2074" w:type="dxa"/>
                  </w:tcPr>
                  <w:p>
                    <w:pPr>
                      <w:widowControl w:val="0"/>
                      <w:jc w:val="both"/>
                      <w:rPr>
                        <w:sz w:val="18"/>
                        <w:szCs w:val="18"/>
                      </w:rPr>
                    </w:pPr>
                    <w:r>
                      <w:rPr>
                        <w:sz w:val="18"/>
                        <w:szCs w:val="18"/>
                      </w:rPr>
                      <w:t>　</w:t>
                    </w:r>
                  </w:p>
                </w:tc>
              </w:tr>
            </w:sdtContent>
          </w:sdt>
          <w:sdt>
            <w:sdtPr>
              <w:rPr>
                <w:rFonts w:hint="eastAsia" w:asciiTheme="minorHAnsi" w:hAnsiTheme="minorHAnsi" w:eastAsiaTheme="minorEastAsia" w:cstheme="minorBidi"/>
                <w:kern w:val="2"/>
                <w:sz w:val="18"/>
                <w:szCs w:val="18"/>
              </w:rPr>
              <w:alias w:val="董事、监事、高级管理人员在股东单位任职情况"/>
              <w:tag w:val="_TUP_6fadbebda8f14f00acfb087a1f629834"/>
              <w:id w:val="6773576"/>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951" w:type="dxa"/>
                  </w:tcPr>
                  <w:p>
                    <w:pPr>
                      <w:widowControl w:val="0"/>
                      <w:jc w:val="both"/>
                      <w:rPr>
                        <w:sz w:val="18"/>
                        <w:szCs w:val="18"/>
                      </w:rPr>
                    </w:pPr>
                    <w:r>
                      <w:rPr>
                        <w:sz w:val="18"/>
                        <w:szCs w:val="18"/>
                      </w:rPr>
                      <w:t>阎骏</w:t>
                    </w:r>
                  </w:p>
                </w:tc>
                <w:tc>
                  <w:tcPr>
                    <w:tcW w:w="3260" w:type="dxa"/>
                  </w:tcPr>
                  <w:p>
                    <w:pPr>
                      <w:widowControl w:val="0"/>
                      <w:jc w:val="both"/>
                      <w:rPr>
                        <w:sz w:val="18"/>
                        <w:szCs w:val="18"/>
                      </w:rPr>
                    </w:pPr>
                    <w:r>
                      <w:rPr>
                        <w:sz w:val="18"/>
                        <w:szCs w:val="18"/>
                      </w:rPr>
                      <w:t>广西柳州钢铁集团有限公司</w:t>
                    </w:r>
                  </w:p>
                </w:tc>
                <w:tc>
                  <w:tcPr>
                    <w:tcW w:w="4536" w:type="dxa"/>
                  </w:tcPr>
                  <w:p>
                    <w:pPr>
                      <w:widowControl w:val="0"/>
                      <w:jc w:val="both"/>
                      <w:rPr>
                        <w:sz w:val="18"/>
                        <w:szCs w:val="18"/>
                      </w:rPr>
                    </w:pPr>
                    <w:r>
                      <w:rPr>
                        <w:sz w:val="18"/>
                        <w:szCs w:val="18"/>
                      </w:rPr>
                      <w:t>集团公司副总经理</w:t>
                    </w:r>
                  </w:p>
                </w:tc>
                <w:tc>
                  <w:tcPr>
                    <w:tcW w:w="2268" w:type="dxa"/>
                  </w:tcPr>
                  <w:p>
                    <w:pPr>
                      <w:widowControl w:val="0"/>
                      <w:jc w:val="both"/>
                      <w:rPr>
                        <w:sz w:val="18"/>
                        <w:szCs w:val="18"/>
                      </w:rPr>
                    </w:pPr>
                    <w:r>
                      <w:rPr>
                        <w:sz w:val="18"/>
                        <w:szCs w:val="18"/>
                      </w:rPr>
                      <w:t>　</w:t>
                    </w:r>
                  </w:p>
                </w:tc>
                <w:tc>
                  <w:tcPr>
                    <w:tcW w:w="2074" w:type="dxa"/>
                  </w:tcPr>
                  <w:p>
                    <w:pPr>
                      <w:widowControl w:val="0"/>
                      <w:jc w:val="both"/>
                      <w:rPr>
                        <w:sz w:val="18"/>
                        <w:szCs w:val="18"/>
                      </w:rPr>
                    </w:pPr>
                    <w:r>
                      <w:rPr>
                        <w:sz w:val="18"/>
                        <w:szCs w:val="18"/>
                      </w:rPr>
                      <w:t>　</w:t>
                    </w:r>
                  </w:p>
                </w:tc>
              </w:tr>
            </w:sdtContent>
          </w:sdt>
          <w:sdt>
            <w:sdtPr>
              <w:rPr>
                <w:rFonts w:hint="eastAsia" w:asciiTheme="minorHAnsi" w:hAnsiTheme="minorHAnsi" w:eastAsiaTheme="minorEastAsia" w:cstheme="minorBidi"/>
                <w:kern w:val="2"/>
                <w:sz w:val="18"/>
                <w:szCs w:val="18"/>
              </w:rPr>
              <w:alias w:val="董事、监事、高级管理人员在股东单位任职情况"/>
              <w:tag w:val="_TUP_6fadbebda8f14f00acfb087a1f629834"/>
              <w:id w:val="6773577"/>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951" w:type="dxa"/>
                  </w:tcPr>
                  <w:p>
                    <w:pPr>
                      <w:widowControl w:val="0"/>
                      <w:jc w:val="both"/>
                      <w:rPr>
                        <w:sz w:val="18"/>
                        <w:szCs w:val="18"/>
                      </w:rPr>
                    </w:pPr>
                    <w:r>
                      <w:rPr>
                        <w:sz w:val="18"/>
                        <w:szCs w:val="18"/>
                      </w:rPr>
                      <w:t>林承格</w:t>
                    </w:r>
                  </w:p>
                </w:tc>
                <w:tc>
                  <w:tcPr>
                    <w:tcW w:w="3260" w:type="dxa"/>
                  </w:tcPr>
                  <w:p>
                    <w:pPr>
                      <w:widowControl w:val="0"/>
                      <w:jc w:val="both"/>
                      <w:rPr>
                        <w:sz w:val="18"/>
                        <w:szCs w:val="18"/>
                      </w:rPr>
                    </w:pPr>
                    <w:r>
                      <w:rPr>
                        <w:sz w:val="18"/>
                        <w:szCs w:val="18"/>
                      </w:rPr>
                      <w:t>广西柳州钢铁集团有限公司</w:t>
                    </w:r>
                  </w:p>
                </w:tc>
                <w:tc>
                  <w:tcPr>
                    <w:tcW w:w="4536" w:type="dxa"/>
                  </w:tcPr>
                  <w:p>
                    <w:pPr>
                      <w:widowControl w:val="0"/>
                      <w:jc w:val="both"/>
                      <w:rPr>
                        <w:sz w:val="18"/>
                        <w:szCs w:val="18"/>
                      </w:rPr>
                    </w:pPr>
                    <w:r>
                      <w:rPr>
                        <w:sz w:val="18"/>
                        <w:szCs w:val="18"/>
                      </w:rPr>
                      <w:t>集团公司董事、党委副书记、工会主席</w:t>
                    </w:r>
                  </w:p>
                </w:tc>
                <w:tc>
                  <w:tcPr>
                    <w:tcW w:w="2268" w:type="dxa"/>
                  </w:tcPr>
                  <w:p>
                    <w:pPr>
                      <w:widowControl w:val="0"/>
                      <w:jc w:val="both"/>
                      <w:rPr>
                        <w:sz w:val="18"/>
                        <w:szCs w:val="18"/>
                      </w:rPr>
                    </w:pPr>
                    <w:r>
                      <w:rPr>
                        <w:sz w:val="18"/>
                        <w:szCs w:val="18"/>
                      </w:rPr>
                      <w:t>　</w:t>
                    </w:r>
                  </w:p>
                </w:tc>
                <w:tc>
                  <w:tcPr>
                    <w:tcW w:w="2074" w:type="dxa"/>
                  </w:tcPr>
                  <w:p>
                    <w:pPr>
                      <w:widowControl w:val="0"/>
                      <w:jc w:val="both"/>
                      <w:rPr>
                        <w:sz w:val="18"/>
                        <w:szCs w:val="18"/>
                      </w:rPr>
                    </w:pPr>
                    <w:r>
                      <w:rPr>
                        <w:sz w:val="18"/>
                        <w:szCs w:val="18"/>
                      </w:rPr>
                      <w:t>　</w:t>
                    </w:r>
                  </w:p>
                </w:tc>
              </w:tr>
            </w:sdtContent>
          </w:sdt>
          <w:sdt>
            <w:sdtPr>
              <w:rPr>
                <w:rFonts w:hint="eastAsia" w:asciiTheme="minorHAnsi" w:hAnsiTheme="minorHAnsi" w:eastAsiaTheme="minorEastAsia" w:cstheme="minorBidi"/>
                <w:kern w:val="2"/>
                <w:sz w:val="18"/>
                <w:szCs w:val="18"/>
              </w:rPr>
              <w:alias w:val="董事、监事、高级管理人员在股东单位任职情况"/>
              <w:tag w:val="_TUP_6fadbebda8f14f00acfb087a1f629834"/>
              <w:id w:val="6773578"/>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951" w:type="dxa"/>
                  </w:tcPr>
                  <w:p>
                    <w:pPr>
                      <w:widowControl w:val="0"/>
                      <w:jc w:val="both"/>
                      <w:rPr>
                        <w:sz w:val="18"/>
                        <w:szCs w:val="18"/>
                      </w:rPr>
                    </w:pPr>
                    <w:r>
                      <w:rPr>
                        <w:rFonts w:hint="eastAsia" w:asciiTheme="minorHAnsi" w:hAnsiTheme="minorHAnsi" w:eastAsiaTheme="minorEastAsia" w:cstheme="minorBidi"/>
                        <w:kern w:val="2"/>
                        <w:sz w:val="18"/>
                        <w:szCs w:val="18"/>
                      </w:rPr>
                      <w:t>梁培发</w:t>
                    </w:r>
                  </w:p>
                </w:tc>
                <w:tc>
                  <w:tcPr>
                    <w:tcW w:w="3260" w:type="dxa"/>
                  </w:tcPr>
                  <w:p>
                    <w:pPr>
                      <w:widowControl w:val="0"/>
                      <w:jc w:val="both"/>
                      <w:rPr>
                        <w:sz w:val="18"/>
                        <w:szCs w:val="18"/>
                      </w:rPr>
                    </w:pPr>
                    <w:r>
                      <w:rPr>
                        <w:sz w:val="18"/>
                        <w:szCs w:val="18"/>
                      </w:rPr>
                      <w:t>广西柳州钢铁集团有限公司</w:t>
                    </w:r>
                  </w:p>
                </w:tc>
                <w:tc>
                  <w:tcPr>
                    <w:tcW w:w="4536" w:type="dxa"/>
                  </w:tcPr>
                  <w:p>
                    <w:pPr>
                      <w:widowControl w:val="0"/>
                      <w:jc w:val="both"/>
                      <w:rPr>
                        <w:sz w:val="18"/>
                        <w:szCs w:val="18"/>
                      </w:rPr>
                    </w:pPr>
                    <w:r>
                      <w:rPr>
                        <w:rFonts w:hint="eastAsia"/>
                        <w:sz w:val="18"/>
                        <w:szCs w:val="18"/>
                      </w:rPr>
                      <w:t>集团公司纪委副书记，审监部法务部部长，党支部书记</w:t>
                    </w:r>
                  </w:p>
                </w:tc>
                <w:tc>
                  <w:tcPr>
                    <w:tcW w:w="2268" w:type="dxa"/>
                  </w:tcPr>
                  <w:p>
                    <w:pPr>
                      <w:widowControl w:val="0"/>
                      <w:jc w:val="both"/>
                      <w:rPr>
                        <w:sz w:val="18"/>
                        <w:szCs w:val="18"/>
                      </w:rPr>
                    </w:pPr>
                  </w:p>
                </w:tc>
                <w:tc>
                  <w:tcPr>
                    <w:tcW w:w="2074" w:type="dxa"/>
                  </w:tcPr>
                  <w:p>
                    <w:pPr>
                      <w:widowControl w:val="0"/>
                      <w:jc w:val="both"/>
                      <w:rPr>
                        <w:sz w:val="18"/>
                        <w:szCs w:val="18"/>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rPr>
                  <w:rFonts w:ascii="Times New Roman" w:hAnsi="Times New Roman"/>
                  <w:sz w:val="18"/>
                  <w:szCs w:val="18"/>
                </w:rPr>
                <w:tag w:val="_PLD_6e127d6c1c09490d96af47be507aa181"/>
                <w:id w:val="6773579"/>
                <w:lock w:val="sdtLocked"/>
              </w:sdtPr>
              <w:sdtEndPr>
                <w:rPr>
                  <w:rFonts w:ascii="Times New Roman" w:hAnsi="Times New Roman"/>
                  <w:sz w:val="18"/>
                  <w:szCs w:val="18"/>
                </w:rPr>
              </w:sdtEndPr>
              <w:sdtContent>
                <w:tc>
                  <w:tcPr>
                    <w:tcW w:w="1951" w:type="dxa"/>
                  </w:tcPr>
                  <w:p>
                    <w:pPr>
                      <w:widowControl w:val="0"/>
                      <w:jc w:val="both"/>
                      <w:rPr>
                        <w:sz w:val="18"/>
                        <w:szCs w:val="18"/>
                      </w:rPr>
                    </w:pPr>
                    <w:r>
                      <w:rPr>
                        <w:sz w:val="18"/>
                        <w:szCs w:val="18"/>
                      </w:rPr>
                      <w:t>在股东单位任职情况的说明</w:t>
                    </w:r>
                  </w:p>
                </w:tc>
              </w:sdtContent>
            </w:sdt>
            <w:tc>
              <w:tcPr>
                <w:tcW w:w="12138" w:type="dxa"/>
                <w:gridSpan w:val="4"/>
              </w:tcPr>
              <w:p>
                <w:pPr>
                  <w:widowControl w:val="0"/>
                  <w:jc w:val="both"/>
                  <w:rPr>
                    <w:sz w:val="18"/>
                    <w:szCs w:val="18"/>
                  </w:rPr>
                </w:pPr>
                <w:r>
                  <w:rPr>
                    <w:rFonts w:hint="eastAsia"/>
                    <w:sz w:val="18"/>
                    <w:szCs w:val="18"/>
                  </w:rPr>
                  <w:t>无</w:t>
                </w:r>
              </w:p>
            </w:tc>
          </w:tr>
        </w:tbl>
        <w:p/>
        <w:p/>
      </w:sdtContent>
    </w:sdt>
    <w:sdt>
      <w:sdtPr>
        <w:rPr>
          <w:rFonts w:ascii="宋体" w:hAnsi="宋体" w:cs="宋体"/>
          <w:b w:val="0"/>
          <w:bCs w:val="0"/>
          <w:kern w:val="0"/>
          <w:szCs w:val="21"/>
        </w:rPr>
        <w:alias w:val="模块:在其他单位任职情况"/>
        <w:tag w:val="_SEC_5561131e80ff45818592dc8d1f605cb5"/>
        <w:id w:val="6773592"/>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49"/>
            </w:numPr>
            <w:rPr>
              <w:szCs w:val="21"/>
            </w:rPr>
          </w:pPr>
          <w:r>
            <w:rPr>
              <w:szCs w:val="21"/>
            </w:rPr>
            <w:t>在其他单位任职情况</w:t>
          </w:r>
        </w:p>
        <w:sdt>
          <w:sdtPr>
            <w:rPr>
              <w:szCs w:val="21"/>
            </w:rPr>
            <w:alias w:val="是否适用：在其他单位任职情况[双击切换]"/>
            <w:tag w:val="_GBC_31c17de709bb42fdb7ba137e843fe054"/>
            <w:id w:val="6773581"/>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41"/>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3103"/>
            <w:gridCol w:w="3686"/>
            <w:gridCol w:w="2092"/>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sdt>
              <w:sdtPr>
                <w:rPr>
                  <w:rFonts w:ascii="Times New Roman" w:hAnsi="Times New Roman"/>
                  <w:sz w:val="18"/>
                  <w:szCs w:val="18"/>
                </w:rPr>
                <w:tag w:val="_PLD_84cb4ce7fc4643b1be607267619a4b88"/>
                <w:id w:val="6773582"/>
                <w:lock w:val="sdtLocked"/>
              </w:sdtPr>
              <w:sdtEndPr>
                <w:rPr>
                  <w:rFonts w:ascii="Times New Roman" w:hAnsi="Times New Roman"/>
                  <w:sz w:val="18"/>
                  <w:szCs w:val="18"/>
                </w:rPr>
              </w:sdtEndPr>
              <w:sdtContent>
                <w:tc>
                  <w:tcPr>
                    <w:tcW w:w="2817" w:type="dxa"/>
                    <w:vAlign w:val="center"/>
                  </w:tcPr>
                  <w:p>
                    <w:pPr>
                      <w:widowControl w:val="0"/>
                      <w:jc w:val="center"/>
                      <w:rPr>
                        <w:sz w:val="18"/>
                        <w:szCs w:val="18"/>
                      </w:rPr>
                    </w:pPr>
                    <w:r>
                      <w:rPr>
                        <w:sz w:val="18"/>
                        <w:szCs w:val="18"/>
                      </w:rPr>
                      <w:t>任职人员姓名</w:t>
                    </w:r>
                  </w:p>
                </w:tc>
              </w:sdtContent>
            </w:sdt>
            <w:sdt>
              <w:sdtPr>
                <w:rPr>
                  <w:rFonts w:ascii="Times New Roman" w:hAnsi="Times New Roman"/>
                  <w:sz w:val="18"/>
                  <w:szCs w:val="18"/>
                </w:rPr>
                <w:tag w:val="_PLD_9c5aac001d5a4c2eb3cc0bf1e1f66afe"/>
                <w:id w:val="6773583"/>
                <w:lock w:val="sdtLocked"/>
              </w:sdtPr>
              <w:sdtEndPr>
                <w:rPr>
                  <w:rFonts w:ascii="Times New Roman" w:hAnsi="Times New Roman"/>
                  <w:sz w:val="18"/>
                  <w:szCs w:val="18"/>
                </w:rPr>
              </w:sdtEndPr>
              <w:sdtContent>
                <w:tc>
                  <w:tcPr>
                    <w:tcW w:w="3103" w:type="dxa"/>
                    <w:vAlign w:val="center"/>
                  </w:tcPr>
                  <w:p>
                    <w:pPr>
                      <w:widowControl w:val="0"/>
                      <w:jc w:val="center"/>
                      <w:rPr>
                        <w:sz w:val="18"/>
                        <w:szCs w:val="18"/>
                      </w:rPr>
                    </w:pPr>
                    <w:r>
                      <w:rPr>
                        <w:sz w:val="18"/>
                        <w:szCs w:val="18"/>
                      </w:rPr>
                      <w:t>其他单位名称</w:t>
                    </w:r>
                  </w:p>
                </w:tc>
              </w:sdtContent>
            </w:sdt>
            <w:sdt>
              <w:sdtPr>
                <w:rPr>
                  <w:rFonts w:ascii="Times New Roman" w:hAnsi="Times New Roman"/>
                  <w:sz w:val="18"/>
                  <w:szCs w:val="18"/>
                </w:rPr>
                <w:tag w:val="_PLD_a3a2822cc76542afbd1a58b94268af1d"/>
                <w:id w:val="6773584"/>
                <w:lock w:val="sdtLocked"/>
              </w:sdtPr>
              <w:sdtEndPr>
                <w:rPr>
                  <w:rFonts w:ascii="Times New Roman" w:hAnsi="Times New Roman"/>
                  <w:sz w:val="18"/>
                  <w:szCs w:val="18"/>
                </w:rPr>
              </w:sdtEndPr>
              <w:sdtContent>
                <w:tc>
                  <w:tcPr>
                    <w:tcW w:w="3686" w:type="dxa"/>
                    <w:vAlign w:val="center"/>
                  </w:tcPr>
                  <w:p>
                    <w:pPr>
                      <w:widowControl w:val="0"/>
                      <w:jc w:val="center"/>
                      <w:rPr>
                        <w:sz w:val="18"/>
                        <w:szCs w:val="18"/>
                      </w:rPr>
                    </w:pPr>
                    <w:r>
                      <w:rPr>
                        <w:sz w:val="18"/>
                        <w:szCs w:val="18"/>
                      </w:rPr>
                      <w:t>在其他单位担任的职务</w:t>
                    </w:r>
                  </w:p>
                </w:tc>
              </w:sdtContent>
            </w:sdt>
            <w:sdt>
              <w:sdtPr>
                <w:rPr>
                  <w:rFonts w:ascii="Times New Roman" w:hAnsi="Times New Roman"/>
                  <w:sz w:val="18"/>
                  <w:szCs w:val="18"/>
                </w:rPr>
                <w:tag w:val="_PLD_1afbd86b2e47420ca2c5a75f01567f2a"/>
                <w:id w:val="6773585"/>
                <w:lock w:val="sdtLocked"/>
              </w:sdtPr>
              <w:sdtEndPr>
                <w:rPr>
                  <w:rFonts w:ascii="Times New Roman" w:hAnsi="Times New Roman"/>
                  <w:sz w:val="18"/>
                  <w:szCs w:val="18"/>
                </w:rPr>
              </w:sdtEndPr>
              <w:sdtContent>
                <w:tc>
                  <w:tcPr>
                    <w:tcW w:w="2092" w:type="dxa"/>
                    <w:vAlign w:val="center"/>
                  </w:tcPr>
                  <w:p>
                    <w:pPr>
                      <w:widowControl w:val="0"/>
                      <w:jc w:val="center"/>
                      <w:rPr>
                        <w:sz w:val="18"/>
                        <w:szCs w:val="18"/>
                      </w:rPr>
                    </w:pPr>
                    <w:r>
                      <w:rPr>
                        <w:sz w:val="18"/>
                        <w:szCs w:val="18"/>
                      </w:rPr>
                      <w:t>任期起始日期</w:t>
                    </w:r>
                  </w:p>
                </w:tc>
              </w:sdtContent>
            </w:sdt>
            <w:sdt>
              <w:sdtPr>
                <w:rPr>
                  <w:rFonts w:ascii="Times New Roman" w:hAnsi="Times New Roman"/>
                  <w:sz w:val="18"/>
                  <w:szCs w:val="18"/>
                </w:rPr>
                <w:tag w:val="_PLD_677dde6ffbf24692a6c508831a24eef8"/>
                <w:id w:val="6773586"/>
                <w:lock w:val="sdtLocked"/>
              </w:sdtPr>
              <w:sdtEndPr>
                <w:rPr>
                  <w:rFonts w:ascii="Times New Roman" w:hAnsi="Times New Roman"/>
                  <w:sz w:val="18"/>
                  <w:szCs w:val="18"/>
                </w:rPr>
              </w:sdtEndPr>
              <w:sdtContent>
                <w:tc>
                  <w:tcPr>
                    <w:tcW w:w="2391" w:type="dxa"/>
                    <w:vAlign w:val="center"/>
                  </w:tcPr>
                  <w:p>
                    <w:pPr>
                      <w:widowControl w:val="0"/>
                      <w:jc w:val="center"/>
                      <w:rPr>
                        <w:sz w:val="18"/>
                        <w:szCs w:val="18"/>
                      </w:rPr>
                    </w:pPr>
                    <w:r>
                      <w:rPr>
                        <w:sz w:val="18"/>
                        <w:szCs w:val="18"/>
                      </w:rPr>
                      <w:t>任期终止日期</w:t>
                    </w:r>
                  </w:p>
                </w:tc>
              </w:sdtContent>
            </w:sdt>
          </w:tr>
          <w:sdt>
            <w:sdtPr>
              <w:rPr>
                <w:rFonts w:hint="eastAsia" w:asciiTheme="minorHAnsi" w:hAnsiTheme="minorHAnsi" w:eastAsiaTheme="minorEastAsia" w:cstheme="minorBidi"/>
                <w:kern w:val="2"/>
                <w:sz w:val="18"/>
                <w:szCs w:val="18"/>
              </w:rPr>
              <w:alias w:val="董事、监事、高级管理人员在其他单位任职情况"/>
              <w:tag w:val="_TUP_f450538eb53748eeac8de5eae75c8a7f"/>
              <w:id w:val="6773587"/>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17" w:type="dxa"/>
                  </w:tcPr>
                  <w:p>
                    <w:pPr>
                      <w:widowControl w:val="0"/>
                      <w:jc w:val="both"/>
                      <w:rPr>
                        <w:sz w:val="18"/>
                        <w:szCs w:val="18"/>
                      </w:rPr>
                    </w:pPr>
                    <w:r>
                      <w:rPr>
                        <w:sz w:val="18"/>
                        <w:szCs w:val="18"/>
                      </w:rPr>
                      <w:t>黄国君</w:t>
                    </w:r>
                  </w:p>
                </w:tc>
                <w:tc>
                  <w:tcPr>
                    <w:tcW w:w="3103" w:type="dxa"/>
                  </w:tcPr>
                  <w:p>
                    <w:pPr>
                      <w:widowControl w:val="0"/>
                      <w:jc w:val="both"/>
                      <w:rPr>
                        <w:sz w:val="18"/>
                        <w:szCs w:val="18"/>
                      </w:rPr>
                    </w:pPr>
                    <w:r>
                      <w:rPr>
                        <w:sz w:val="18"/>
                        <w:szCs w:val="18"/>
                      </w:rPr>
                      <w:t>中国科学院力学研究所</w:t>
                    </w:r>
                  </w:p>
                </w:tc>
                <w:tc>
                  <w:tcPr>
                    <w:tcW w:w="3686" w:type="dxa"/>
                  </w:tcPr>
                  <w:p>
                    <w:pPr>
                      <w:widowControl w:val="0"/>
                      <w:jc w:val="both"/>
                      <w:rPr>
                        <w:sz w:val="18"/>
                        <w:szCs w:val="18"/>
                      </w:rPr>
                    </w:pPr>
                    <w:r>
                      <w:rPr>
                        <w:sz w:val="18"/>
                        <w:szCs w:val="18"/>
                      </w:rPr>
                      <w:t>副研究员</w:t>
                    </w:r>
                  </w:p>
                </w:tc>
                <w:tc>
                  <w:tcPr>
                    <w:tcW w:w="2092" w:type="dxa"/>
                  </w:tcPr>
                  <w:p>
                    <w:pPr>
                      <w:widowControl w:val="0"/>
                      <w:jc w:val="both"/>
                      <w:rPr>
                        <w:sz w:val="18"/>
                        <w:szCs w:val="18"/>
                      </w:rPr>
                    </w:pPr>
                    <w:r>
                      <w:rPr>
                        <w:sz w:val="18"/>
                        <w:szCs w:val="18"/>
                      </w:rPr>
                      <w:t>　</w:t>
                    </w:r>
                  </w:p>
                </w:tc>
                <w:tc>
                  <w:tcPr>
                    <w:tcW w:w="2391" w:type="dxa"/>
                  </w:tcPr>
                  <w:p>
                    <w:pPr>
                      <w:widowControl w:val="0"/>
                      <w:jc w:val="both"/>
                      <w:rPr>
                        <w:sz w:val="18"/>
                        <w:szCs w:val="18"/>
                      </w:rPr>
                    </w:pPr>
                    <w:r>
                      <w:rPr>
                        <w:sz w:val="18"/>
                        <w:szCs w:val="18"/>
                      </w:rPr>
                      <w:t>　</w:t>
                    </w:r>
                  </w:p>
                </w:tc>
              </w:tr>
            </w:sdtContent>
          </w:sdt>
          <w:sdt>
            <w:sdtPr>
              <w:rPr>
                <w:rFonts w:hint="eastAsia" w:asciiTheme="minorHAnsi" w:hAnsiTheme="minorHAnsi" w:eastAsiaTheme="minorEastAsia" w:cstheme="minorBidi"/>
                <w:kern w:val="2"/>
                <w:sz w:val="18"/>
                <w:szCs w:val="18"/>
              </w:rPr>
              <w:alias w:val="董事、监事、高级管理人员在其他单位任职情况"/>
              <w:tag w:val="_TUP_f450538eb53748eeac8de5eae75c8a7f"/>
              <w:id w:val="6773588"/>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17" w:type="dxa"/>
                  </w:tcPr>
                  <w:p>
                    <w:pPr>
                      <w:widowControl w:val="0"/>
                      <w:jc w:val="both"/>
                      <w:rPr>
                        <w:sz w:val="18"/>
                        <w:szCs w:val="18"/>
                      </w:rPr>
                    </w:pPr>
                    <w:r>
                      <w:rPr>
                        <w:sz w:val="18"/>
                        <w:szCs w:val="18"/>
                      </w:rPr>
                      <w:t>袁公章</w:t>
                    </w:r>
                  </w:p>
                </w:tc>
                <w:tc>
                  <w:tcPr>
                    <w:tcW w:w="3103" w:type="dxa"/>
                  </w:tcPr>
                  <w:p>
                    <w:pPr>
                      <w:widowControl w:val="0"/>
                      <w:jc w:val="both"/>
                      <w:rPr>
                        <w:sz w:val="18"/>
                        <w:szCs w:val="18"/>
                      </w:rPr>
                    </w:pPr>
                    <w:r>
                      <w:rPr>
                        <w:sz w:val="18"/>
                        <w:szCs w:val="18"/>
                      </w:rPr>
                      <w:t>北京大成（南宁）律师事务所</w:t>
                    </w:r>
                  </w:p>
                </w:tc>
                <w:tc>
                  <w:tcPr>
                    <w:tcW w:w="3686" w:type="dxa"/>
                  </w:tcPr>
                  <w:p>
                    <w:pPr>
                      <w:widowControl w:val="0"/>
                      <w:jc w:val="both"/>
                      <w:rPr>
                        <w:sz w:val="18"/>
                        <w:szCs w:val="18"/>
                      </w:rPr>
                    </w:pPr>
                    <w:r>
                      <w:rPr>
                        <w:sz w:val="18"/>
                        <w:szCs w:val="18"/>
                      </w:rPr>
                      <w:t>专职律师</w:t>
                    </w:r>
                  </w:p>
                </w:tc>
                <w:tc>
                  <w:tcPr>
                    <w:tcW w:w="2092" w:type="dxa"/>
                  </w:tcPr>
                  <w:p>
                    <w:pPr>
                      <w:widowControl w:val="0"/>
                      <w:jc w:val="both"/>
                      <w:rPr>
                        <w:sz w:val="18"/>
                        <w:szCs w:val="18"/>
                      </w:rPr>
                    </w:pPr>
                    <w:r>
                      <w:rPr>
                        <w:sz w:val="18"/>
                        <w:szCs w:val="18"/>
                      </w:rPr>
                      <w:t>　</w:t>
                    </w:r>
                  </w:p>
                </w:tc>
                <w:tc>
                  <w:tcPr>
                    <w:tcW w:w="2391" w:type="dxa"/>
                  </w:tcPr>
                  <w:p>
                    <w:pPr>
                      <w:widowControl w:val="0"/>
                      <w:jc w:val="both"/>
                      <w:rPr>
                        <w:sz w:val="18"/>
                        <w:szCs w:val="18"/>
                      </w:rPr>
                    </w:pPr>
                    <w:r>
                      <w:rPr>
                        <w:sz w:val="18"/>
                        <w:szCs w:val="18"/>
                      </w:rPr>
                      <w:t>　</w:t>
                    </w:r>
                  </w:p>
                </w:tc>
              </w:tr>
            </w:sdtContent>
          </w:sdt>
          <w:sdt>
            <w:sdtPr>
              <w:rPr>
                <w:rFonts w:hint="eastAsia" w:asciiTheme="minorHAnsi" w:hAnsiTheme="minorHAnsi" w:eastAsiaTheme="minorEastAsia" w:cstheme="minorBidi"/>
                <w:kern w:val="2"/>
                <w:sz w:val="18"/>
                <w:szCs w:val="18"/>
              </w:rPr>
              <w:alias w:val="董事、监事、高级管理人员在其他单位任职情况"/>
              <w:tag w:val="_TUP_f450538eb53748eeac8de5eae75c8a7f"/>
              <w:id w:val="6773589"/>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17" w:type="dxa"/>
                  </w:tcPr>
                  <w:p>
                    <w:pPr>
                      <w:widowControl w:val="0"/>
                      <w:jc w:val="both"/>
                      <w:rPr>
                        <w:sz w:val="18"/>
                        <w:szCs w:val="18"/>
                      </w:rPr>
                    </w:pPr>
                    <w:r>
                      <w:rPr>
                        <w:sz w:val="18"/>
                        <w:szCs w:val="18"/>
                      </w:rPr>
                      <w:t>李 骅</w:t>
                    </w:r>
                  </w:p>
                </w:tc>
                <w:tc>
                  <w:tcPr>
                    <w:tcW w:w="3103" w:type="dxa"/>
                  </w:tcPr>
                  <w:p>
                    <w:pPr>
                      <w:widowControl w:val="0"/>
                      <w:jc w:val="both"/>
                      <w:rPr>
                        <w:sz w:val="18"/>
                        <w:szCs w:val="18"/>
                      </w:rPr>
                    </w:pPr>
                    <w:r>
                      <w:rPr>
                        <w:sz w:val="18"/>
                        <w:szCs w:val="18"/>
                      </w:rPr>
                      <w:t>广西天华会计师事务所有限责任公司</w:t>
                    </w:r>
                  </w:p>
                </w:tc>
                <w:tc>
                  <w:tcPr>
                    <w:tcW w:w="3686" w:type="dxa"/>
                  </w:tcPr>
                  <w:p>
                    <w:pPr>
                      <w:widowControl w:val="0"/>
                      <w:jc w:val="both"/>
                      <w:rPr>
                        <w:sz w:val="18"/>
                        <w:szCs w:val="18"/>
                      </w:rPr>
                    </w:pPr>
                    <w:r>
                      <w:rPr>
                        <w:sz w:val="18"/>
                        <w:szCs w:val="18"/>
                      </w:rPr>
                      <w:t>所长（主任会计师）</w:t>
                    </w:r>
                  </w:p>
                </w:tc>
                <w:tc>
                  <w:tcPr>
                    <w:tcW w:w="2092" w:type="dxa"/>
                  </w:tcPr>
                  <w:p>
                    <w:pPr>
                      <w:widowControl w:val="0"/>
                      <w:jc w:val="both"/>
                      <w:rPr>
                        <w:sz w:val="18"/>
                        <w:szCs w:val="18"/>
                      </w:rPr>
                    </w:pPr>
                    <w:r>
                      <w:rPr>
                        <w:sz w:val="18"/>
                        <w:szCs w:val="18"/>
                      </w:rPr>
                      <w:t>　</w:t>
                    </w:r>
                  </w:p>
                </w:tc>
                <w:tc>
                  <w:tcPr>
                    <w:tcW w:w="2391" w:type="dxa"/>
                  </w:tcPr>
                  <w:p>
                    <w:pPr>
                      <w:widowControl w:val="0"/>
                      <w:jc w:val="both"/>
                      <w:rPr>
                        <w:sz w:val="18"/>
                        <w:szCs w:val="18"/>
                      </w:rPr>
                    </w:pPr>
                    <w:r>
                      <w:rPr>
                        <w:sz w:val="18"/>
                        <w:szCs w:val="18"/>
                      </w:rPr>
                      <w:t>　</w:t>
                    </w:r>
                  </w:p>
                </w:tc>
              </w:tr>
            </w:sdtContent>
          </w:sdt>
          <w:sdt>
            <w:sdtPr>
              <w:rPr>
                <w:rFonts w:hint="eastAsia" w:asciiTheme="minorHAnsi" w:hAnsiTheme="minorHAnsi" w:eastAsiaTheme="minorEastAsia" w:cstheme="minorBidi"/>
                <w:kern w:val="2"/>
                <w:sz w:val="18"/>
                <w:szCs w:val="18"/>
              </w:rPr>
              <w:alias w:val="董事、监事、高级管理人员在其他单位任职情况"/>
              <w:tag w:val="_TUP_f450538eb53748eeac8de5eae75c8a7f"/>
              <w:id w:val="6773590"/>
              <w:lock w:val="sdtLocked"/>
            </w:sdtPr>
            <w:sdtEndPr>
              <w:rPr>
                <w:rFonts w:hint="eastAsia"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17" w:type="dxa"/>
                  </w:tcPr>
                  <w:p>
                    <w:pPr>
                      <w:widowControl w:val="0"/>
                      <w:jc w:val="both"/>
                      <w:rPr>
                        <w:sz w:val="18"/>
                        <w:szCs w:val="18"/>
                      </w:rPr>
                    </w:pPr>
                    <w:r>
                      <w:rPr>
                        <w:sz w:val="18"/>
                        <w:szCs w:val="18"/>
                      </w:rPr>
                      <w:t>赵峰</w:t>
                    </w:r>
                  </w:p>
                </w:tc>
                <w:tc>
                  <w:tcPr>
                    <w:tcW w:w="3103" w:type="dxa"/>
                  </w:tcPr>
                  <w:p>
                    <w:pPr>
                      <w:widowControl w:val="0"/>
                      <w:jc w:val="both"/>
                      <w:rPr>
                        <w:sz w:val="18"/>
                        <w:szCs w:val="18"/>
                      </w:rPr>
                    </w:pPr>
                    <w:r>
                      <w:rPr>
                        <w:sz w:val="18"/>
                        <w:szCs w:val="18"/>
                      </w:rPr>
                      <w:t>冶金工业规划研究院</w:t>
                    </w:r>
                  </w:p>
                </w:tc>
                <w:tc>
                  <w:tcPr>
                    <w:tcW w:w="3686" w:type="dxa"/>
                  </w:tcPr>
                  <w:p>
                    <w:pPr>
                      <w:widowControl w:val="0"/>
                      <w:jc w:val="both"/>
                      <w:rPr>
                        <w:sz w:val="18"/>
                        <w:szCs w:val="18"/>
                      </w:rPr>
                    </w:pPr>
                    <w:r>
                      <w:rPr>
                        <w:sz w:val="18"/>
                        <w:szCs w:val="18"/>
                      </w:rPr>
                      <w:t>总设计师、经济处处长</w:t>
                    </w:r>
                  </w:p>
                </w:tc>
                <w:tc>
                  <w:tcPr>
                    <w:tcW w:w="2092" w:type="dxa"/>
                  </w:tcPr>
                  <w:p>
                    <w:pPr>
                      <w:widowControl w:val="0"/>
                      <w:jc w:val="both"/>
                      <w:rPr>
                        <w:sz w:val="18"/>
                        <w:szCs w:val="18"/>
                      </w:rPr>
                    </w:pPr>
                  </w:p>
                </w:tc>
                <w:tc>
                  <w:tcPr>
                    <w:tcW w:w="2391" w:type="dxa"/>
                  </w:tcPr>
                  <w:p>
                    <w:pPr>
                      <w:widowControl w:val="0"/>
                      <w:jc w:val="both"/>
                      <w:rPr>
                        <w:sz w:val="18"/>
                        <w:szCs w:val="18"/>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rPr>
                  <w:rFonts w:ascii="Times New Roman" w:hAnsi="Times New Roman"/>
                  <w:sz w:val="18"/>
                  <w:szCs w:val="18"/>
                </w:rPr>
                <w:tag w:val="_PLD_e128a4d638134f30bcc8e77e343261be"/>
                <w:id w:val="6773591"/>
                <w:lock w:val="sdtLocked"/>
              </w:sdtPr>
              <w:sdtEndPr>
                <w:rPr>
                  <w:rFonts w:ascii="Times New Roman" w:hAnsi="Times New Roman"/>
                  <w:sz w:val="18"/>
                  <w:szCs w:val="18"/>
                </w:rPr>
              </w:sdtEndPr>
              <w:sdtContent>
                <w:tc>
                  <w:tcPr>
                    <w:tcW w:w="2817" w:type="dxa"/>
                  </w:tcPr>
                  <w:p>
                    <w:pPr>
                      <w:widowControl w:val="0"/>
                      <w:jc w:val="both"/>
                      <w:rPr>
                        <w:sz w:val="18"/>
                        <w:szCs w:val="18"/>
                      </w:rPr>
                    </w:pPr>
                    <w:r>
                      <w:rPr>
                        <w:rFonts w:hint="eastAsia"/>
                        <w:sz w:val="18"/>
                        <w:szCs w:val="18"/>
                      </w:rPr>
                      <w:t>在其他单位任职情况的说明</w:t>
                    </w:r>
                  </w:p>
                </w:tc>
              </w:sdtContent>
            </w:sdt>
            <w:tc>
              <w:tcPr>
                <w:tcW w:w="11272" w:type="dxa"/>
                <w:gridSpan w:val="4"/>
              </w:tcPr>
              <w:p>
                <w:pPr>
                  <w:widowControl w:val="0"/>
                  <w:jc w:val="both"/>
                  <w:rPr>
                    <w:sz w:val="18"/>
                    <w:szCs w:val="18"/>
                  </w:rPr>
                </w:pPr>
                <w:r>
                  <w:rPr>
                    <w:rFonts w:hint="eastAsia"/>
                    <w:sz w:val="18"/>
                    <w:szCs w:val="18"/>
                  </w:rPr>
                  <w:t>无</w:t>
                </w:r>
              </w:p>
            </w:tc>
          </w:tr>
        </w:tbl>
        <w:p/>
        <w:p/>
      </w:sdtContent>
    </w:sdt>
    <w:sdt>
      <w:sdtPr>
        <w:rPr>
          <w:rFonts w:ascii="宋体" w:hAnsi="宋体" w:cs="宋体"/>
          <w:b w:val="0"/>
          <w:bCs w:val="0"/>
          <w:kern w:val="0"/>
          <w:szCs w:val="24"/>
        </w:rPr>
        <w:alias w:val="模块:董事、监事、高级管理人员报酬情况"/>
        <w:tag w:val="_SEC_d6c0d4e5fc754556abc8ba20fd435248"/>
        <w:id w:val="6773598"/>
        <w:lock w:val="sdtLocked"/>
        <w:placeholder>
          <w:docPart w:val="GBC22222222222222222222222222222"/>
        </w:placeholder>
      </w:sdtPr>
      <w:sdtEndPr>
        <w:rPr>
          <w:rFonts w:ascii="宋体" w:hAnsi="宋体" w:cs="宋体"/>
          <w:b w:val="0"/>
          <w:bCs w:val="0"/>
          <w:kern w:val="0"/>
          <w:szCs w:val="24"/>
        </w:rPr>
      </w:sdtEndPr>
      <w:sdtContent>
        <w:p>
          <w:pPr>
            <w:pStyle w:val="3"/>
            <w:numPr>
              <w:ilvl w:val="0"/>
              <w:numId w:val="47"/>
            </w:numPr>
          </w:pPr>
          <w:r>
            <w:t>董事、监事、高级管理人员报酬情况</w:t>
          </w:r>
        </w:p>
        <w:sdt>
          <w:sdtPr>
            <w:alias w:val="是否适用：董事、监事、高级管理人员报酬情况[双击切换]"/>
            <w:tag w:val="_GBC_670a12b9c1e34498888f2aafd9509848"/>
            <w:id w:val="677359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41"/>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9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sdt>
              <w:sdtPr>
                <w:tag w:val="_PLD_9e63d19b4bb64b9f8ebbe91d33a629c4"/>
                <w:id w:val="6773594"/>
                <w:lock w:val="sdtLocked"/>
              </w:sdtPr>
              <w:sdtContent>
                <w:tc>
                  <w:tcPr>
                    <w:tcW w:w="4361" w:type="dxa"/>
                  </w:tcPr>
                  <w:p>
                    <w:pPr>
                      <w:widowControl w:val="0"/>
                      <w:jc w:val="both"/>
                      <w:rPr>
                        <w:szCs w:val="21"/>
                      </w:rPr>
                    </w:pPr>
                    <w:r>
                      <w:rPr>
                        <w:szCs w:val="21"/>
                      </w:rPr>
                      <w:t>董事、监事、高级管理人员报酬的决策程序</w:t>
                    </w:r>
                  </w:p>
                </w:tc>
              </w:sdtContent>
            </w:sdt>
            <w:tc>
              <w:tcPr>
                <w:tcW w:w="9728" w:type="dxa"/>
              </w:tcPr>
              <w:p>
                <w:pPr>
                  <w:widowControl w:val="0"/>
                  <w:jc w:val="both"/>
                  <w:rPr>
                    <w:szCs w:val="21"/>
                  </w:rPr>
                </w:pPr>
                <w:r>
                  <w:t>董事和监事及高级管理人员的报酬根据公司的绩效管理办法核算其年度薪酬；独立董事的报酬由董事会薪酬委员会提出提案，经董事会审议通过。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tag w:val="_PLD_a1d35038246146c0a95c36f146481091"/>
                <w:id w:val="6773595"/>
                <w:lock w:val="sdtLocked"/>
              </w:sdtPr>
              <w:sdtContent>
                <w:tc>
                  <w:tcPr>
                    <w:tcW w:w="4361" w:type="dxa"/>
                  </w:tcPr>
                  <w:p>
                    <w:pPr>
                      <w:widowControl w:val="0"/>
                      <w:jc w:val="both"/>
                      <w:rPr>
                        <w:szCs w:val="21"/>
                      </w:rPr>
                    </w:pPr>
                    <w:r>
                      <w:rPr>
                        <w:szCs w:val="21"/>
                      </w:rPr>
                      <w:t>董事、监事、高级管理人员报酬确定依据</w:t>
                    </w:r>
                  </w:p>
                </w:tc>
              </w:sdtContent>
            </w:sdt>
            <w:tc>
              <w:tcPr>
                <w:tcW w:w="9728" w:type="dxa"/>
              </w:tcPr>
              <w:p>
                <w:pPr>
                  <w:widowControl w:val="0"/>
                  <w:jc w:val="both"/>
                  <w:rPr>
                    <w:szCs w:val="21"/>
                  </w:rPr>
                </w:pPr>
                <w:r>
                  <w:t>董事、监事及高级管理人员的报酬依据绩效管理办法，参照公司内部分配制度，由月工资和年度奖励组成。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tag w:val="_PLD_3ba8e874dcd84394a94e693e06b2269b"/>
                <w:id w:val="6773596"/>
                <w:lock w:val="sdtLocked"/>
              </w:sdtPr>
              <w:sdtContent>
                <w:tc>
                  <w:tcPr>
                    <w:tcW w:w="4361" w:type="dxa"/>
                  </w:tcPr>
                  <w:p>
                    <w:pPr>
                      <w:widowControl w:val="0"/>
                      <w:jc w:val="both"/>
                      <w:rPr>
                        <w:szCs w:val="21"/>
                      </w:rPr>
                    </w:pPr>
                    <w:r>
                      <w:rPr>
                        <w:szCs w:val="21"/>
                      </w:rPr>
                      <w:t>董事、监事和高级管理人员报酬的</w:t>
                    </w:r>
                    <w:r>
                      <w:rPr>
                        <w:rFonts w:hint="eastAsia"/>
                        <w:szCs w:val="21"/>
                      </w:rPr>
                      <w:t>实际支付</w:t>
                    </w:r>
                    <w:r>
                      <w:rPr>
                        <w:szCs w:val="21"/>
                      </w:rPr>
                      <w:t>情况</w:t>
                    </w:r>
                  </w:p>
                </w:tc>
              </w:sdtContent>
            </w:sdt>
            <w:tc>
              <w:tcPr>
                <w:tcW w:w="9728" w:type="dxa"/>
              </w:tcPr>
              <w:p>
                <w:pPr>
                  <w:widowControl w:val="0"/>
                  <w:jc w:val="both"/>
                  <w:rPr>
                    <w:szCs w:val="21"/>
                  </w:rPr>
                </w:pPr>
                <w:r>
                  <w:t>报告期内，公司已向董事、监事及高级管理人员全额支付薪酬。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f1d66f55396940f1afb6481cc9fde4f0"/>
                <w:id w:val="6773597"/>
                <w:lock w:val="sdtLocked"/>
              </w:sdtPr>
              <w:sdtContent>
                <w:tc>
                  <w:tcPr>
                    <w:tcW w:w="4361" w:type="dxa"/>
                  </w:tcPr>
                  <w:p>
                    <w:pPr>
                      <w:widowControl w:val="0"/>
                      <w:jc w:val="both"/>
                      <w:rPr>
                        <w:szCs w:val="21"/>
                      </w:rPr>
                    </w:pPr>
                    <w:r>
                      <w:rPr>
                        <w:szCs w:val="21"/>
                      </w:rPr>
                      <w:t>报告期末全体董事、监事和高级管理人员实际获得的报酬合计</w:t>
                    </w:r>
                  </w:p>
                </w:tc>
              </w:sdtContent>
            </w:sdt>
            <w:tc>
              <w:tcPr>
                <w:tcW w:w="9728" w:type="dxa"/>
              </w:tcPr>
              <w:p>
                <w:pPr>
                  <w:widowControl w:val="0"/>
                  <w:jc w:val="both"/>
                  <w:rPr>
                    <w:szCs w:val="21"/>
                  </w:rPr>
                </w:pPr>
                <w:r>
                  <w:rPr>
                    <w:szCs w:val="21"/>
                  </w:rPr>
                  <w:t>763.65</w:t>
                </w:r>
                <w:r>
                  <w:rPr>
                    <w:rFonts w:hint="eastAsia"/>
                    <w:szCs w:val="21"/>
                  </w:rPr>
                  <w:t>万元</w:t>
                </w:r>
              </w:p>
            </w:tc>
          </w:tr>
        </w:tbl>
        <w:p/>
      </w:sdtContent>
    </w:sdt>
    <w:sdt>
      <w:sdtPr>
        <w:rPr>
          <w:rFonts w:ascii="宋体" w:hAnsi="宋体" w:cs="宋体"/>
          <w:b w:val="0"/>
          <w:bCs w:val="0"/>
          <w:kern w:val="0"/>
          <w:sz w:val="24"/>
          <w:szCs w:val="24"/>
        </w:rPr>
        <w:alias w:val="模块:公司董事、监事、高级管理人员变动情况"/>
        <w:tag w:val="_SEC_f15939bc34a34b809f1af6823e6f7771"/>
        <w:id w:val="6773622"/>
        <w:lock w:val="sdtLocked"/>
        <w:placeholder>
          <w:docPart w:val="GBC22222222222222222222222222222"/>
        </w:placeholder>
      </w:sdtPr>
      <w:sdtEndPr>
        <w:rPr>
          <w:rFonts w:ascii="宋体" w:hAnsi="宋体" w:cs="宋体"/>
          <w:b w:val="0"/>
          <w:bCs w:val="0"/>
          <w:kern w:val="0"/>
          <w:sz w:val="21"/>
          <w:szCs w:val="24"/>
        </w:rPr>
      </w:sdtEndPr>
      <w:sdtContent>
        <w:p>
          <w:pPr>
            <w:pStyle w:val="3"/>
            <w:numPr>
              <w:ilvl w:val="0"/>
              <w:numId w:val="47"/>
            </w:numPr>
          </w:pPr>
          <w:r>
            <w:t>公司董事、监事、高级管理人员变动情况</w:t>
          </w:r>
        </w:p>
        <w:sdt>
          <w:sdtPr>
            <w:alias w:val="是否适用：公司董事、监事、高级管理人员变动情况[双击切换]"/>
            <w:tag w:val="_GBC_a00df019796e4666a1adff20d55baa46"/>
            <w:id w:val="677359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41"/>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2"/>
            <w:gridCol w:w="3522"/>
            <w:gridCol w:w="3522"/>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sdt>
              <w:sdtPr>
                <w:tag w:val="_PLD_10c0965136c84bf6abfceaef8557ae99"/>
                <w:id w:val="24586491"/>
                <w:lock w:val="sdtLocked"/>
              </w:sdtPr>
              <w:sdtContent>
                <w:tc>
                  <w:tcPr>
                    <w:tcW w:w="3522" w:type="dxa"/>
                    <w:vAlign w:val="center"/>
                  </w:tcPr>
                  <w:p>
                    <w:pPr>
                      <w:widowControl w:val="0"/>
                      <w:jc w:val="center"/>
                      <w:rPr>
                        <w:szCs w:val="21"/>
                      </w:rPr>
                    </w:pPr>
                    <w:r>
                      <w:rPr>
                        <w:szCs w:val="21"/>
                      </w:rPr>
                      <w:t>姓名</w:t>
                    </w:r>
                  </w:p>
                </w:tc>
              </w:sdtContent>
            </w:sdt>
            <w:sdt>
              <w:sdtPr>
                <w:tag w:val="_PLD_b53cc0c0661e4cffa4f7fa4f6423187d"/>
                <w:id w:val="24586492"/>
                <w:lock w:val="sdtLocked"/>
              </w:sdtPr>
              <w:sdtContent>
                <w:tc>
                  <w:tcPr>
                    <w:tcW w:w="3522" w:type="dxa"/>
                    <w:vAlign w:val="center"/>
                  </w:tcPr>
                  <w:p>
                    <w:pPr>
                      <w:widowControl w:val="0"/>
                      <w:jc w:val="center"/>
                      <w:rPr>
                        <w:szCs w:val="21"/>
                      </w:rPr>
                    </w:pPr>
                    <w:r>
                      <w:rPr>
                        <w:szCs w:val="21"/>
                      </w:rPr>
                      <w:t>担任的职务</w:t>
                    </w:r>
                  </w:p>
                </w:tc>
              </w:sdtContent>
            </w:sdt>
            <w:sdt>
              <w:sdtPr>
                <w:tag w:val="_PLD_012859f523ec430da1dfc6a86c6dde35"/>
                <w:id w:val="24586493"/>
                <w:lock w:val="sdtLocked"/>
              </w:sdtPr>
              <w:sdtContent>
                <w:tc>
                  <w:tcPr>
                    <w:tcW w:w="3522" w:type="dxa"/>
                    <w:vAlign w:val="center"/>
                  </w:tcPr>
                  <w:p>
                    <w:pPr>
                      <w:widowControl w:val="0"/>
                      <w:jc w:val="center"/>
                      <w:rPr>
                        <w:szCs w:val="21"/>
                      </w:rPr>
                    </w:pPr>
                    <w:r>
                      <w:rPr>
                        <w:szCs w:val="21"/>
                      </w:rPr>
                      <w:t>变动情形</w:t>
                    </w:r>
                  </w:p>
                </w:tc>
              </w:sdtContent>
            </w:sdt>
            <w:sdt>
              <w:sdtPr>
                <w:tag w:val="_PLD_bf76757c55de435a9638407bd56b5199"/>
                <w:id w:val="24586494"/>
                <w:lock w:val="sdtLocked"/>
              </w:sdtPr>
              <w:sdtContent>
                <w:tc>
                  <w:tcPr>
                    <w:tcW w:w="3523" w:type="dxa"/>
                    <w:vAlign w:val="center"/>
                  </w:tcPr>
                  <w:p>
                    <w:pPr>
                      <w:widowControl w:val="0"/>
                      <w:jc w:val="center"/>
                      <w:rPr>
                        <w:szCs w:val="21"/>
                      </w:rPr>
                    </w:pPr>
                    <w:r>
                      <w:rPr>
                        <w:szCs w:val="21"/>
                      </w:rPr>
                      <w:t>变动原因</w:t>
                    </w:r>
                  </w:p>
                </w:tc>
              </w:sdtContent>
            </w:sdt>
          </w:tr>
          <w:sdt>
            <w:sdtPr>
              <w:rPr>
                <w:rFonts w:asciiTheme="minorHAnsi" w:hAnsiTheme="minorHAnsi" w:eastAsiaTheme="minorEastAsia" w:cstheme="minorBidi"/>
                <w:kern w:val="2"/>
                <w:szCs w:val="21"/>
              </w:rPr>
              <w:alias w:val="在报告期内公司董事、监事、高级管理人员变动情况"/>
              <w:tag w:val="_TUP_a555fc40054b4d6a94d6a1901fa38c91"/>
              <w:id w:val="24586496"/>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widowControl w:val="0"/>
                      <w:jc w:val="both"/>
                      <w:rPr>
                        <w:szCs w:val="21"/>
                      </w:rPr>
                    </w:pPr>
                    <w:r>
                      <w:rPr>
                        <w:rFonts w:hint="eastAsia"/>
                        <w:szCs w:val="21"/>
                      </w:rPr>
                      <w:t>李永松</w:t>
                    </w:r>
                  </w:p>
                </w:tc>
                <w:tc>
                  <w:tcPr>
                    <w:tcW w:w="3522" w:type="dxa"/>
                  </w:tcPr>
                  <w:p>
                    <w:pPr>
                      <w:widowControl w:val="0"/>
                      <w:jc w:val="both"/>
                      <w:rPr>
                        <w:szCs w:val="21"/>
                      </w:rPr>
                    </w:pPr>
                    <w:r>
                      <w:rPr>
                        <w:rFonts w:hint="eastAsia"/>
                        <w:szCs w:val="21"/>
                      </w:rPr>
                      <w:t>董事长</w:t>
                    </w:r>
                  </w:p>
                </w:tc>
                <w:sdt>
                  <w:sdtPr>
                    <w:rPr>
                      <w:rFonts w:ascii="Times New Roman" w:hAnsi="Times New Roman"/>
                      <w:szCs w:val="21"/>
                    </w:rPr>
                    <w:alias w:val="公司董事、监事、高级管理人员的变动情形"/>
                    <w:tag w:val="_GBC_258f9ad482344d5fbc1587e6faf0ed7b"/>
                    <w:id w:val="24586495"/>
                    <w:lock w:val="sdtLocked"/>
                    <w:comboBox>
                      <w:listItem w:displayText="选举" w:value="选举"/>
                      <w:listItem w:displayText="离任" w:value="离任"/>
                      <w:listItem w:displayText="聘任" w:value="聘任"/>
                      <w:listItem w:displayText="解聘" w:value="解聘"/>
                    </w:comboBox>
                  </w:sdtPr>
                  <w:sdtEndPr>
                    <w:rPr>
                      <w:rFonts w:ascii="Times New Roman" w:hAnsi="Times New Roman"/>
                      <w:szCs w:val="21"/>
                    </w:rPr>
                  </w:sdtEndPr>
                  <w:sdtContent>
                    <w:tc>
                      <w:tcPr>
                        <w:tcW w:w="3522" w:type="dxa"/>
                      </w:tcPr>
                      <w:p>
                        <w:pPr>
                          <w:widowControl w:val="0"/>
                          <w:jc w:val="both"/>
                          <w:rPr>
                            <w:szCs w:val="21"/>
                          </w:rPr>
                        </w:pPr>
                        <w:r>
                          <w:rPr>
                            <w:rFonts w:hint="eastAsia"/>
                            <w:szCs w:val="21"/>
                          </w:rPr>
                          <w:t>离任</w:t>
                        </w:r>
                      </w:p>
                    </w:tc>
                  </w:sdtContent>
                </w:sdt>
                <w:tc>
                  <w:tcPr>
                    <w:tcW w:w="3523" w:type="dxa"/>
                  </w:tcPr>
                  <w:p>
                    <w:pPr>
                      <w:widowControl w:val="0"/>
                      <w:jc w:val="both"/>
                      <w:rPr>
                        <w:szCs w:val="21"/>
                      </w:rPr>
                    </w:pPr>
                    <w:r>
                      <w:rPr>
                        <w:rFonts w:hint="eastAsia"/>
                        <w:szCs w:val="21"/>
                      </w:rPr>
                      <w:t>工作变动</w:t>
                    </w:r>
                  </w:p>
                </w:tc>
              </w:tr>
            </w:sdtContent>
          </w:sdt>
          <w:sdt>
            <w:sdtPr>
              <w:rPr>
                <w:rFonts w:asciiTheme="minorHAnsi" w:hAnsiTheme="minorHAnsi" w:eastAsiaTheme="minorEastAsia" w:cstheme="minorBidi"/>
                <w:kern w:val="2"/>
                <w:szCs w:val="21"/>
              </w:rPr>
              <w:alias w:val="在报告期内公司董事、监事、高级管理人员变动情况"/>
              <w:tag w:val="_TUP_a555fc40054b4d6a94d6a1901fa38c91"/>
              <w:id w:val="24586498"/>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widowControl w:val="0"/>
                      <w:jc w:val="both"/>
                      <w:rPr>
                        <w:szCs w:val="21"/>
                      </w:rPr>
                    </w:pPr>
                    <w:r>
                      <w:rPr>
                        <w:rFonts w:hint="eastAsia"/>
                        <w:szCs w:val="21"/>
                      </w:rPr>
                      <w:t>陈有升</w:t>
                    </w:r>
                  </w:p>
                </w:tc>
                <w:tc>
                  <w:tcPr>
                    <w:tcW w:w="3522" w:type="dxa"/>
                  </w:tcPr>
                  <w:p>
                    <w:pPr>
                      <w:widowControl w:val="0"/>
                      <w:jc w:val="both"/>
                      <w:rPr>
                        <w:szCs w:val="21"/>
                      </w:rPr>
                    </w:pPr>
                    <w:r>
                      <w:rPr>
                        <w:rFonts w:hint="eastAsia"/>
                        <w:szCs w:val="21"/>
                      </w:rPr>
                      <w:t>董事长</w:t>
                    </w:r>
                  </w:p>
                </w:tc>
                <w:sdt>
                  <w:sdtPr>
                    <w:rPr>
                      <w:rFonts w:ascii="Times New Roman" w:hAnsi="Times New Roman"/>
                      <w:szCs w:val="21"/>
                    </w:rPr>
                    <w:alias w:val="公司董事、监事、高级管理人员的变动情形"/>
                    <w:tag w:val="_GBC_258f9ad482344d5fbc1587e6faf0ed7b"/>
                    <w:id w:val="24586497"/>
                    <w:lock w:val="sdtLocked"/>
                    <w:comboBox>
                      <w:listItem w:displayText="选举" w:value="选举"/>
                      <w:listItem w:displayText="离任" w:value="离任"/>
                      <w:listItem w:displayText="聘任" w:value="聘任"/>
                      <w:listItem w:displayText="解聘" w:value="解聘"/>
                    </w:comboBox>
                  </w:sdtPr>
                  <w:sdtEndPr>
                    <w:rPr>
                      <w:rFonts w:ascii="Times New Roman" w:hAnsi="Times New Roman"/>
                      <w:szCs w:val="21"/>
                    </w:rPr>
                  </w:sdtEndPr>
                  <w:sdtContent>
                    <w:tc>
                      <w:tcPr>
                        <w:tcW w:w="3522" w:type="dxa"/>
                      </w:tcPr>
                      <w:p>
                        <w:pPr>
                          <w:widowControl w:val="0"/>
                          <w:jc w:val="both"/>
                          <w:rPr>
                            <w:szCs w:val="21"/>
                          </w:rPr>
                        </w:pPr>
                        <w:r>
                          <w:rPr>
                            <w:rFonts w:hint="eastAsia"/>
                            <w:szCs w:val="21"/>
                          </w:rPr>
                          <w:t>聘任</w:t>
                        </w:r>
                      </w:p>
                    </w:tc>
                  </w:sdtContent>
                </w:sdt>
                <w:tc>
                  <w:tcPr>
                    <w:tcW w:w="3523" w:type="dxa"/>
                  </w:tcPr>
                  <w:p>
                    <w:pPr>
                      <w:widowControl w:val="0"/>
                      <w:jc w:val="both"/>
                      <w:rPr>
                        <w:szCs w:val="21"/>
                      </w:rPr>
                    </w:pPr>
                    <w:r>
                      <w:rPr>
                        <w:rFonts w:hint="eastAsia"/>
                        <w:szCs w:val="21"/>
                      </w:rPr>
                      <w:t>股东大会选举</w:t>
                    </w:r>
                  </w:p>
                </w:tc>
              </w:tr>
            </w:sdtContent>
          </w:sdt>
          <w:sdt>
            <w:sdtPr>
              <w:rPr>
                <w:rFonts w:asciiTheme="minorHAnsi" w:hAnsiTheme="minorHAnsi" w:eastAsiaTheme="minorEastAsia" w:cstheme="minorBidi"/>
                <w:kern w:val="2"/>
                <w:szCs w:val="21"/>
              </w:rPr>
              <w:alias w:val="在报告期内公司董事、监事、高级管理人员变动情况"/>
              <w:tag w:val="_TUP_a555fc40054b4d6a94d6a1901fa38c91"/>
              <w:id w:val="24586500"/>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widowControl w:val="0"/>
                      <w:jc w:val="both"/>
                      <w:rPr>
                        <w:szCs w:val="21"/>
                      </w:rPr>
                    </w:pPr>
                    <w:r>
                      <w:rPr>
                        <w:rFonts w:hint="eastAsia" w:asciiTheme="minorHAnsi" w:hAnsiTheme="minorHAnsi" w:eastAsiaTheme="minorEastAsia" w:cstheme="minorBidi"/>
                        <w:kern w:val="2"/>
                        <w:szCs w:val="21"/>
                      </w:rPr>
                      <w:t>陈有升</w:t>
                    </w:r>
                  </w:p>
                </w:tc>
                <w:tc>
                  <w:tcPr>
                    <w:tcW w:w="3522" w:type="dxa"/>
                  </w:tcPr>
                  <w:p>
                    <w:pPr>
                      <w:widowControl w:val="0"/>
                      <w:jc w:val="both"/>
                      <w:rPr>
                        <w:szCs w:val="21"/>
                      </w:rPr>
                    </w:pPr>
                    <w:r>
                      <w:rPr>
                        <w:rFonts w:hint="eastAsia"/>
                        <w:szCs w:val="21"/>
                      </w:rPr>
                      <w:t>监事</w:t>
                    </w:r>
                  </w:p>
                </w:tc>
                <w:sdt>
                  <w:sdtPr>
                    <w:rPr>
                      <w:rFonts w:ascii="Times New Roman" w:hAnsi="Times New Roman"/>
                      <w:szCs w:val="21"/>
                    </w:rPr>
                    <w:alias w:val="公司董事、监事、高级管理人员的变动情形"/>
                    <w:tag w:val="_GBC_258f9ad482344d5fbc1587e6faf0ed7b"/>
                    <w:id w:val="24586499"/>
                    <w:lock w:val="sdtLocked"/>
                    <w:comboBox>
                      <w:listItem w:displayText="选举" w:value="选举"/>
                      <w:listItem w:displayText="离任" w:value="离任"/>
                      <w:listItem w:displayText="聘任" w:value="聘任"/>
                      <w:listItem w:displayText="解聘" w:value="解聘"/>
                    </w:comboBox>
                  </w:sdtPr>
                  <w:sdtEndPr>
                    <w:rPr>
                      <w:rFonts w:ascii="Times New Roman" w:hAnsi="Times New Roman"/>
                      <w:szCs w:val="21"/>
                    </w:rPr>
                  </w:sdtEndPr>
                  <w:sdtContent>
                    <w:tc>
                      <w:tcPr>
                        <w:tcW w:w="3522" w:type="dxa"/>
                      </w:tcPr>
                      <w:p>
                        <w:pPr>
                          <w:widowControl w:val="0"/>
                          <w:jc w:val="both"/>
                          <w:rPr>
                            <w:szCs w:val="21"/>
                          </w:rPr>
                        </w:pPr>
                        <w:r>
                          <w:rPr>
                            <w:rFonts w:hint="eastAsia"/>
                            <w:szCs w:val="21"/>
                          </w:rPr>
                          <w:t>离任</w:t>
                        </w:r>
                      </w:p>
                    </w:tc>
                  </w:sdtContent>
                </w:sdt>
                <w:tc>
                  <w:tcPr>
                    <w:tcW w:w="3523" w:type="dxa"/>
                  </w:tcPr>
                  <w:p>
                    <w:pPr>
                      <w:widowControl w:val="0"/>
                      <w:jc w:val="both"/>
                      <w:rPr>
                        <w:szCs w:val="21"/>
                      </w:rPr>
                    </w:pPr>
                    <w:r>
                      <w:rPr>
                        <w:rFonts w:hint="eastAsia"/>
                        <w:szCs w:val="21"/>
                      </w:rPr>
                      <w:t>工作变动</w:t>
                    </w:r>
                  </w:p>
                </w:tc>
              </w:tr>
            </w:sdtContent>
          </w:sdt>
          <w:sdt>
            <w:sdtPr>
              <w:rPr>
                <w:rFonts w:asciiTheme="minorHAnsi" w:hAnsiTheme="minorHAnsi" w:eastAsiaTheme="minorEastAsia" w:cstheme="minorBidi"/>
                <w:kern w:val="2"/>
                <w:szCs w:val="21"/>
              </w:rPr>
              <w:alias w:val="在报告期内公司董事、监事、高级管理人员变动情况"/>
              <w:tag w:val="_TUP_a555fc40054b4d6a94d6a1901fa38c91"/>
              <w:id w:val="24586502"/>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widowControl w:val="0"/>
                      <w:jc w:val="both"/>
                      <w:rPr>
                        <w:szCs w:val="21"/>
                      </w:rPr>
                    </w:pPr>
                    <w:r>
                      <w:rPr>
                        <w:rFonts w:hint="eastAsia" w:asciiTheme="minorHAnsi" w:hAnsiTheme="minorHAnsi" w:eastAsiaTheme="minorEastAsia" w:cstheme="minorBidi"/>
                        <w:kern w:val="2"/>
                        <w:szCs w:val="21"/>
                      </w:rPr>
                      <w:t>甘牧原</w:t>
                    </w:r>
                  </w:p>
                </w:tc>
                <w:tc>
                  <w:tcPr>
                    <w:tcW w:w="3522" w:type="dxa"/>
                  </w:tcPr>
                  <w:p>
                    <w:pPr>
                      <w:widowControl w:val="0"/>
                      <w:jc w:val="both"/>
                      <w:rPr>
                        <w:szCs w:val="21"/>
                      </w:rPr>
                    </w:pPr>
                    <w:r>
                      <w:rPr>
                        <w:rFonts w:hint="eastAsia"/>
                        <w:szCs w:val="21"/>
                      </w:rPr>
                      <w:t>监事</w:t>
                    </w:r>
                  </w:p>
                </w:tc>
                <w:sdt>
                  <w:sdtPr>
                    <w:rPr>
                      <w:rFonts w:ascii="Times New Roman" w:hAnsi="Times New Roman"/>
                      <w:szCs w:val="21"/>
                    </w:rPr>
                    <w:alias w:val="公司董事、监事、高级管理人员的变动情形"/>
                    <w:tag w:val="_GBC_258f9ad482344d5fbc1587e6faf0ed7b"/>
                    <w:id w:val="24586501"/>
                    <w:lock w:val="sdtLocked"/>
                    <w:comboBox>
                      <w:listItem w:displayText="选举" w:value="选举"/>
                      <w:listItem w:displayText="离任" w:value="离任"/>
                      <w:listItem w:displayText="聘任" w:value="聘任"/>
                      <w:listItem w:displayText="解聘" w:value="解聘"/>
                    </w:comboBox>
                  </w:sdtPr>
                  <w:sdtEndPr>
                    <w:rPr>
                      <w:rFonts w:ascii="Times New Roman" w:hAnsi="Times New Roman"/>
                      <w:szCs w:val="21"/>
                    </w:rPr>
                  </w:sdtEndPr>
                  <w:sdtContent>
                    <w:tc>
                      <w:tcPr>
                        <w:tcW w:w="3522" w:type="dxa"/>
                      </w:tcPr>
                      <w:p>
                        <w:pPr>
                          <w:widowControl w:val="0"/>
                          <w:jc w:val="both"/>
                          <w:rPr>
                            <w:szCs w:val="21"/>
                          </w:rPr>
                        </w:pPr>
                        <w:r>
                          <w:rPr>
                            <w:rFonts w:hint="eastAsia"/>
                            <w:szCs w:val="21"/>
                          </w:rPr>
                          <w:t>聘任</w:t>
                        </w:r>
                      </w:p>
                    </w:tc>
                  </w:sdtContent>
                </w:sdt>
                <w:tc>
                  <w:tcPr>
                    <w:tcW w:w="3523" w:type="dxa"/>
                  </w:tcPr>
                  <w:p>
                    <w:pPr>
                      <w:widowControl w:val="0"/>
                      <w:jc w:val="both"/>
                      <w:rPr>
                        <w:szCs w:val="21"/>
                      </w:rPr>
                    </w:pPr>
                    <w:r>
                      <w:rPr>
                        <w:rFonts w:hint="eastAsia"/>
                        <w:szCs w:val="21"/>
                      </w:rPr>
                      <w:t>股东大会选举</w:t>
                    </w:r>
                  </w:p>
                </w:tc>
              </w:tr>
            </w:sdtContent>
          </w:sdt>
          <w:sdt>
            <w:sdtPr>
              <w:rPr>
                <w:rFonts w:asciiTheme="minorHAnsi" w:hAnsiTheme="minorHAnsi" w:eastAsiaTheme="minorEastAsia" w:cstheme="minorBidi"/>
                <w:kern w:val="2"/>
                <w:szCs w:val="21"/>
              </w:rPr>
              <w:alias w:val="在报告期内公司董事、监事、高级管理人员变动情况"/>
              <w:tag w:val="_TUP_a555fc40054b4d6a94d6a1901fa38c91"/>
              <w:id w:val="24586504"/>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widowControl w:val="0"/>
                      <w:jc w:val="both"/>
                      <w:rPr>
                        <w:szCs w:val="21"/>
                      </w:rPr>
                    </w:pPr>
                    <w:r>
                      <w:rPr>
                        <w:rFonts w:hint="eastAsia" w:asciiTheme="minorHAnsi" w:hAnsiTheme="minorHAnsi" w:eastAsiaTheme="minorEastAsia" w:cstheme="minorBidi"/>
                        <w:kern w:val="2"/>
                        <w:szCs w:val="21"/>
                      </w:rPr>
                      <w:t>韩宗桂</w:t>
                    </w:r>
                  </w:p>
                </w:tc>
                <w:tc>
                  <w:tcPr>
                    <w:tcW w:w="3522" w:type="dxa"/>
                  </w:tcPr>
                  <w:p>
                    <w:pPr>
                      <w:widowControl w:val="0"/>
                      <w:jc w:val="both"/>
                      <w:rPr>
                        <w:szCs w:val="21"/>
                      </w:rPr>
                    </w:pPr>
                    <w:r>
                      <w:rPr>
                        <w:rFonts w:hint="eastAsia"/>
                        <w:szCs w:val="21"/>
                      </w:rPr>
                      <w:t>监事</w:t>
                    </w:r>
                  </w:p>
                </w:tc>
                <w:sdt>
                  <w:sdtPr>
                    <w:rPr>
                      <w:rFonts w:ascii="Times New Roman" w:hAnsi="Times New Roman"/>
                      <w:szCs w:val="21"/>
                    </w:rPr>
                    <w:alias w:val="公司董事、监事、高级管理人员的变动情形"/>
                    <w:tag w:val="_GBC_258f9ad482344d5fbc1587e6faf0ed7b"/>
                    <w:id w:val="24586503"/>
                    <w:lock w:val="sdtLocked"/>
                    <w:comboBox>
                      <w:listItem w:displayText="选举" w:value="选举"/>
                      <w:listItem w:displayText="离任" w:value="离任"/>
                      <w:listItem w:displayText="聘任" w:value="聘任"/>
                      <w:listItem w:displayText="解聘" w:value="解聘"/>
                    </w:comboBox>
                  </w:sdtPr>
                  <w:sdtEndPr>
                    <w:rPr>
                      <w:rFonts w:ascii="Times New Roman" w:hAnsi="Times New Roman"/>
                      <w:szCs w:val="21"/>
                    </w:rPr>
                  </w:sdtEndPr>
                  <w:sdtContent>
                    <w:tc>
                      <w:tcPr>
                        <w:tcW w:w="3522" w:type="dxa"/>
                      </w:tcPr>
                      <w:p>
                        <w:pPr>
                          <w:widowControl w:val="0"/>
                          <w:jc w:val="both"/>
                          <w:rPr>
                            <w:szCs w:val="21"/>
                          </w:rPr>
                        </w:pPr>
                        <w:r>
                          <w:rPr>
                            <w:rFonts w:hint="eastAsia"/>
                            <w:szCs w:val="21"/>
                          </w:rPr>
                          <w:t>聘任</w:t>
                        </w:r>
                      </w:p>
                    </w:tc>
                  </w:sdtContent>
                </w:sdt>
                <w:tc>
                  <w:tcPr>
                    <w:tcW w:w="3523" w:type="dxa"/>
                  </w:tcPr>
                  <w:p>
                    <w:pPr>
                      <w:widowControl w:val="0"/>
                      <w:jc w:val="both"/>
                      <w:rPr>
                        <w:szCs w:val="21"/>
                      </w:rPr>
                    </w:pPr>
                    <w:r>
                      <w:rPr>
                        <w:rFonts w:hint="eastAsia"/>
                        <w:szCs w:val="21"/>
                      </w:rPr>
                      <w:t>股东大会选举</w:t>
                    </w:r>
                  </w:p>
                </w:tc>
              </w:tr>
            </w:sdtContent>
          </w:sdt>
          <w:sdt>
            <w:sdtPr>
              <w:rPr>
                <w:rFonts w:asciiTheme="minorHAnsi" w:hAnsiTheme="minorHAnsi" w:eastAsiaTheme="minorEastAsia" w:cstheme="minorBidi"/>
                <w:kern w:val="2"/>
                <w:szCs w:val="21"/>
              </w:rPr>
              <w:alias w:val="在报告期内公司董事、监事、高级管理人员变动情况"/>
              <w:tag w:val="_TUP_a555fc40054b4d6a94d6a1901fa38c91"/>
              <w:id w:val="24586506"/>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widowControl w:val="0"/>
                      <w:jc w:val="both"/>
                      <w:rPr>
                        <w:szCs w:val="21"/>
                      </w:rPr>
                    </w:pPr>
                    <w:r>
                      <w:rPr>
                        <w:rFonts w:hint="eastAsia" w:asciiTheme="minorHAnsi" w:hAnsiTheme="minorHAnsi" w:eastAsiaTheme="minorEastAsia" w:cstheme="minorBidi"/>
                        <w:kern w:val="2"/>
                        <w:szCs w:val="21"/>
                      </w:rPr>
                      <w:t>林承格</w:t>
                    </w:r>
                  </w:p>
                </w:tc>
                <w:tc>
                  <w:tcPr>
                    <w:tcW w:w="3522" w:type="dxa"/>
                  </w:tcPr>
                  <w:p>
                    <w:pPr>
                      <w:widowControl w:val="0"/>
                      <w:jc w:val="both"/>
                      <w:rPr>
                        <w:szCs w:val="21"/>
                      </w:rPr>
                    </w:pPr>
                    <w:r>
                      <w:rPr>
                        <w:rFonts w:hint="eastAsia"/>
                        <w:szCs w:val="21"/>
                      </w:rPr>
                      <w:t>监事</w:t>
                    </w:r>
                  </w:p>
                </w:tc>
                <w:sdt>
                  <w:sdtPr>
                    <w:rPr>
                      <w:rFonts w:ascii="Times New Roman" w:hAnsi="Times New Roman"/>
                      <w:szCs w:val="21"/>
                    </w:rPr>
                    <w:alias w:val="公司董事、监事、高级管理人员的变动情形"/>
                    <w:tag w:val="_GBC_258f9ad482344d5fbc1587e6faf0ed7b"/>
                    <w:id w:val="24586505"/>
                    <w:lock w:val="sdtLocked"/>
                    <w:comboBox>
                      <w:listItem w:displayText="选举" w:value="选举"/>
                      <w:listItem w:displayText="离任" w:value="离任"/>
                      <w:listItem w:displayText="聘任" w:value="聘任"/>
                      <w:listItem w:displayText="解聘" w:value="解聘"/>
                    </w:comboBox>
                  </w:sdtPr>
                  <w:sdtEndPr>
                    <w:rPr>
                      <w:rFonts w:ascii="Times New Roman" w:hAnsi="Times New Roman"/>
                      <w:szCs w:val="21"/>
                    </w:rPr>
                  </w:sdtEndPr>
                  <w:sdtContent>
                    <w:tc>
                      <w:tcPr>
                        <w:tcW w:w="3522" w:type="dxa"/>
                      </w:tcPr>
                      <w:p>
                        <w:pPr>
                          <w:widowControl w:val="0"/>
                          <w:jc w:val="both"/>
                          <w:rPr>
                            <w:szCs w:val="21"/>
                          </w:rPr>
                        </w:pPr>
                        <w:r>
                          <w:rPr>
                            <w:rFonts w:hint="eastAsia"/>
                            <w:szCs w:val="21"/>
                          </w:rPr>
                          <w:t>离任</w:t>
                        </w:r>
                      </w:p>
                    </w:tc>
                  </w:sdtContent>
                </w:sdt>
                <w:tc>
                  <w:tcPr>
                    <w:tcW w:w="3523" w:type="dxa"/>
                  </w:tcPr>
                  <w:p>
                    <w:pPr>
                      <w:widowControl w:val="0"/>
                      <w:jc w:val="both"/>
                      <w:rPr>
                        <w:szCs w:val="21"/>
                      </w:rPr>
                    </w:pPr>
                    <w:r>
                      <w:rPr>
                        <w:rFonts w:hint="eastAsia"/>
                        <w:szCs w:val="21"/>
                      </w:rPr>
                      <w:t>工作变动</w:t>
                    </w:r>
                  </w:p>
                </w:tc>
              </w:tr>
            </w:sdtContent>
          </w:sdt>
          <w:sdt>
            <w:sdtPr>
              <w:rPr>
                <w:rFonts w:asciiTheme="minorHAnsi" w:hAnsiTheme="minorHAnsi" w:eastAsiaTheme="minorEastAsia" w:cstheme="minorBidi"/>
                <w:kern w:val="2"/>
                <w:szCs w:val="21"/>
              </w:rPr>
              <w:alias w:val="在报告期内公司董事、监事、高级管理人员变动情况"/>
              <w:tag w:val="_TUP_a555fc40054b4d6a94d6a1901fa38c91"/>
              <w:id w:val="24586508"/>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widowControl w:val="0"/>
                      <w:jc w:val="both"/>
                      <w:rPr>
                        <w:szCs w:val="21"/>
                      </w:rPr>
                    </w:pPr>
                    <w:r>
                      <w:rPr>
                        <w:rFonts w:hint="eastAsia" w:asciiTheme="minorHAnsi" w:hAnsiTheme="minorHAnsi" w:eastAsiaTheme="minorEastAsia" w:cstheme="minorBidi"/>
                        <w:kern w:val="2"/>
                        <w:szCs w:val="21"/>
                      </w:rPr>
                      <w:t>覃佩诚</w:t>
                    </w:r>
                  </w:p>
                </w:tc>
                <w:tc>
                  <w:tcPr>
                    <w:tcW w:w="3522" w:type="dxa"/>
                  </w:tcPr>
                  <w:p>
                    <w:pPr>
                      <w:widowControl w:val="0"/>
                      <w:jc w:val="both"/>
                      <w:rPr>
                        <w:szCs w:val="21"/>
                      </w:rPr>
                    </w:pPr>
                    <w:r>
                      <w:rPr>
                        <w:rFonts w:hint="eastAsia"/>
                        <w:szCs w:val="21"/>
                      </w:rPr>
                      <w:t>总经理</w:t>
                    </w:r>
                  </w:p>
                </w:tc>
                <w:sdt>
                  <w:sdtPr>
                    <w:rPr>
                      <w:rFonts w:ascii="Times New Roman" w:hAnsi="Times New Roman"/>
                      <w:szCs w:val="21"/>
                    </w:rPr>
                    <w:alias w:val="公司董事、监事、高级管理人员的变动情形"/>
                    <w:tag w:val="_GBC_258f9ad482344d5fbc1587e6faf0ed7b"/>
                    <w:id w:val="24586507"/>
                    <w:lock w:val="sdtLocked"/>
                    <w:comboBox>
                      <w:listItem w:displayText="选举" w:value="选举"/>
                      <w:listItem w:displayText="离任" w:value="离任"/>
                      <w:listItem w:displayText="聘任" w:value="聘任"/>
                      <w:listItem w:displayText="解聘" w:value="解聘"/>
                    </w:comboBox>
                  </w:sdtPr>
                  <w:sdtEndPr>
                    <w:rPr>
                      <w:rFonts w:ascii="Times New Roman" w:hAnsi="Times New Roman"/>
                      <w:szCs w:val="21"/>
                    </w:rPr>
                  </w:sdtEndPr>
                  <w:sdtContent>
                    <w:tc>
                      <w:tcPr>
                        <w:tcW w:w="3522" w:type="dxa"/>
                      </w:tcPr>
                      <w:p>
                        <w:pPr>
                          <w:widowControl w:val="0"/>
                          <w:jc w:val="both"/>
                          <w:rPr>
                            <w:szCs w:val="21"/>
                          </w:rPr>
                        </w:pPr>
                        <w:r>
                          <w:rPr>
                            <w:rFonts w:hint="eastAsia"/>
                            <w:szCs w:val="21"/>
                          </w:rPr>
                          <w:t>聘任</w:t>
                        </w:r>
                      </w:p>
                    </w:tc>
                  </w:sdtContent>
                </w:sdt>
                <w:tc>
                  <w:tcPr>
                    <w:tcW w:w="3523" w:type="dxa"/>
                  </w:tcPr>
                  <w:p>
                    <w:pPr>
                      <w:widowControl w:val="0"/>
                      <w:jc w:val="both"/>
                      <w:rPr>
                        <w:szCs w:val="21"/>
                      </w:rPr>
                    </w:pPr>
                    <w:r>
                      <w:rPr>
                        <w:rFonts w:hint="eastAsia"/>
                        <w:szCs w:val="21"/>
                      </w:rPr>
                      <w:t>董事会聘任</w:t>
                    </w:r>
                  </w:p>
                </w:tc>
              </w:tr>
            </w:sdtContent>
          </w:sdt>
          <w:sdt>
            <w:sdtPr>
              <w:rPr>
                <w:rFonts w:asciiTheme="minorHAnsi" w:hAnsiTheme="minorHAnsi" w:eastAsiaTheme="minorEastAsia" w:cstheme="minorBidi"/>
                <w:kern w:val="2"/>
                <w:szCs w:val="21"/>
              </w:rPr>
              <w:alias w:val="在报告期内公司董事、监事、高级管理人员变动情况"/>
              <w:tag w:val="_TUP_a555fc40054b4d6a94d6a1901fa38c91"/>
              <w:id w:val="24586510"/>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widowControl w:val="0"/>
                      <w:jc w:val="both"/>
                      <w:rPr>
                        <w:szCs w:val="21"/>
                      </w:rPr>
                    </w:pPr>
                    <w:r>
                      <w:rPr>
                        <w:rFonts w:hint="eastAsia" w:asciiTheme="minorHAnsi" w:hAnsiTheme="minorHAnsi" w:eastAsiaTheme="minorEastAsia" w:cstheme="minorBidi"/>
                        <w:kern w:val="2"/>
                        <w:szCs w:val="21"/>
                      </w:rPr>
                      <w:t>黄元民</w:t>
                    </w:r>
                  </w:p>
                </w:tc>
                <w:tc>
                  <w:tcPr>
                    <w:tcW w:w="3522" w:type="dxa"/>
                  </w:tcPr>
                  <w:p>
                    <w:pPr>
                      <w:widowControl w:val="0"/>
                      <w:jc w:val="both"/>
                      <w:rPr>
                        <w:szCs w:val="21"/>
                      </w:rPr>
                    </w:pPr>
                    <w:r>
                      <w:rPr>
                        <w:rFonts w:hint="eastAsia"/>
                        <w:szCs w:val="21"/>
                      </w:rPr>
                      <w:t>总经理</w:t>
                    </w:r>
                  </w:p>
                </w:tc>
                <w:sdt>
                  <w:sdtPr>
                    <w:rPr>
                      <w:rFonts w:ascii="Times New Roman" w:hAnsi="Times New Roman"/>
                      <w:szCs w:val="21"/>
                    </w:rPr>
                    <w:alias w:val="公司董事、监事、高级管理人员的变动情形"/>
                    <w:tag w:val="_GBC_258f9ad482344d5fbc1587e6faf0ed7b"/>
                    <w:id w:val="24586509"/>
                    <w:lock w:val="sdtLocked"/>
                    <w:comboBox>
                      <w:listItem w:displayText="选举" w:value="选举"/>
                      <w:listItem w:displayText="离任" w:value="离任"/>
                      <w:listItem w:displayText="聘任" w:value="聘任"/>
                      <w:listItem w:displayText="解聘" w:value="解聘"/>
                    </w:comboBox>
                  </w:sdtPr>
                  <w:sdtEndPr>
                    <w:rPr>
                      <w:rFonts w:ascii="Times New Roman" w:hAnsi="Times New Roman"/>
                      <w:szCs w:val="21"/>
                    </w:rPr>
                  </w:sdtEndPr>
                  <w:sdtContent>
                    <w:tc>
                      <w:tcPr>
                        <w:tcW w:w="3522" w:type="dxa"/>
                      </w:tcPr>
                      <w:p>
                        <w:pPr>
                          <w:widowControl w:val="0"/>
                          <w:jc w:val="both"/>
                          <w:rPr>
                            <w:szCs w:val="21"/>
                          </w:rPr>
                        </w:pPr>
                        <w:r>
                          <w:rPr>
                            <w:rFonts w:hint="eastAsia"/>
                            <w:szCs w:val="21"/>
                          </w:rPr>
                          <w:t>离任</w:t>
                        </w:r>
                      </w:p>
                    </w:tc>
                  </w:sdtContent>
                </w:sdt>
                <w:tc>
                  <w:tcPr>
                    <w:tcW w:w="3523" w:type="dxa"/>
                  </w:tcPr>
                  <w:p>
                    <w:pPr>
                      <w:widowControl w:val="0"/>
                      <w:jc w:val="both"/>
                      <w:rPr>
                        <w:szCs w:val="21"/>
                      </w:rPr>
                    </w:pPr>
                    <w:r>
                      <w:rPr>
                        <w:rFonts w:hint="eastAsia"/>
                        <w:szCs w:val="21"/>
                      </w:rPr>
                      <w:t>工作变动</w:t>
                    </w:r>
                  </w:p>
                </w:tc>
              </w:tr>
            </w:sdtContent>
          </w:sdt>
          <w:sdt>
            <w:sdtPr>
              <w:rPr>
                <w:rFonts w:asciiTheme="minorHAnsi" w:hAnsiTheme="minorHAnsi" w:eastAsiaTheme="minorEastAsia" w:cstheme="minorBidi"/>
                <w:kern w:val="2"/>
                <w:szCs w:val="21"/>
              </w:rPr>
              <w:alias w:val="在报告期内公司董事、监事、高级管理人员变动情况"/>
              <w:tag w:val="_TUP_a555fc40054b4d6a94d6a1901fa38c91"/>
              <w:id w:val="24586512"/>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widowControl w:val="0"/>
                      <w:jc w:val="both"/>
                      <w:rPr>
                        <w:szCs w:val="21"/>
                      </w:rPr>
                    </w:pPr>
                    <w:r>
                      <w:rPr>
                        <w:rFonts w:hint="eastAsia" w:asciiTheme="minorHAnsi" w:hAnsiTheme="minorHAnsi" w:eastAsiaTheme="minorEastAsia" w:cstheme="minorBidi"/>
                        <w:kern w:val="2"/>
                        <w:szCs w:val="21"/>
                      </w:rPr>
                      <w:t>裴侃</w:t>
                    </w:r>
                  </w:p>
                </w:tc>
                <w:tc>
                  <w:tcPr>
                    <w:tcW w:w="3522" w:type="dxa"/>
                  </w:tcPr>
                  <w:p>
                    <w:pPr>
                      <w:widowControl w:val="0"/>
                      <w:jc w:val="both"/>
                      <w:rPr>
                        <w:szCs w:val="21"/>
                      </w:rPr>
                    </w:pPr>
                    <w:r>
                      <w:rPr>
                        <w:rFonts w:hint="eastAsia"/>
                        <w:szCs w:val="21"/>
                      </w:rPr>
                      <w:t>副总经理、董事会秘书</w:t>
                    </w:r>
                  </w:p>
                </w:tc>
                <w:sdt>
                  <w:sdtPr>
                    <w:rPr>
                      <w:rFonts w:ascii="Times New Roman" w:hAnsi="Times New Roman"/>
                      <w:szCs w:val="21"/>
                    </w:rPr>
                    <w:alias w:val="公司董事、监事、高级管理人员的变动情形"/>
                    <w:tag w:val="_GBC_258f9ad482344d5fbc1587e6faf0ed7b"/>
                    <w:id w:val="24586511"/>
                    <w:lock w:val="sdtLocked"/>
                    <w:comboBox>
                      <w:listItem w:displayText="选举" w:value="选举"/>
                      <w:listItem w:displayText="离任" w:value="离任"/>
                      <w:listItem w:displayText="聘任" w:value="聘任"/>
                      <w:listItem w:displayText="解聘" w:value="解聘"/>
                    </w:comboBox>
                  </w:sdtPr>
                  <w:sdtEndPr>
                    <w:rPr>
                      <w:rFonts w:ascii="Times New Roman" w:hAnsi="Times New Roman"/>
                      <w:szCs w:val="21"/>
                    </w:rPr>
                  </w:sdtEndPr>
                  <w:sdtContent>
                    <w:tc>
                      <w:tcPr>
                        <w:tcW w:w="3522" w:type="dxa"/>
                      </w:tcPr>
                      <w:p>
                        <w:pPr>
                          <w:widowControl w:val="0"/>
                          <w:jc w:val="both"/>
                          <w:rPr>
                            <w:szCs w:val="21"/>
                          </w:rPr>
                        </w:pPr>
                        <w:r>
                          <w:rPr>
                            <w:rFonts w:hint="eastAsia"/>
                            <w:szCs w:val="21"/>
                          </w:rPr>
                          <w:t>聘任</w:t>
                        </w:r>
                      </w:p>
                    </w:tc>
                  </w:sdtContent>
                </w:sdt>
                <w:tc>
                  <w:tcPr>
                    <w:tcW w:w="3523" w:type="dxa"/>
                  </w:tcPr>
                  <w:p>
                    <w:pPr>
                      <w:widowControl w:val="0"/>
                      <w:jc w:val="both"/>
                      <w:rPr>
                        <w:szCs w:val="21"/>
                      </w:rPr>
                    </w:pPr>
                    <w:r>
                      <w:rPr>
                        <w:rFonts w:hint="eastAsia"/>
                        <w:szCs w:val="21"/>
                      </w:rPr>
                      <w:t>董事会聘任</w:t>
                    </w:r>
                  </w:p>
                </w:tc>
              </w:tr>
            </w:sdtContent>
          </w:sdt>
          <w:sdt>
            <w:sdtPr>
              <w:rPr>
                <w:rFonts w:asciiTheme="minorHAnsi" w:hAnsiTheme="minorHAnsi" w:eastAsiaTheme="minorEastAsia" w:cstheme="minorBidi"/>
                <w:kern w:val="2"/>
                <w:szCs w:val="21"/>
              </w:rPr>
              <w:alias w:val="在报告期内公司董事、监事、高级管理人员变动情况"/>
              <w:tag w:val="_TUP_a555fc40054b4d6a94d6a1901fa38c91"/>
              <w:id w:val="24586514"/>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widowControl w:val="0"/>
                      <w:jc w:val="both"/>
                      <w:rPr>
                        <w:szCs w:val="21"/>
                      </w:rPr>
                    </w:pPr>
                    <w:r>
                      <w:rPr>
                        <w:rFonts w:hint="eastAsia" w:asciiTheme="minorHAnsi" w:hAnsiTheme="minorHAnsi" w:eastAsiaTheme="minorEastAsia" w:cstheme="minorBidi"/>
                        <w:kern w:val="2"/>
                        <w:szCs w:val="21"/>
                      </w:rPr>
                      <w:t>王世辉</w:t>
                    </w:r>
                  </w:p>
                </w:tc>
                <w:tc>
                  <w:tcPr>
                    <w:tcW w:w="3522" w:type="dxa"/>
                  </w:tcPr>
                  <w:p>
                    <w:pPr>
                      <w:widowControl w:val="0"/>
                      <w:jc w:val="both"/>
                      <w:rPr>
                        <w:szCs w:val="21"/>
                      </w:rPr>
                    </w:pPr>
                    <w:r>
                      <w:rPr>
                        <w:rFonts w:hint="eastAsia"/>
                        <w:szCs w:val="21"/>
                      </w:rPr>
                      <w:t>副总经理</w:t>
                    </w:r>
                  </w:p>
                </w:tc>
                <w:sdt>
                  <w:sdtPr>
                    <w:rPr>
                      <w:rFonts w:ascii="Times New Roman" w:hAnsi="Times New Roman"/>
                      <w:szCs w:val="21"/>
                    </w:rPr>
                    <w:alias w:val="公司董事、监事、高级管理人员的变动情形"/>
                    <w:tag w:val="_GBC_258f9ad482344d5fbc1587e6faf0ed7b"/>
                    <w:id w:val="24586513"/>
                    <w:lock w:val="sdtLocked"/>
                    <w:comboBox>
                      <w:listItem w:displayText="选举" w:value="选举"/>
                      <w:listItem w:displayText="离任" w:value="离任"/>
                      <w:listItem w:displayText="聘任" w:value="聘任"/>
                      <w:listItem w:displayText="解聘" w:value="解聘"/>
                    </w:comboBox>
                  </w:sdtPr>
                  <w:sdtEndPr>
                    <w:rPr>
                      <w:rFonts w:ascii="Times New Roman" w:hAnsi="Times New Roman"/>
                      <w:szCs w:val="21"/>
                    </w:rPr>
                  </w:sdtEndPr>
                  <w:sdtContent>
                    <w:tc>
                      <w:tcPr>
                        <w:tcW w:w="3522" w:type="dxa"/>
                      </w:tcPr>
                      <w:p>
                        <w:pPr>
                          <w:widowControl w:val="0"/>
                          <w:jc w:val="both"/>
                          <w:rPr>
                            <w:szCs w:val="21"/>
                          </w:rPr>
                        </w:pPr>
                        <w:r>
                          <w:rPr>
                            <w:szCs w:val="21"/>
                          </w:rPr>
                          <w:t>离任</w:t>
                        </w:r>
                      </w:p>
                    </w:tc>
                  </w:sdtContent>
                </w:sdt>
                <w:tc>
                  <w:tcPr>
                    <w:tcW w:w="3523" w:type="dxa"/>
                  </w:tcPr>
                  <w:p>
                    <w:pPr>
                      <w:widowControl w:val="0"/>
                      <w:jc w:val="both"/>
                      <w:rPr>
                        <w:szCs w:val="21"/>
                      </w:rPr>
                    </w:pPr>
                    <w:r>
                      <w:rPr>
                        <w:rFonts w:hint="eastAsia"/>
                        <w:szCs w:val="21"/>
                      </w:rPr>
                      <w:t>工作变动</w:t>
                    </w:r>
                  </w:p>
                </w:tc>
              </w:tr>
            </w:sdtContent>
          </w:sdt>
        </w:tbl>
        <w:p/>
        <w:p/>
      </w:sdtContent>
    </w:sdt>
    <w:p>
      <w:pPr>
        <w:rPr>
          <w:szCs w:val="21"/>
        </w:rPr>
      </w:pPr>
    </w:p>
    <w:sdt>
      <w:sdtPr>
        <w:rPr>
          <w:rFonts w:hint="eastAsia" w:ascii="宋体" w:hAnsi="宋体" w:cs="宋体"/>
          <w:b w:val="0"/>
          <w:bCs w:val="0"/>
          <w:kern w:val="0"/>
          <w:szCs w:val="24"/>
        </w:rPr>
        <w:alias w:val="模块:近三年受证券监管机构处罚的情况说明"/>
        <w:tag w:val="_SEC_875293df28e7452fbf15edc09d4ebaa5"/>
        <w:id w:val="6773624"/>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47"/>
            </w:numPr>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6773623"/>
            <w:lock w:val="sdtContentLocked"/>
            <w:placeholder>
              <w:docPart w:val="GBC22222222222222222222222222222"/>
            </w:placeholder>
          </w:sdtPr>
          <w:sdtEndPr>
            <w:rPr>
              <w:szCs w:val="21"/>
            </w:rPr>
          </w:sdtEndPr>
          <w:sdtContent>
            <w:p>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
          <w:pPr>
            <w:sectPr>
              <w:pgSz w:w="16838" w:h="11906" w:orient="landscape"/>
              <w:pgMar w:top="1276" w:right="1440" w:bottom="1797" w:left="1525" w:header="855" w:footer="992" w:gutter="0"/>
              <w:cols w:space="425" w:num="1"/>
              <w:docGrid w:linePitch="312" w:charSpace="0"/>
            </w:sectPr>
          </w:pPr>
        </w:p>
        <w:p/>
      </w:sdtContent>
    </w:sdt>
    <w:p>
      <w:pPr>
        <w:pStyle w:val="3"/>
        <w:numPr>
          <w:ilvl w:val="0"/>
          <w:numId w:val="47"/>
        </w:numPr>
      </w:pPr>
      <w:r>
        <w:t>母公司和主要子公司的员工情况</w:t>
      </w:r>
    </w:p>
    <w:sdt>
      <w:sdtPr>
        <w:rPr>
          <w:rFonts w:ascii="宋体" w:hAnsi="宋体" w:cs="宋体"/>
          <w:b w:val="0"/>
          <w:bCs w:val="0"/>
          <w:kern w:val="0"/>
          <w:szCs w:val="21"/>
        </w:rPr>
        <w:alias w:val="模块:员工情况"/>
        <w:tag w:val="_SEC_0440d72c416541b2a9524042fde884dd"/>
        <w:id w:val="6773649"/>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50"/>
            </w:numPr>
            <w:rPr>
              <w:szCs w:val="21"/>
            </w:rPr>
          </w:pPr>
          <w:r>
            <w:rPr>
              <w:szCs w:val="21"/>
            </w:rPr>
            <w:t>员工情况</w:t>
          </w:r>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sdt>
              <w:sdtPr>
                <w:tag w:val="_PLD_41e0afeee40540bfbf0d3491a671e9d6"/>
                <w:id w:val="6773625"/>
                <w:lock w:val="sdtLocked"/>
              </w:sdtPr>
              <w:sdtContent>
                <w:tc>
                  <w:tcPr>
                    <w:tcW w:w="4524" w:type="dxa"/>
                  </w:tcPr>
                  <w:p>
                    <w:pPr>
                      <w:widowControl w:val="0"/>
                      <w:jc w:val="both"/>
                      <w:rPr>
                        <w:szCs w:val="21"/>
                      </w:rPr>
                    </w:pPr>
                    <w:r>
                      <w:rPr>
                        <w:szCs w:val="21"/>
                      </w:rPr>
                      <w:t>母公司在职员工的数量</w:t>
                    </w:r>
                  </w:p>
                </w:tc>
              </w:sdtContent>
            </w:sdt>
            <w:tc>
              <w:tcPr>
                <w:tcW w:w="4525" w:type="dxa"/>
              </w:tcPr>
              <w:p>
                <w:pPr>
                  <w:widowControl w:val="0"/>
                  <w:jc w:val="right"/>
                  <w:rPr>
                    <w:szCs w:val="21"/>
                  </w:rPr>
                </w:pPr>
                <w:r>
                  <w:rPr>
                    <w:szCs w:val="21"/>
                  </w:rPr>
                  <w:t>9,742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sdt>
              <w:sdtPr>
                <w:tag w:val="_PLD_5b53091580ea4a7eaea6801f7859225b"/>
                <w:id w:val="6773626"/>
                <w:lock w:val="sdtLocked"/>
              </w:sdtPr>
              <w:sdtContent>
                <w:tc>
                  <w:tcPr>
                    <w:tcW w:w="4524" w:type="dxa"/>
                  </w:tcPr>
                  <w:p>
                    <w:pPr>
                      <w:widowControl w:val="0"/>
                      <w:jc w:val="both"/>
                      <w:rPr>
                        <w:szCs w:val="21"/>
                      </w:rPr>
                    </w:pPr>
                    <w:r>
                      <w:rPr>
                        <w:szCs w:val="21"/>
                      </w:rPr>
                      <w:t>主要子公司在职员工的数量</w:t>
                    </w:r>
                  </w:p>
                </w:tc>
              </w:sdtContent>
            </w:sdt>
            <w:tc>
              <w:tcPr>
                <w:tcW w:w="4525" w:type="dxa"/>
              </w:tcPr>
              <w:p>
                <w:pPr>
                  <w:widowControl w:val="0"/>
                  <w:jc w:val="right"/>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sdt>
              <w:sdtPr>
                <w:tag w:val="_PLD_e7fddbc567784ed9a5d25f714a6729d7"/>
                <w:id w:val="6773627"/>
                <w:lock w:val="sdtLocked"/>
              </w:sdtPr>
              <w:sdtContent>
                <w:tc>
                  <w:tcPr>
                    <w:tcW w:w="4524" w:type="dxa"/>
                  </w:tcPr>
                  <w:p>
                    <w:pPr>
                      <w:widowControl w:val="0"/>
                      <w:jc w:val="both"/>
                      <w:rPr>
                        <w:szCs w:val="21"/>
                      </w:rPr>
                    </w:pPr>
                    <w:r>
                      <w:rPr>
                        <w:szCs w:val="21"/>
                      </w:rPr>
                      <w:t>在职员工的数量合计</w:t>
                    </w:r>
                  </w:p>
                </w:tc>
              </w:sdtContent>
            </w:sdt>
            <w:tc>
              <w:tcPr>
                <w:tcW w:w="4525" w:type="dxa"/>
              </w:tcPr>
              <w:p>
                <w:pPr>
                  <w:widowControl w:val="0"/>
                  <w:jc w:val="right"/>
                  <w:rPr>
                    <w:szCs w:val="21"/>
                  </w:rPr>
                </w:pPr>
                <w:r>
                  <w:rPr>
                    <w:szCs w:val="21"/>
                  </w:rPr>
                  <w:t>9,742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sdt>
              <w:sdtPr>
                <w:tag w:val="_PLD_bb9424f5bb9948c9b67050faab107762"/>
                <w:id w:val="6773628"/>
                <w:lock w:val="sdtLocked"/>
              </w:sdtPr>
              <w:sdtContent>
                <w:tc>
                  <w:tcPr>
                    <w:tcW w:w="4524" w:type="dxa"/>
                  </w:tcPr>
                  <w:p>
                    <w:pPr>
                      <w:widowControl w:val="0"/>
                      <w:jc w:val="both"/>
                      <w:rPr>
                        <w:szCs w:val="21"/>
                      </w:rPr>
                    </w:pPr>
                    <w:r>
                      <w:rPr>
                        <w:szCs w:val="21"/>
                      </w:rPr>
                      <w:t>母公司及主要子公司需承担费用的离退休职工人数</w:t>
                    </w:r>
                  </w:p>
                </w:tc>
              </w:sdtContent>
            </w:sdt>
            <w:tc>
              <w:tcPr>
                <w:tcW w:w="4525" w:type="dxa"/>
              </w:tcPr>
              <w:p>
                <w:pPr>
                  <w:widowControl w:val="0"/>
                  <w:jc w:val="right"/>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sdt>
              <w:sdtPr>
                <w:tag w:val="_PLD_a16e85be9ed645e8908d4497006ed233"/>
                <w:id w:val="6773629"/>
                <w:lock w:val="sdtLocked"/>
              </w:sdtPr>
              <w:sdtContent>
                <w:tc>
                  <w:tcPr>
                    <w:tcW w:w="9049" w:type="dxa"/>
                    <w:gridSpan w:val="2"/>
                    <w:vAlign w:val="center"/>
                  </w:tcPr>
                  <w:p>
                    <w:pPr>
                      <w:widowControl w:val="0"/>
                      <w:jc w:val="center"/>
                      <w:rPr>
                        <w:szCs w:val="21"/>
                      </w:rPr>
                    </w:pPr>
                    <w:r>
                      <w:rPr>
                        <w:szCs w:val="21"/>
                      </w:rPr>
                      <w:t>专业构成</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tag w:val="_PLD_4cf2af41be054d30903166be0e985792"/>
                <w:id w:val="6773630"/>
                <w:lock w:val="sdtLocked"/>
              </w:sdtPr>
              <w:sdtContent>
                <w:tc>
                  <w:tcPr>
                    <w:tcW w:w="4524" w:type="dxa"/>
                  </w:tcPr>
                  <w:p>
                    <w:pPr>
                      <w:widowControl w:val="0"/>
                      <w:jc w:val="center"/>
                      <w:rPr>
                        <w:szCs w:val="21"/>
                      </w:rPr>
                    </w:pPr>
                    <w:r>
                      <w:rPr>
                        <w:szCs w:val="21"/>
                      </w:rPr>
                      <w:t>专业构成类别</w:t>
                    </w:r>
                  </w:p>
                </w:tc>
              </w:sdtContent>
            </w:sdt>
            <w:sdt>
              <w:sdtPr>
                <w:tag w:val="_PLD_f49ab23347c14b7bb887d04f9190eff8"/>
                <w:id w:val="6773631"/>
                <w:lock w:val="sdtLocked"/>
              </w:sdtPr>
              <w:sdtContent>
                <w:tc>
                  <w:tcPr>
                    <w:tcW w:w="4525" w:type="dxa"/>
                  </w:tcPr>
                  <w:p>
                    <w:pPr>
                      <w:widowControl w:val="0"/>
                      <w:jc w:val="center"/>
                      <w:rPr>
                        <w:szCs w:val="21"/>
                      </w:rPr>
                    </w:pPr>
                    <w:r>
                      <w:rPr>
                        <w:szCs w:val="21"/>
                      </w:rPr>
                      <w:t>专业构成人数</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tag w:val="_PLD_adf2e9d83bbe460a8b3614d06a665b6a"/>
                <w:id w:val="6773632"/>
                <w:lock w:val="sdtLocked"/>
              </w:sdtPr>
              <w:sdtContent>
                <w:tc>
                  <w:tcPr>
                    <w:tcW w:w="4524" w:type="dxa"/>
                  </w:tcPr>
                  <w:p>
                    <w:pPr>
                      <w:widowControl w:val="0"/>
                      <w:jc w:val="center"/>
                      <w:rPr>
                        <w:szCs w:val="21"/>
                      </w:rPr>
                    </w:pPr>
                    <w:r>
                      <w:rPr>
                        <w:szCs w:val="21"/>
                      </w:rPr>
                      <w:t>生产人员</w:t>
                    </w:r>
                  </w:p>
                </w:tc>
              </w:sdtContent>
            </w:sdt>
            <w:tc>
              <w:tcPr>
                <w:tcW w:w="4525" w:type="dxa"/>
              </w:tcPr>
              <w:p>
                <w:pPr>
                  <w:widowControl w:val="0"/>
                  <w:jc w:val="right"/>
                  <w:rPr>
                    <w:szCs w:val="21"/>
                  </w:rPr>
                </w:pPr>
                <w:r>
                  <w:rPr>
                    <w:szCs w:val="21"/>
                  </w:rPr>
                  <w:t>8,073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tag w:val="_PLD_81981ed824c34ebd8b2027a1372174c4"/>
                <w:id w:val="6773633"/>
                <w:lock w:val="sdtLocked"/>
              </w:sdtPr>
              <w:sdtContent>
                <w:tc>
                  <w:tcPr>
                    <w:tcW w:w="4524" w:type="dxa"/>
                  </w:tcPr>
                  <w:p>
                    <w:pPr>
                      <w:widowControl w:val="0"/>
                      <w:jc w:val="center"/>
                      <w:rPr>
                        <w:szCs w:val="21"/>
                      </w:rPr>
                    </w:pPr>
                    <w:r>
                      <w:rPr>
                        <w:szCs w:val="21"/>
                      </w:rPr>
                      <w:t>销售人员</w:t>
                    </w:r>
                  </w:p>
                </w:tc>
              </w:sdtContent>
            </w:sdt>
            <w:tc>
              <w:tcPr>
                <w:tcW w:w="4525" w:type="dxa"/>
              </w:tcPr>
              <w:p>
                <w:pPr>
                  <w:widowControl w:val="0"/>
                  <w:jc w:val="right"/>
                  <w:rPr>
                    <w:szCs w:val="21"/>
                  </w:rPr>
                </w:pPr>
                <w:r>
                  <w:rPr>
                    <w:rFonts w:hint="eastAsia"/>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sdt>
              <w:sdtPr>
                <w:tag w:val="_PLD_df7eaa88ba784e11889af64a9fedb785"/>
                <w:id w:val="6773634"/>
                <w:lock w:val="sdtLocked"/>
              </w:sdtPr>
              <w:sdtContent>
                <w:tc>
                  <w:tcPr>
                    <w:tcW w:w="4524" w:type="dxa"/>
                  </w:tcPr>
                  <w:p>
                    <w:pPr>
                      <w:widowControl w:val="0"/>
                      <w:jc w:val="center"/>
                      <w:rPr>
                        <w:szCs w:val="21"/>
                      </w:rPr>
                    </w:pPr>
                    <w:r>
                      <w:rPr>
                        <w:szCs w:val="21"/>
                      </w:rPr>
                      <w:t>技术人员</w:t>
                    </w:r>
                  </w:p>
                </w:tc>
              </w:sdtContent>
            </w:sdt>
            <w:tc>
              <w:tcPr>
                <w:tcW w:w="4525" w:type="dxa"/>
              </w:tcPr>
              <w:p>
                <w:pPr>
                  <w:widowControl w:val="0"/>
                  <w:jc w:val="right"/>
                  <w:rPr>
                    <w:szCs w:val="21"/>
                  </w:rPr>
                </w:pPr>
                <w:r>
                  <w:rPr>
                    <w:rFonts w:hint="eastAsia"/>
                    <w:szCs w:val="21"/>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sdt>
              <w:sdtPr>
                <w:tag w:val="_PLD_aac131e637e2461daf9956e42a8ff654"/>
                <w:id w:val="6773635"/>
                <w:lock w:val="sdtLocked"/>
              </w:sdtPr>
              <w:sdtContent>
                <w:tc>
                  <w:tcPr>
                    <w:tcW w:w="4524" w:type="dxa"/>
                  </w:tcPr>
                  <w:p>
                    <w:pPr>
                      <w:widowControl w:val="0"/>
                      <w:jc w:val="center"/>
                      <w:rPr>
                        <w:szCs w:val="21"/>
                      </w:rPr>
                    </w:pPr>
                    <w:r>
                      <w:rPr>
                        <w:szCs w:val="21"/>
                      </w:rPr>
                      <w:t>财务人员</w:t>
                    </w:r>
                  </w:p>
                </w:tc>
              </w:sdtContent>
            </w:sdt>
            <w:tc>
              <w:tcPr>
                <w:tcW w:w="4525" w:type="dxa"/>
              </w:tcPr>
              <w:p>
                <w:pPr>
                  <w:widowControl w:val="0"/>
                  <w:jc w:val="right"/>
                  <w:rPr>
                    <w:szCs w:val="21"/>
                  </w:rPr>
                </w:pPr>
                <w:r>
                  <w:rPr>
                    <w:rFonts w:hint="eastAsia"/>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tag w:val="_PLD_f32a03d99fca4bd3ac59e9419f160f9e"/>
                <w:id w:val="6773636"/>
                <w:lock w:val="sdtLocked"/>
              </w:sdtPr>
              <w:sdtContent>
                <w:tc>
                  <w:tcPr>
                    <w:tcW w:w="4524" w:type="dxa"/>
                  </w:tcPr>
                  <w:p>
                    <w:pPr>
                      <w:widowControl w:val="0"/>
                      <w:jc w:val="center"/>
                      <w:rPr>
                        <w:szCs w:val="21"/>
                      </w:rPr>
                    </w:pPr>
                    <w:r>
                      <w:rPr>
                        <w:szCs w:val="21"/>
                      </w:rPr>
                      <w:t>行政人员</w:t>
                    </w:r>
                  </w:p>
                </w:tc>
              </w:sdtContent>
            </w:sdt>
            <w:tc>
              <w:tcPr>
                <w:tcW w:w="4525" w:type="dxa"/>
              </w:tcPr>
              <w:p>
                <w:pPr>
                  <w:widowControl w:val="0"/>
                  <w:jc w:val="right"/>
                  <w:rPr>
                    <w:szCs w:val="21"/>
                  </w:rPr>
                </w:pPr>
                <w:r>
                  <w:rPr>
                    <w:rFonts w:hint="eastAsia"/>
                    <w:szCs w:val="21"/>
                  </w:rPr>
                  <w:t>900</w:t>
                </w:r>
              </w:p>
            </w:tc>
          </w:tr>
          <w:sdt>
            <w:sdtPr>
              <w:rPr>
                <w:rFonts w:asciiTheme="minorHAnsi" w:hAnsiTheme="minorHAnsi" w:eastAsiaTheme="minorEastAsia" w:cstheme="minorBidi"/>
                <w:kern w:val="2"/>
                <w:szCs w:val="21"/>
              </w:rPr>
              <w:alias w:val="专业构成情况"/>
              <w:tag w:val="_TUP_7e4fa19ab4fd41e2b5a7ff1c123982ad"/>
              <w:id w:val="6773637"/>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widowControl w:val="0"/>
                      <w:jc w:val="both"/>
                      <w:rPr>
                        <w:szCs w:val="21"/>
                      </w:rPr>
                    </w:pPr>
                  </w:p>
                </w:tc>
                <w:tc>
                  <w:tcPr>
                    <w:tcW w:w="4525" w:type="dxa"/>
                  </w:tcPr>
                  <w:p>
                    <w:pPr>
                      <w:widowControl w:val="0"/>
                      <w:jc w:val="right"/>
                      <w:rPr>
                        <w:szCs w:val="21"/>
                      </w:rPr>
                    </w:pPr>
                  </w:p>
                </w:tc>
              </w:tr>
            </w:sdtContent>
          </w:sdt>
          <w:sdt>
            <w:sdtPr>
              <w:rPr>
                <w:rFonts w:asciiTheme="minorHAnsi" w:hAnsiTheme="minorHAnsi" w:eastAsiaTheme="minorEastAsia" w:cstheme="minorBidi"/>
                <w:kern w:val="2"/>
                <w:szCs w:val="21"/>
              </w:rPr>
              <w:alias w:val="专业构成情况"/>
              <w:tag w:val="_TUP_7e4fa19ab4fd41e2b5a7ff1c123982ad"/>
              <w:id w:val="6773638"/>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widowControl w:val="0"/>
                      <w:jc w:val="both"/>
                      <w:rPr>
                        <w:szCs w:val="21"/>
                      </w:rPr>
                    </w:pPr>
                  </w:p>
                </w:tc>
                <w:tc>
                  <w:tcPr>
                    <w:tcW w:w="4525" w:type="dxa"/>
                  </w:tcPr>
                  <w:p>
                    <w:pPr>
                      <w:widowControl w:val="0"/>
                      <w:jc w:val="right"/>
                      <w:rPr>
                        <w:szCs w:val="21"/>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sdt>
              <w:sdtPr>
                <w:tag w:val="_PLD_0d05ce79c1de4830a12be75c0c468159"/>
                <w:id w:val="6773639"/>
                <w:lock w:val="sdtLocked"/>
              </w:sdtPr>
              <w:sdtContent>
                <w:tc>
                  <w:tcPr>
                    <w:tcW w:w="4524" w:type="dxa"/>
                    <w:vAlign w:val="center"/>
                  </w:tcPr>
                  <w:p>
                    <w:pPr>
                      <w:widowControl w:val="0"/>
                      <w:jc w:val="center"/>
                      <w:rPr>
                        <w:szCs w:val="21"/>
                      </w:rPr>
                    </w:pPr>
                    <w:r>
                      <w:rPr>
                        <w:szCs w:val="21"/>
                      </w:rPr>
                      <w:t>合计</w:t>
                    </w:r>
                  </w:p>
                </w:tc>
              </w:sdtContent>
            </w:sdt>
            <w:tc>
              <w:tcPr>
                <w:tcW w:w="4525" w:type="dxa"/>
              </w:tcPr>
              <w:p>
                <w:pPr>
                  <w:widowControl w:val="0"/>
                  <w:jc w:val="right"/>
                  <w:rPr>
                    <w:szCs w:val="21"/>
                  </w:rPr>
                </w:pPr>
                <w:r>
                  <w:rPr>
                    <w:szCs w:val="21"/>
                  </w:rPr>
                  <w:t>9,742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sdt>
              <w:sdtPr>
                <w:tag w:val="_PLD_b43260923fc74a9e8b449948e7aa0963"/>
                <w:id w:val="6773640"/>
                <w:lock w:val="sdtLocked"/>
              </w:sdtPr>
              <w:sdtContent>
                <w:tc>
                  <w:tcPr>
                    <w:tcW w:w="9049" w:type="dxa"/>
                    <w:gridSpan w:val="2"/>
                    <w:vAlign w:val="center"/>
                  </w:tcPr>
                  <w:p>
                    <w:pPr>
                      <w:widowControl w:val="0"/>
                      <w:jc w:val="center"/>
                      <w:rPr>
                        <w:szCs w:val="21"/>
                      </w:rPr>
                    </w:pPr>
                    <w:r>
                      <w:rPr>
                        <w:szCs w:val="21"/>
                      </w:rPr>
                      <w:t>教育程度</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sdt>
              <w:sdtPr>
                <w:tag w:val="_PLD_d0288e0074e54b34b561e013c97ef058"/>
                <w:id w:val="6773641"/>
                <w:lock w:val="sdtLocked"/>
              </w:sdtPr>
              <w:sdtContent>
                <w:tc>
                  <w:tcPr>
                    <w:tcW w:w="4524" w:type="dxa"/>
                  </w:tcPr>
                  <w:p>
                    <w:pPr>
                      <w:widowControl w:val="0"/>
                      <w:jc w:val="center"/>
                      <w:rPr>
                        <w:szCs w:val="21"/>
                      </w:rPr>
                    </w:pPr>
                    <w:r>
                      <w:rPr>
                        <w:szCs w:val="21"/>
                      </w:rPr>
                      <w:t>教育程度类别</w:t>
                    </w:r>
                  </w:p>
                </w:tc>
              </w:sdtContent>
            </w:sdt>
            <w:sdt>
              <w:sdtPr>
                <w:tag w:val="_PLD_5a62d94b34d34286ae31019c2fd90ec6"/>
                <w:id w:val="6773642"/>
                <w:lock w:val="sdtLocked"/>
              </w:sdtPr>
              <w:sdtContent>
                <w:tc>
                  <w:tcPr>
                    <w:tcW w:w="4525" w:type="dxa"/>
                  </w:tcPr>
                  <w:p>
                    <w:pPr>
                      <w:widowControl w:val="0"/>
                      <w:jc w:val="center"/>
                      <w:rPr>
                        <w:szCs w:val="21"/>
                      </w:rPr>
                    </w:pPr>
                    <w:r>
                      <w:rPr>
                        <w:szCs w:val="21"/>
                      </w:rPr>
                      <w:t>数量（人）</w:t>
                    </w:r>
                  </w:p>
                </w:tc>
              </w:sdtContent>
            </w:sdt>
          </w:tr>
          <w:sdt>
            <w:sdtPr>
              <w:rPr>
                <w:rFonts w:asciiTheme="minorHAnsi" w:hAnsiTheme="minorHAnsi" w:eastAsiaTheme="minorEastAsia" w:cstheme="minorBidi"/>
                <w:kern w:val="2"/>
                <w:szCs w:val="21"/>
              </w:rPr>
              <w:alias w:val="教育程度情况"/>
              <w:tag w:val="_TUP_505249756aef464eb97e1e72cf926f9e"/>
              <w:id w:val="6773643"/>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widowControl w:val="0"/>
                      <w:jc w:val="both"/>
                      <w:rPr>
                        <w:szCs w:val="21"/>
                      </w:rPr>
                    </w:pPr>
                    <w:r>
                      <w:rPr>
                        <w:rFonts w:hint="eastAsia"/>
                        <w:szCs w:val="21"/>
                      </w:rPr>
                      <w:t>研究生及以上</w:t>
                    </w:r>
                  </w:p>
                </w:tc>
                <w:tc>
                  <w:tcPr>
                    <w:tcW w:w="4525" w:type="dxa"/>
                  </w:tcPr>
                  <w:p>
                    <w:pPr>
                      <w:widowControl w:val="0"/>
                      <w:jc w:val="right"/>
                      <w:rPr>
                        <w:szCs w:val="21"/>
                      </w:rPr>
                    </w:pPr>
                    <w:r>
                      <w:rPr>
                        <w:rFonts w:hint="eastAsia"/>
                        <w:szCs w:val="21"/>
                      </w:rPr>
                      <w:t>149</w:t>
                    </w:r>
                  </w:p>
                </w:tc>
              </w:tr>
            </w:sdtContent>
          </w:sdt>
          <w:sdt>
            <w:sdtPr>
              <w:rPr>
                <w:rFonts w:asciiTheme="minorHAnsi" w:hAnsiTheme="minorHAnsi" w:eastAsiaTheme="minorEastAsia" w:cstheme="minorBidi"/>
                <w:kern w:val="2"/>
                <w:szCs w:val="21"/>
              </w:rPr>
              <w:alias w:val="教育程度情况"/>
              <w:tag w:val="_TUP_505249756aef464eb97e1e72cf926f9e"/>
              <w:id w:val="6773644"/>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widowControl w:val="0"/>
                      <w:jc w:val="both"/>
                      <w:rPr>
                        <w:szCs w:val="21"/>
                      </w:rPr>
                    </w:pPr>
                    <w:r>
                      <w:rPr>
                        <w:rFonts w:hint="eastAsia"/>
                        <w:szCs w:val="21"/>
                      </w:rPr>
                      <w:t>本科</w:t>
                    </w:r>
                  </w:p>
                </w:tc>
                <w:tc>
                  <w:tcPr>
                    <w:tcW w:w="4525" w:type="dxa"/>
                  </w:tcPr>
                  <w:p>
                    <w:pPr>
                      <w:widowControl w:val="0"/>
                      <w:jc w:val="right"/>
                      <w:rPr>
                        <w:szCs w:val="21"/>
                      </w:rPr>
                    </w:pPr>
                    <w:r>
                      <w:rPr>
                        <w:szCs w:val="21"/>
                      </w:rPr>
                      <w:t>1,745</w:t>
                    </w:r>
                  </w:p>
                </w:tc>
              </w:tr>
            </w:sdtContent>
          </w:sdt>
          <w:sdt>
            <w:sdtPr>
              <w:rPr>
                <w:rFonts w:asciiTheme="minorHAnsi" w:hAnsiTheme="minorHAnsi" w:eastAsiaTheme="minorEastAsia" w:cstheme="minorBidi"/>
                <w:kern w:val="2"/>
                <w:szCs w:val="21"/>
              </w:rPr>
              <w:alias w:val="教育程度情况"/>
              <w:tag w:val="_TUP_505249756aef464eb97e1e72cf926f9e"/>
              <w:id w:val="6773645"/>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widowControl w:val="0"/>
                      <w:jc w:val="both"/>
                      <w:rPr>
                        <w:szCs w:val="21"/>
                      </w:rPr>
                    </w:pPr>
                    <w:r>
                      <w:rPr>
                        <w:rFonts w:hint="eastAsia" w:asciiTheme="minorHAnsi" w:hAnsiTheme="minorHAnsi" w:eastAsiaTheme="minorEastAsia" w:cstheme="minorBidi"/>
                        <w:kern w:val="2"/>
                        <w:szCs w:val="21"/>
                      </w:rPr>
                      <w:t>大专</w:t>
                    </w:r>
                  </w:p>
                </w:tc>
                <w:tc>
                  <w:tcPr>
                    <w:tcW w:w="4525" w:type="dxa"/>
                  </w:tcPr>
                  <w:p>
                    <w:pPr>
                      <w:widowControl w:val="0"/>
                      <w:jc w:val="right"/>
                      <w:rPr>
                        <w:szCs w:val="21"/>
                      </w:rPr>
                    </w:pPr>
                    <w:r>
                      <w:rPr>
                        <w:szCs w:val="21"/>
                      </w:rPr>
                      <w:t>4,259</w:t>
                    </w:r>
                  </w:p>
                </w:tc>
              </w:tr>
            </w:sdtContent>
          </w:sdt>
          <w:sdt>
            <w:sdtPr>
              <w:rPr>
                <w:rFonts w:asciiTheme="minorHAnsi" w:hAnsiTheme="minorHAnsi" w:eastAsiaTheme="minorEastAsia" w:cstheme="minorBidi"/>
                <w:kern w:val="2"/>
                <w:szCs w:val="21"/>
              </w:rPr>
              <w:alias w:val="教育程度情况"/>
              <w:tag w:val="_TUP_505249756aef464eb97e1e72cf926f9e"/>
              <w:id w:val="6773646"/>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widowControl w:val="0"/>
                      <w:jc w:val="both"/>
                      <w:rPr>
                        <w:szCs w:val="21"/>
                      </w:rPr>
                    </w:pPr>
                    <w:r>
                      <w:rPr>
                        <w:rFonts w:hint="eastAsia" w:asciiTheme="minorHAnsi" w:hAnsiTheme="minorHAnsi" w:eastAsiaTheme="minorEastAsia" w:cstheme="minorBidi"/>
                        <w:kern w:val="2"/>
                        <w:szCs w:val="21"/>
                      </w:rPr>
                      <w:t>中专</w:t>
                    </w:r>
                  </w:p>
                </w:tc>
                <w:tc>
                  <w:tcPr>
                    <w:tcW w:w="4525" w:type="dxa"/>
                  </w:tcPr>
                  <w:p>
                    <w:pPr>
                      <w:widowControl w:val="0"/>
                      <w:jc w:val="right"/>
                      <w:rPr>
                        <w:szCs w:val="21"/>
                      </w:rPr>
                    </w:pPr>
                    <w:r>
                      <w:rPr>
                        <w:rFonts w:hint="eastAsia"/>
                        <w:szCs w:val="21"/>
                      </w:rPr>
                      <w:t>916</w:t>
                    </w:r>
                  </w:p>
                </w:tc>
              </w:tr>
            </w:sdtContent>
          </w:sdt>
          <w:sdt>
            <w:sdtPr>
              <w:rPr>
                <w:rFonts w:asciiTheme="minorHAnsi" w:hAnsiTheme="minorHAnsi" w:eastAsiaTheme="minorEastAsia" w:cstheme="minorBidi"/>
                <w:kern w:val="2"/>
                <w:szCs w:val="21"/>
              </w:rPr>
              <w:alias w:val="教育程度情况"/>
              <w:tag w:val="_TUP_505249756aef464eb97e1e72cf926f9e"/>
              <w:id w:val="6773647"/>
              <w:lock w:val="sdtLocked"/>
            </w:sdtPr>
            <w:sdtEndPr>
              <w:rPr>
                <w:rFonts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widowControl w:val="0"/>
                      <w:jc w:val="both"/>
                      <w:rPr>
                        <w:szCs w:val="21"/>
                      </w:rPr>
                    </w:pPr>
                    <w:r>
                      <w:rPr>
                        <w:rFonts w:hint="eastAsia" w:asciiTheme="minorHAnsi" w:hAnsiTheme="minorHAnsi" w:eastAsiaTheme="minorEastAsia" w:cstheme="minorBidi"/>
                        <w:kern w:val="2"/>
                        <w:szCs w:val="21"/>
                      </w:rPr>
                      <w:t>高中及以下</w:t>
                    </w:r>
                  </w:p>
                </w:tc>
                <w:tc>
                  <w:tcPr>
                    <w:tcW w:w="4525" w:type="dxa"/>
                  </w:tcPr>
                  <w:p>
                    <w:pPr>
                      <w:widowControl w:val="0"/>
                      <w:jc w:val="right"/>
                      <w:rPr>
                        <w:szCs w:val="21"/>
                      </w:rPr>
                    </w:pPr>
                    <w:r>
                      <w:rPr>
                        <w:szCs w:val="21"/>
                      </w:rPr>
                      <w:t>2,673</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tag w:val="_PLD_3780c8e792674cb7b77ed9496335912f"/>
                <w:id w:val="6773648"/>
                <w:lock w:val="sdtLocked"/>
              </w:sdtPr>
              <w:sdtContent>
                <w:tc>
                  <w:tcPr>
                    <w:tcW w:w="4524" w:type="dxa"/>
                    <w:tcBorders>
                      <w:bottom w:val="single" w:color="auto" w:sz="4" w:space="0"/>
                    </w:tcBorders>
                    <w:vAlign w:val="center"/>
                  </w:tcPr>
                  <w:p>
                    <w:pPr>
                      <w:widowControl w:val="0"/>
                      <w:jc w:val="center"/>
                      <w:rPr>
                        <w:szCs w:val="21"/>
                      </w:rPr>
                    </w:pPr>
                    <w:r>
                      <w:rPr>
                        <w:szCs w:val="21"/>
                      </w:rPr>
                      <w:t>合计</w:t>
                    </w:r>
                  </w:p>
                </w:tc>
              </w:sdtContent>
            </w:sdt>
            <w:tc>
              <w:tcPr>
                <w:tcW w:w="4525" w:type="dxa"/>
                <w:tcBorders>
                  <w:bottom w:val="single" w:color="auto" w:sz="4" w:space="0"/>
                </w:tcBorders>
              </w:tcPr>
              <w:p>
                <w:pPr>
                  <w:widowControl w:val="0"/>
                  <w:jc w:val="right"/>
                  <w:rPr>
                    <w:szCs w:val="21"/>
                  </w:rPr>
                </w:pPr>
                <w:r>
                  <w:rPr>
                    <w:szCs w:val="21"/>
                  </w:rPr>
                  <w:t>9,742</w:t>
                </w:r>
              </w:p>
            </w:tc>
          </w:tr>
        </w:tbl>
        <w:p/>
      </w:sdtContent>
    </w:sdt>
    <w:sdt>
      <w:sdtPr>
        <w:rPr>
          <w:rFonts w:ascii="宋体" w:hAnsi="宋体" w:cs="宋体"/>
          <w:b w:val="0"/>
          <w:bCs w:val="0"/>
          <w:kern w:val="0"/>
          <w:szCs w:val="24"/>
        </w:rPr>
        <w:alias w:val="模块:薪酬政策"/>
        <w:tag w:val="_SEC_fc732f9b506646da9d52a592974e5004"/>
        <w:id w:val="6773652"/>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50"/>
            </w:numPr>
            <w:rPr>
              <w:szCs w:val="21"/>
            </w:rPr>
          </w:pPr>
          <w:r>
            <w:t>薪</w:t>
          </w:r>
          <w:r>
            <w:rPr>
              <w:szCs w:val="21"/>
            </w:rPr>
            <w:t>酬政策</w:t>
          </w:r>
        </w:p>
        <w:sdt>
          <w:sdtPr>
            <w:rPr>
              <w:rFonts w:hint="eastAsia"/>
              <w:szCs w:val="21"/>
            </w:rPr>
            <w:alias w:val="是否适用：薪酬政策[双击切换]"/>
            <w:tag w:val="_GBC_13404877597d44c38f554884f31b3123"/>
            <w:id w:val="6773650"/>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6773651"/>
            <w:lock w:val="sdtLocked"/>
            <w:placeholder>
              <w:docPart w:val="GBC22222222222222222222222222222"/>
            </w:placeholder>
          </w:sdtPr>
          <w:sdtEndPr>
            <w:rPr>
              <w:rFonts w:hint="eastAsia"/>
              <w:szCs w:val="21"/>
            </w:rPr>
          </w:sdtEndPr>
          <w:sdtContent>
            <w:p>
              <w:pPr>
                <w:rPr>
                  <w:szCs w:val="21"/>
                </w:rPr>
              </w:pPr>
              <w:r>
                <w:rPr>
                  <w:rFonts w:hint="eastAsia"/>
                  <w:color w:val="000000" w:themeColor="text1"/>
                </w:rPr>
                <w:t>柳钢股份坚持绩效导向的企业文化，努力为员工提供有竞争力的薪酬待遇，员工的薪酬取决于对公司的价值贡献，鼓励创新与高效。2017年公司创造了成立以来最好的业绩,</w:t>
              </w:r>
              <w:r>
                <w:rPr>
                  <w:rFonts w:cs="Arial"/>
                  <w:color w:val="000000" w:themeColor="text1"/>
                </w:rPr>
                <w:t>职工收入</w:t>
              </w:r>
              <w:r>
                <w:rPr>
                  <w:rFonts w:hint="eastAsia" w:cs="Arial"/>
                  <w:color w:val="000000" w:themeColor="text1"/>
                </w:rPr>
                <w:t>与去年相比有增加</w:t>
              </w:r>
              <w:r>
                <w:rPr>
                  <w:rFonts w:cs="Arial"/>
                  <w:color w:val="000000" w:themeColor="text1"/>
                </w:rPr>
                <w:t>。</w:t>
              </w:r>
            </w:p>
          </w:sdtContent>
        </w:sdt>
      </w:sdtContent>
    </w:sdt>
    <w:p>
      <w:pPr>
        <w:rPr>
          <w:szCs w:val="21"/>
        </w:rPr>
      </w:pPr>
    </w:p>
    <w:sdt>
      <w:sdtPr>
        <w:rPr>
          <w:rFonts w:ascii="宋体" w:hAnsi="宋体" w:cs="宋体"/>
          <w:b w:val="0"/>
          <w:bCs w:val="0"/>
          <w:kern w:val="0"/>
          <w:szCs w:val="21"/>
        </w:rPr>
        <w:alias w:val="模块:培训计划"/>
        <w:tag w:val="_SEC_e8ed83989c604c839daf59b1ac5b558c"/>
        <w:id w:val="6773655"/>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50"/>
            </w:numPr>
            <w:rPr>
              <w:szCs w:val="21"/>
            </w:rPr>
          </w:pPr>
          <w:r>
            <w:rPr>
              <w:szCs w:val="21"/>
            </w:rPr>
            <w:t>培训计划</w:t>
          </w:r>
        </w:p>
        <w:sdt>
          <w:sdtPr>
            <w:rPr>
              <w:rFonts w:hint="eastAsia"/>
              <w:szCs w:val="21"/>
            </w:rPr>
            <w:alias w:val="是否适用：培训计划[双击切换]"/>
            <w:tag w:val="_GBC_123cfa2c006d4970ae10b316c2c1f95a"/>
            <w:id w:val="677365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6773654"/>
            <w:lock w:val="sdtLocked"/>
            <w:placeholder>
              <w:docPart w:val="GBC22222222222222222222222222222"/>
            </w:placeholder>
          </w:sdtPr>
          <w:sdtEndPr>
            <w:rPr>
              <w:rFonts w:hint="eastAsia"/>
              <w:szCs w:val="21"/>
            </w:rPr>
          </w:sdtEndPr>
          <w:sdtContent>
            <w:p>
              <w:pPr>
                <w:rPr>
                  <w:szCs w:val="21"/>
                </w:rPr>
              </w:pPr>
              <w:r>
                <w:rPr>
                  <w:rFonts w:hint="eastAsia" w:cs="Arial"/>
                  <w:color w:val="000000" w:themeColor="text1"/>
                </w:rPr>
                <w:t>公司制定了《员工学习培训制度》，对员工的学习培训采用学分制管理，并将职工学分完成情况与职工年度考核、管理专业技术人员职称评审和聘任、技术专家评选、工人技术职务聘任等挂钩。同时，利用“广西钢铁产业人才小高地”等平台，以科研项目为载体，强化年青专业技术人员人才的培养；积极开展职工技能竞赛和师带徒活动，不断加强技能人才的培养。通过开展系统、持续的学习培训，采取公司内部培训、外派培训、岗位实践锻炼、员工自我学习、参与产品开发和技术研讨、网络平台学习等多种形式和方法，全面提升员工职业素养、职业技能和职业行为规范，达到公司科学发展的要求。</w:t>
              </w:r>
            </w:p>
          </w:sdtContent>
        </w:sdt>
      </w:sdtContent>
    </w:sdt>
    <w:p>
      <w:pPr>
        <w:rPr>
          <w:szCs w:val="21"/>
        </w:rPr>
      </w:pPr>
    </w:p>
    <w:sdt>
      <w:sdtPr>
        <w:rPr>
          <w:rFonts w:ascii="宋体" w:hAnsi="宋体" w:cs="宋体"/>
          <w:b w:val="0"/>
          <w:bCs w:val="0"/>
          <w:kern w:val="0"/>
          <w:szCs w:val="21"/>
        </w:rPr>
        <w:alias w:val="模块:劳务外包情况"/>
        <w:tag w:val="_SEC_0b378851dc554a559cac93a43f7b5a2c"/>
        <w:id w:val="6773659"/>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50"/>
            </w:numPr>
            <w:rPr>
              <w:szCs w:val="21"/>
            </w:rPr>
          </w:pPr>
          <w:r>
            <w:rPr>
              <w:szCs w:val="21"/>
            </w:rPr>
            <w:t>劳务外包情况</w:t>
          </w:r>
        </w:p>
        <w:sdt>
          <w:sdtPr>
            <w:alias w:val="是否适用：劳务外包情况[双击切换]"/>
            <w:tag w:val="_GBC_0682caf48f0d4ff9b0e5259fc3a31660"/>
            <w:id w:val="677365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sdt>
              <w:sdtPr>
                <w:tag w:val="_PLD_bcaa703df95b42078e2761f6dbe85d0f"/>
                <w:id w:val="6773657"/>
                <w:lock w:val="sdtLocked"/>
              </w:sdtPr>
              <w:sdtContent>
                <w:tc>
                  <w:tcPr>
                    <w:tcW w:w="4524" w:type="dxa"/>
                  </w:tcPr>
                  <w:p>
                    <w:pPr>
                      <w:widowControl w:val="0"/>
                      <w:jc w:val="both"/>
                      <w:rPr>
                        <w:szCs w:val="21"/>
                      </w:rPr>
                    </w:pPr>
                    <w:r>
                      <w:rPr>
                        <w:szCs w:val="21"/>
                      </w:rPr>
                      <w:t>劳务外包的工时总数</w:t>
                    </w:r>
                  </w:p>
                </w:tc>
              </w:sdtContent>
            </w:sdt>
            <w:tc>
              <w:tcPr>
                <w:tcW w:w="4525" w:type="dxa"/>
              </w:tcPr>
              <w:p>
                <w:pPr>
                  <w:widowControl w:val="0"/>
                  <w:jc w:val="right"/>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sdt>
              <w:sdtPr>
                <w:tag w:val="_PLD_3a0fe6cf1e45463ba238f942513b8033"/>
                <w:id w:val="6773658"/>
                <w:lock w:val="sdtLocked"/>
              </w:sdtPr>
              <w:sdtContent>
                <w:tc>
                  <w:tcPr>
                    <w:tcW w:w="4524" w:type="dxa"/>
                  </w:tcPr>
                  <w:p>
                    <w:pPr>
                      <w:widowControl w:val="0"/>
                      <w:jc w:val="both"/>
                      <w:rPr>
                        <w:szCs w:val="21"/>
                      </w:rPr>
                    </w:pPr>
                    <w:r>
                      <w:rPr>
                        <w:szCs w:val="21"/>
                      </w:rPr>
                      <w:t>劳务外包支付的报酬总额</w:t>
                    </w:r>
                  </w:p>
                </w:tc>
              </w:sdtContent>
            </w:sdt>
            <w:tc>
              <w:tcPr>
                <w:tcW w:w="4525" w:type="dxa"/>
              </w:tcPr>
              <w:p>
                <w:pPr>
                  <w:widowControl w:val="0"/>
                  <w:jc w:val="right"/>
                  <w:rPr>
                    <w:szCs w:val="21"/>
                  </w:rPr>
                </w:pPr>
                <w:r>
                  <w:rPr>
                    <w:rFonts w:hint="eastAsia"/>
                    <w:szCs w:val="21"/>
                  </w:rPr>
                  <w:t>10,500.44万元</w:t>
                </w:r>
              </w:p>
            </w:tc>
          </w:tr>
        </w:tbl>
        <w:p/>
      </w:sdtContent>
    </w:sdt>
    <w:sdt>
      <w:sdtPr>
        <w:rPr>
          <w:rFonts w:hint="eastAsia" w:ascii="Calibri" w:hAnsi="Calibri" w:cs="宋体"/>
          <w:b w:val="0"/>
          <w:bCs w:val="0"/>
          <w:kern w:val="0"/>
          <w:sz w:val="24"/>
          <w:szCs w:val="22"/>
        </w:rPr>
        <w:alias w:val="模块:董事、监事、高级管理人员情况其他说明"/>
        <w:tag w:val="_SEC_eedc189364084031b5ab1e4efb2108c1"/>
        <w:id w:val="6773661"/>
        <w:lock w:val="sdtLocked"/>
        <w:placeholder>
          <w:docPart w:val="GBC22222222222222222222222222222"/>
        </w:placeholder>
      </w:sdtPr>
      <w:sdtEndPr>
        <w:rPr>
          <w:rFonts w:hint="default" w:ascii="宋体" w:hAnsi="宋体" w:cs="宋体"/>
          <w:b w:val="0"/>
          <w:bCs w:val="0"/>
          <w:kern w:val="0"/>
          <w:sz w:val="21"/>
          <w:szCs w:val="21"/>
        </w:rPr>
      </w:sdtEndPr>
      <w:sdtContent>
        <w:p>
          <w:pPr>
            <w:pStyle w:val="3"/>
            <w:numPr>
              <w:ilvl w:val="0"/>
              <w:numId w:val="47"/>
            </w:numPr>
          </w:pPr>
          <w:r>
            <w:rPr>
              <w:rFonts w:hint="eastAsia"/>
            </w:rPr>
            <w:t>其他</w:t>
          </w:r>
        </w:p>
        <w:sdt>
          <w:sdtPr>
            <w:rPr>
              <w:rFonts w:hint="eastAsia"/>
              <w:bCs/>
              <w:szCs w:val="21"/>
            </w:rPr>
            <w:alias w:val="是否适用：其他董事、监事、高级管理人员情况说明[双击切换]"/>
            <w:tag w:val="_GBC_c781dbfa3c3842a09ce56d5b0849e9f0"/>
            <w:id w:val="6773660"/>
            <w:lock w:val="sdtContentLocked"/>
            <w:placeholder>
              <w:docPart w:val="GBC22222222222222222222222222222"/>
            </w:placeholder>
          </w:sdtPr>
          <w:sdtEndPr>
            <w:rPr>
              <w:rFonts w:hint="eastAsia"/>
              <w:bCs/>
              <w:szCs w:val="21"/>
            </w:rPr>
          </w:sdtEndPr>
          <w:sdtContent>
            <w:p>
              <w:pPr>
                <w:rPr>
                  <w:szCs w:val="21"/>
                </w:rPr>
              </w:pPr>
              <w:r>
                <w:rPr>
                  <w:bCs/>
                  <w:szCs w:val="21"/>
                </w:rPr>
                <w:fldChar w:fldCharType="begin"/>
              </w:r>
              <w:r>
                <w:rPr>
                  <w:bCs/>
                  <w:szCs w:val="21"/>
                </w:rPr>
                <w:instrText xml:space="preserve">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sdtContent>
    </w:sdt>
    <w:p>
      <w:pPr>
        <w:rPr>
          <w:bCs/>
          <w:szCs w:val="21"/>
        </w:rPr>
      </w:pPr>
    </w:p>
    <w:p>
      <w:pPr>
        <w:rPr>
          <w:bCs/>
          <w:szCs w:val="21"/>
        </w:rPr>
      </w:pPr>
    </w:p>
    <w:p>
      <w:pPr>
        <w:pStyle w:val="2"/>
        <w:numPr>
          <w:ilvl w:val="0"/>
          <w:numId w:val="2"/>
        </w:numPr>
        <w:spacing w:before="0" w:after="0"/>
        <w:rPr>
          <w:bCs w:val="0"/>
        </w:rPr>
      </w:pPr>
      <w:bookmarkStart w:id="64" w:name="_Toc469563083"/>
      <w:bookmarkStart w:id="65" w:name="_Toc437440716"/>
      <w:bookmarkStart w:id="66" w:name="_Toc409437610"/>
      <w:r>
        <w:rPr>
          <w:bCs w:val="0"/>
        </w:rPr>
        <w:t>公司治理</w:t>
      </w:r>
      <w:bookmarkEnd w:id="64"/>
      <w:bookmarkEnd w:id="65"/>
      <w:bookmarkEnd w:id="66"/>
    </w:p>
    <w:sdt>
      <w:sdtPr>
        <w:rPr>
          <w:rFonts w:ascii="宋体" w:hAnsi="宋体" w:cs="宋体"/>
          <w:b w:val="0"/>
          <w:bCs w:val="0"/>
          <w:kern w:val="0"/>
          <w:szCs w:val="24"/>
        </w:rPr>
        <w:alias w:val="模块:公司治理相关情况说明"/>
        <w:tag w:val="_SEC_0164dfaf2ef04d3a93f24cb4cdc06581"/>
        <w:id w:val="6773665"/>
        <w:lock w:val="sdtLocked"/>
        <w:placeholder>
          <w:docPart w:val="GBC22222222222222222222222222222"/>
        </w:placeholder>
      </w:sdtPr>
      <w:sdtEndPr>
        <w:rPr>
          <w:rFonts w:ascii="宋体" w:hAnsi="宋体" w:cs="宋体"/>
          <w:b w:val="0"/>
          <w:bCs w:val="0"/>
          <w:kern w:val="0"/>
          <w:szCs w:val="24"/>
        </w:rPr>
      </w:sdtEndPr>
      <w:sdtContent>
        <w:p>
          <w:pPr>
            <w:pStyle w:val="3"/>
            <w:numPr>
              <w:ilvl w:val="0"/>
              <w:numId w:val="51"/>
            </w:numPr>
          </w:pPr>
          <w:r>
            <w:t>公司治理相关情况说明</w:t>
          </w:r>
        </w:p>
        <w:sdt>
          <w:sdtPr>
            <w:rPr>
              <w:rFonts w:hint="eastAsia"/>
              <w:szCs w:val="21"/>
            </w:rPr>
            <w:alias w:val="是否适用：公司治理相关情况说明[双击切换]"/>
            <w:tag w:val="_GBC_fcded3e74c5842408b5da723b3a757fa"/>
            <w:id w:val="677366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治理相关情况说明"/>
            <w:tag w:val="_GBC_b4d29a30dc2b4ea6b942196a3b52c2d0"/>
            <w:id w:val="6773663"/>
            <w:lock w:val="sdtLocked"/>
            <w:placeholder>
              <w:docPart w:val="GBC22222222222222222222222222222"/>
            </w:placeholder>
          </w:sdtPr>
          <w:sdtEndPr>
            <w:rPr>
              <w:szCs w:val="21"/>
            </w:rPr>
          </w:sdtEndPr>
          <w:sdtContent>
            <w:p>
              <w:pPr>
                <w:autoSpaceDE w:val="0"/>
                <w:autoSpaceDN w:val="0"/>
                <w:adjustRightInd w:val="0"/>
                <w:ind w:firstLine="420" w:firstLineChars="200"/>
                <w:rPr>
                  <w:color w:val="000000"/>
                </w:rPr>
              </w:pPr>
              <w:r>
                <w:rPr>
                  <w:rFonts w:hint="eastAsia"/>
                  <w:color w:val="000000"/>
                </w:rPr>
                <w:t>报告期内，公司根据《公司法》、《上市公司章程指引》及《上市公司治理准则》等有关法律法规的要求，结合本公司的实际情况，不断完善公司的法人治理结构和内部管理制度。公司通过股东会、董事会、监事会的规范运作，实现所有权与经营权的分离，实现公司利益最大化。同时公司成立了审计委员会、战略委员会、薪酬委员会、提名委员会等董事会下属各机构，制定和完善了《审计委员会实施细则》、《战略委员会实施细则》、《薪酬委员会实施细则》、《提名委员会实施细则》，进一步完善了公司的法人治理结构。公司的法人治理符合中国证监会《上市公司治理准则》等规范性文件的要求。</w:t>
              </w:r>
            </w:p>
            <w:p>
              <w:pPr>
                <w:autoSpaceDE w:val="0"/>
                <w:autoSpaceDN w:val="0"/>
                <w:adjustRightInd w:val="0"/>
                <w:ind w:firstLine="424" w:firstLineChars="200"/>
                <w:rPr>
                  <w:color w:val="000000"/>
                </w:rPr>
              </w:pPr>
              <w:r>
                <w:rPr>
                  <w:rFonts w:hint="eastAsia"/>
                  <w:color w:val="000000"/>
                  <w:spacing w:val="1"/>
                </w:rPr>
                <w:t>（一）</w:t>
              </w:r>
              <w:r>
                <w:rPr>
                  <w:rFonts w:hint="eastAsia"/>
                  <w:color w:val="000000"/>
                </w:rPr>
                <w:t>股东和股东大会方面：公司严格按照中国证监会《上市公司股东大会规则》及公司《章程》的规定，制定有《股东大会议事规则》，股东大会严格按照《议事规则》规范召开，保证了公司股东大会的规范运作，保护了所有股东的合法权益。</w:t>
              </w:r>
            </w:p>
            <w:p>
              <w:pPr>
                <w:autoSpaceDE w:val="0"/>
                <w:autoSpaceDN w:val="0"/>
                <w:adjustRightInd w:val="0"/>
                <w:ind w:firstLine="424" w:firstLineChars="200"/>
                <w:rPr>
                  <w:color w:val="000000"/>
                </w:rPr>
              </w:pPr>
              <w:r>
                <w:rPr>
                  <w:rFonts w:hint="eastAsia"/>
                  <w:color w:val="000000"/>
                  <w:spacing w:val="1"/>
                </w:rPr>
                <w:t>（二）</w:t>
              </w:r>
              <w:r>
                <w:rPr>
                  <w:rFonts w:hint="eastAsia"/>
                  <w:color w:val="000000"/>
                </w:rPr>
                <w:t>控股股东、其他关联方与上市公司方面：公司控股股东能认真履行诚信义务，行为合法、规范，没有超越股东大会直接或间接干预公司的决策和经营活动，公司董事会、监事会和内部机构能独立运作。公司与关联方之间的关联交易严格按照相关规定进行决策和履行信息披露程序，通过制定的《关联交易决策制度》，对公司关联交易的决策、定价、授权、执行以及信息披露做了明确的规定，保证了公司与关联方之间订立的交易合同符合公平、公正、公开的原则，确保关联交易行为不损害公司和全体股东的利益。控股股东及其他关联方不存在非经营性占用公司资金、资产情况。</w:t>
              </w:r>
            </w:p>
            <w:p>
              <w:pPr>
                <w:autoSpaceDE w:val="0"/>
                <w:autoSpaceDN w:val="0"/>
                <w:adjustRightInd w:val="0"/>
                <w:ind w:firstLine="424" w:firstLineChars="200"/>
                <w:rPr>
                  <w:color w:val="000000"/>
                </w:rPr>
              </w:pPr>
              <w:r>
                <w:rPr>
                  <w:rFonts w:hint="eastAsia"/>
                  <w:color w:val="000000"/>
                  <w:spacing w:val="1"/>
                </w:rPr>
                <w:t>（三）</w:t>
              </w:r>
              <w:r>
                <w:rPr>
                  <w:rFonts w:hint="eastAsia"/>
                  <w:color w:val="000000"/>
                </w:rPr>
                <w:t>董事与董事会方面：公司根据国家有关法律法规及公司《章程》的规定，制定有《董事会议事规则》，董事会严格按照《议事规则》规范召开，董事会能够严格执行股东大会的授权，落实股东大会的各项决议，公司董事选举规范、独立、公开、透明，董事能够积极参加相关培训，熟悉相关法律法规，了解相关权利、义务和责任，确保董事会依法履行职责。</w:t>
              </w:r>
            </w:p>
            <w:p>
              <w:pPr>
                <w:autoSpaceDE w:val="0"/>
                <w:autoSpaceDN w:val="0"/>
                <w:adjustRightInd w:val="0"/>
                <w:ind w:firstLine="424" w:firstLineChars="200"/>
                <w:rPr>
                  <w:color w:val="000000"/>
                </w:rPr>
              </w:pPr>
              <w:r>
                <w:rPr>
                  <w:rFonts w:hint="eastAsia"/>
                  <w:color w:val="000000"/>
                  <w:spacing w:val="1"/>
                </w:rPr>
                <w:t>（四）</w:t>
              </w:r>
              <w:r>
                <w:rPr>
                  <w:rFonts w:hint="eastAsia"/>
                  <w:color w:val="000000"/>
                </w:rPr>
                <w:t>监事与监事会方面：公司根据《公司法》等国家有关法律法规及公司《章程》的规定，制定有《监事会议事规则》，监事会严格按照《议事规则》规范召开，监事能依据制度规定履行职责，对公司运作、财务以及董事、经理层人员履行职责的合法性、合规性进行监督。</w:t>
              </w:r>
            </w:p>
            <w:p>
              <w:pPr>
                <w:autoSpaceDE w:val="0"/>
                <w:autoSpaceDN w:val="0"/>
                <w:adjustRightInd w:val="0"/>
                <w:ind w:firstLine="424" w:firstLineChars="200"/>
                <w:rPr>
                  <w:color w:val="000000"/>
                </w:rPr>
              </w:pPr>
              <w:r>
                <w:rPr>
                  <w:rFonts w:hint="eastAsia"/>
                  <w:color w:val="000000"/>
                  <w:spacing w:val="1"/>
                </w:rPr>
                <w:t>（五）</w:t>
              </w:r>
              <w:r>
                <w:rPr>
                  <w:rFonts w:hint="eastAsia"/>
                  <w:color w:val="000000"/>
                </w:rPr>
                <w:t>利益相关者方面：公司能充分尊重和维护银行及其他债权人、职工等其他利益相关者的合法权益，共同推动公司持续、健康地发展。</w:t>
              </w:r>
            </w:p>
            <w:p>
              <w:pPr>
                <w:rPr>
                  <w:szCs w:val="21"/>
                </w:rPr>
              </w:pPr>
              <w:r>
                <w:rPr>
                  <w:rFonts w:hint="eastAsia"/>
                  <w:color w:val="000000"/>
                  <w:spacing w:val="1"/>
                </w:rPr>
                <w:t xml:space="preserve">    （六）</w:t>
              </w:r>
              <w:r>
                <w:rPr>
                  <w:rFonts w:hint="eastAsia"/>
                  <w:color w:val="000000"/>
                </w:rPr>
                <w:t>信息披露与透明度方面：公司制定有《信息披露管理制度》、《内幕信息知情人登记制度》，主动、及时、准确地披露所有法定的披露事项，以及其他可能对股东和其他利益相关者产生实质性影响的信息，保证信息披露的公平、公正。同时制定有《投资者关系工作制度》，认真对待股东的来访调研、电话咨询，向投资者提供公司公开披露的资料等。</w:t>
              </w:r>
            </w:p>
          </w:sdtContent>
        </w:sdt>
        <w:p>
          <w:pPr>
            <w:rPr>
              <w:szCs w:val="21"/>
            </w:rPr>
          </w:pPr>
        </w:p>
        <w:p>
          <w:pPr>
            <w:rPr>
              <w:szCs w:val="21"/>
            </w:rPr>
          </w:pPr>
          <w:r>
            <w:rPr>
              <w:szCs w:val="21"/>
            </w:rPr>
            <w:t>公司治理与中国证监会相关规定的要求是否存在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6773664"/>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ascii="宋体" w:hAnsi="宋体" w:cs="宋体"/>
          <w:b w:val="0"/>
          <w:bCs w:val="0"/>
          <w:kern w:val="0"/>
          <w:szCs w:val="24"/>
        </w:rPr>
        <w:alias w:val="模块:股东大会情况简介"/>
        <w:tag w:val="_SEC_8c88019863f540059bd032b80f9fb30f"/>
        <w:id w:val="6773673"/>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51"/>
            </w:numPr>
          </w:pPr>
          <w:r>
            <w:t>股东大会情况简介</w:t>
          </w:r>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166"/>
            <w:gridCol w:w="2407"/>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tag w:val="_PLD_ca305564151a412a8452996542c336c8"/>
                <w:id w:val="6773666"/>
                <w:lock w:val="sdtLocked"/>
              </w:sdtPr>
              <w:sdtContent>
                <w:tc>
                  <w:tcPr>
                    <w:tcW w:w="2310" w:type="dxa"/>
                    <w:vAlign w:val="center"/>
                  </w:tcPr>
                  <w:p>
                    <w:pPr>
                      <w:widowControl w:val="0"/>
                      <w:jc w:val="center"/>
                      <w:rPr>
                        <w:szCs w:val="21"/>
                      </w:rPr>
                    </w:pPr>
                    <w:r>
                      <w:rPr>
                        <w:szCs w:val="21"/>
                      </w:rPr>
                      <w:t>会议届次</w:t>
                    </w:r>
                  </w:p>
                </w:tc>
              </w:sdtContent>
            </w:sdt>
            <w:sdt>
              <w:sdtPr>
                <w:tag w:val="_PLD_339c8451b8064684a85c81b08813156b"/>
                <w:id w:val="6773667"/>
                <w:lock w:val="sdtLocked"/>
              </w:sdtPr>
              <w:sdtContent>
                <w:tc>
                  <w:tcPr>
                    <w:tcW w:w="2166" w:type="dxa"/>
                    <w:vAlign w:val="center"/>
                  </w:tcPr>
                  <w:p>
                    <w:pPr>
                      <w:widowControl w:val="0"/>
                      <w:jc w:val="center"/>
                      <w:rPr>
                        <w:szCs w:val="21"/>
                      </w:rPr>
                    </w:pPr>
                    <w:r>
                      <w:rPr>
                        <w:szCs w:val="21"/>
                      </w:rPr>
                      <w:t>召开日期</w:t>
                    </w:r>
                  </w:p>
                </w:tc>
              </w:sdtContent>
            </w:sdt>
            <w:sdt>
              <w:sdtPr>
                <w:tag w:val="_PLD_7b97e84dc8f648a0b4bd3bbd757797d1"/>
                <w:id w:val="6773668"/>
                <w:lock w:val="sdtLocked"/>
              </w:sdtPr>
              <w:sdtContent>
                <w:tc>
                  <w:tcPr>
                    <w:tcW w:w="2407" w:type="dxa"/>
                    <w:vAlign w:val="center"/>
                  </w:tcPr>
                  <w:p>
                    <w:pPr>
                      <w:widowControl w:val="0"/>
                      <w:jc w:val="center"/>
                      <w:rPr>
                        <w:szCs w:val="21"/>
                      </w:rPr>
                    </w:pPr>
                    <w:r>
                      <w:rPr>
                        <w:szCs w:val="21"/>
                      </w:rPr>
                      <w:t>决议刊登的指定网站的查询索引</w:t>
                    </w:r>
                  </w:p>
                </w:tc>
              </w:sdtContent>
            </w:sdt>
            <w:sdt>
              <w:sdtPr>
                <w:tag w:val="_PLD_e175ad3c6edc4dc8a87f046a04fe2d07"/>
                <w:id w:val="6773669"/>
                <w:lock w:val="sdtLocked"/>
              </w:sdtPr>
              <w:sdtContent>
                <w:tc>
                  <w:tcPr>
                    <w:tcW w:w="2166" w:type="dxa"/>
                    <w:vAlign w:val="center"/>
                  </w:tcPr>
                  <w:p>
                    <w:pPr>
                      <w:widowControl w:val="0"/>
                      <w:jc w:val="center"/>
                      <w:rPr>
                        <w:szCs w:val="21"/>
                      </w:rPr>
                    </w:pPr>
                    <w:r>
                      <w:rPr>
                        <w:szCs w:val="21"/>
                      </w:rPr>
                      <w:t>决议刊登的披露日期</w:t>
                    </w:r>
                  </w:p>
                </w:tc>
              </w:sdtContent>
            </w:sdt>
          </w:tr>
          <w:sdt>
            <w:sdtPr>
              <w:rPr>
                <w:rFonts w:hint="eastAsia" w:asciiTheme="minorHAnsi" w:hAnsiTheme="minorHAnsi" w:eastAsiaTheme="minorEastAsia" w:cstheme="minorBidi"/>
                <w:kern w:val="2"/>
                <w:szCs w:val="21"/>
              </w:rPr>
              <w:alias w:val="股东大会情况"/>
              <w:tag w:val="_TUP_f464ecce01e34e8aacd508c84a88313d"/>
              <w:id w:val="6773670"/>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2310" w:type="dxa"/>
                  </w:tcPr>
                  <w:p>
                    <w:pPr>
                      <w:widowControl w:val="0"/>
                      <w:jc w:val="both"/>
                      <w:rPr>
                        <w:szCs w:val="21"/>
                      </w:rPr>
                    </w:pPr>
                    <w:r>
                      <w:rPr>
                        <w:rFonts w:hint="eastAsia" w:asciiTheme="minorHAnsi" w:hAnsiTheme="minorHAnsi" w:eastAsiaTheme="minorEastAsia" w:cstheme="minorBidi"/>
                        <w:kern w:val="2"/>
                        <w:szCs w:val="21"/>
                      </w:rPr>
                      <w:t>2016年度股东大会</w:t>
                    </w:r>
                  </w:p>
                </w:tc>
                <w:tc>
                  <w:tcPr>
                    <w:tcW w:w="2166" w:type="dxa"/>
                  </w:tcPr>
                  <w:p>
                    <w:pPr>
                      <w:widowControl w:val="0"/>
                      <w:jc w:val="both"/>
                      <w:rPr>
                        <w:szCs w:val="21"/>
                      </w:rPr>
                    </w:pPr>
                    <w:r>
                      <w:rPr>
                        <w:rFonts w:hint="eastAsia"/>
                        <w:szCs w:val="21"/>
                      </w:rPr>
                      <w:t>2017年5月25日</w:t>
                    </w:r>
                  </w:p>
                </w:tc>
                <w:tc>
                  <w:tcPr>
                    <w:tcW w:w="2407" w:type="dxa"/>
                  </w:tcPr>
                  <w:p>
                    <w:pPr>
                      <w:widowControl w:val="0"/>
                      <w:jc w:val="both"/>
                      <w:rPr>
                        <w:szCs w:val="21"/>
                      </w:rPr>
                    </w:pPr>
                    <w:r>
                      <w:t>www.sse.com.cn（公告编号：201</w:t>
                    </w:r>
                    <w:r>
                      <w:rPr>
                        <w:rFonts w:hint="eastAsia"/>
                      </w:rPr>
                      <w:t>7</w:t>
                    </w:r>
                    <w:r>
                      <w:t>-01</w:t>
                    </w:r>
                    <w:r>
                      <w:rPr>
                        <w:rFonts w:hint="eastAsia"/>
                      </w:rPr>
                      <w:t>7</w:t>
                    </w:r>
                    <w:r>
                      <w:t>）</w:t>
                    </w:r>
                  </w:p>
                </w:tc>
                <w:tc>
                  <w:tcPr>
                    <w:tcW w:w="2166" w:type="dxa"/>
                  </w:tcPr>
                  <w:p>
                    <w:pPr>
                      <w:widowControl w:val="0"/>
                      <w:jc w:val="both"/>
                      <w:rPr>
                        <w:szCs w:val="21"/>
                      </w:rPr>
                    </w:pPr>
                    <w:r>
                      <w:t>201</w:t>
                    </w:r>
                    <w:r>
                      <w:rPr>
                        <w:rFonts w:hint="eastAsia"/>
                      </w:rPr>
                      <w:t>7</w:t>
                    </w:r>
                    <w:r>
                      <w:t>年5月2</w:t>
                    </w:r>
                    <w:r>
                      <w:rPr>
                        <w:rFonts w:hint="eastAsia"/>
                      </w:rPr>
                      <w:t>6</w:t>
                    </w:r>
                    <w:r>
                      <w:t>日</w:t>
                    </w:r>
                  </w:p>
                </w:tc>
              </w:tr>
            </w:sdtContent>
          </w:sdt>
          <w:sdt>
            <w:sdtPr>
              <w:rPr>
                <w:rFonts w:hint="eastAsia" w:asciiTheme="minorHAnsi" w:hAnsiTheme="minorHAnsi" w:eastAsiaTheme="minorEastAsia" w:cstheme="minorBidi"/>
                <w:kern w:val="2"/>
                <w:szCs w:val="21"/>
              </w:rPr>
              <w:alias w:val="股东大会情况"/>
              <w:tag w:val="_TUP_f464ecce01e34e8aacd508c84a88313d"/>
              <w:id w:val="6773671"/>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2310" w:type="dxa"/>
                  </w:tcPr>
                  <w:p>
                    <w:pPr>
                      <w:widowControl w:val="0"/>
                      <w:jc w:val="both"/>
                      <w:rPr>
                        <w:szCs w:val="21"/>
                      </w:rPr>
                    </w:pPr>
                    <w:r>
                      <w:rPr>
                        <w:rFonts w:hint="eastAsia" w:asciiTheme="minorHAnsi" w:hAnsiTheme="minorHAnsi" w:eastAsiaTheme="minorEastAsia" w:cstheme="minorBidi"/>
                        <w:kern w:val="2"/>
                        <w:szCs w:val="21"/>
                      </w:rPr>
                      <w:t>2017年第一次临时股东大会</w:t>
                    </w:r>
                  </w:p>
                </w:tc>
                <w:tc>
                  <w:tcPr>
                    <w:tcW w:w="2166" w:type="dxa"/>
                  </w:tcPr>
                  <w:p>
                    <w:pPr>
                      <w:widowControl w:val="0"/>
                      <w:jc w:val="both"/>
                      <w:rPr>
                        <w:szCs w:val="21"/>
                      </w:rPr>
                    </w:pPr>
                    <w:r>
                      <w:rPr>
                        <w:rFonts w:hint="eastAsia"/>
                        <w:szCs w:val="21"/>
                      </w:rPr>
                      <w:t>2017年12月7日</w:t>
                    </w:r>
                  </w:p>
                </w:tc>
                <w:tc>
                  <w:tcPr>
                    <w:tcW w:w="2407" w:type="dxa"/>
                  </w:tcPr>
                  <w:p>
                    <w:pPr>
                      <w:widowControl w:val="0"/>
                      <w:jc w:val="both"/>
                      <w:rPr>
                        <w:szCs w:val="21"/>
                      </w:rPr>
                    </w:pPr>
                    <w:r>
                      <w:t>www.sse.com.cn（公告编号：201</w:t>
                    </w:r>
                    <w:r>
                      <w:rPr>
                        <w:rFonts w:hint="eastAsia"/>
                      </w:rPr>
                      <w:t>7</w:t>
                    </w:r>
                    <w:r>
                      <w:t>-0</w:t>
                    </w:r>
                    <w:r>
                      <w:rPr>
                        <w:rFonts w:hint="eastAsia"/>
                      </w:rPr>
                      <w:t>42</w:t>
                    </w:r>
                    <w:r>
                      <w:t>）</w:t>
                    </w:r>
                  </w:p>
                </w:tc>
                <w:tc>
                  <w:tcPr>
                    <w:tcW w:w="2166" w:type="dxa"/>
                  </w:tcPr>
                  <w:p>
                    <w:pPr>
                      <w:widowControl w:val="0"/>
                      <w:jc w:val="both"/>
                      <w:rPr>
                        <w:szCs w:val="21"/>
                      </w:rPr>
                    </w:pPr>
                    <w:r>
                      <w:t>201</w:t>
                    </w:r>
                    <w:r>
                      <w:rPr>
                        <w:rFonts w:hint="eastAsia"/>
                      </w:rPr>
                      <w:t>7</w:t>
                    </w:r>
                    <w:r>
                      <w:t>年1</w:t>
                    </w:r>
                    <w:r>
                      <w:rPr>
                        <w:rFonts w:hint="eastAsia"/>
                      </w:rPr>
                      <w:t>2</w:t>
                    </w:r>
                    <w:r>
                      <w:t>月</w:t>
                    </w:r>
                    <w:r>
                      <w:rPr>
                        <w:rFonts w:hint="eastAsia"/>
                      </w:rPr>
                      <w:t>8</w:t>
                    </w:r>
                    <w:r>
                      <w:t>日</w:t>
                    </w:r>
                  </w:p>
                </w:tc>
              </w:tr>
            </w:sdtContent>
          </w:sdt>
        </w:tbl>
        <w:p/>
        <w:p>
          <w:pPr>
            <w:rPr>
              <w:szCs w:val="21"/>
            </w:rPr>
          </w:pPr>
          <w:r>
            <w:rPr>
              <w:szCs w:val="21"/>
            </w:rPr>
            <w:t>股东大会情况说明</w:t>
          </w:r>
        </w:p>
        <w:sdt>
          <w:sdtPr>
            <w:rPr>
              <w:szCs w:val="21"/>
            </w:rPr>
            <w:alias w:val="是否适用：股东大会情况说明[双击切换]"/>
            <w:tag w:val="_GBC_417d33555ab14709b5640c8830ff5a67"/>
            <w:id w:val="6773672"/>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3"/>
        <w:numPr>
          <w:ilvl w:val="0"/>
          <w:numId w:val="51"/>
        </w:numPr>
      </w:pPr>
      <w:r>
        <w:t>董事履行职责情况</w:t>
      </w:r>
    </w:p>
    <w:sdt>
      <w:sdtPr>
        <w:rPr>
          <w:rFonts w:ascii="宋体" w:hAnsi="宋体" w:cs="宋体"/>
          <w:b w:val="0"/>
          <w:bCs w:val="0"/>
          <w:kern w:val="0"/>
          <w:szCs w:val="24"/>
        </w:rPr>
        <w:alias w:val="模块:董事参加董事会和股东大会的情况"/>
        <w:tag w:val="_SEC_46b12eef184243bf8374eb01a77e4d07"/>
        <w:id w:val="6773723"/>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52"/>
            </w:numPr>
          </w:pPr>
          <w:r>
            <w:t>董事参加董事会和股东大会的情况</w:t>
          </w:r>
        </w:p>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46"/>
            <w:gridCol w:w="1100"/>
            <w:gridCol w:w="852"/>
            <w:gridCol w:w="968"/>
            <w:gridCol w:w="905"/>
            <w:gridCol w:w="845"/>
            <w:gridCol w:w="1292"/>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sdt>
              <w:sdtPr>
                <w:tag w:val="_PLD_fdf987702b2e46a4aaa1e3f20787a76c"/>
                <w:id w:val="6773674"/>
                <w:lock w:val="sdtLocked"/>
              </w:sdtPr>
              <w:sdtContent>
                <w:tc>
                  <w:tcPr>
                    <w:tcW w:w="980" w:type="dxa"/>
                    <w:vMerge w:val="restart"/>
                    <w:vAlign w:val="center"/>
                  </w:tcPr>
                  <w:p>
                    <w:pPr>
                      <w:widowControl w:val="0"/>
                      <w:jc w:val="center"/>
                      <w:rPr>
                        <w:szCs w:val="21"/>
                      </w:rPr>
                    </w:pPr>
                    <w:r>
                      <w:rPr>
                        <w:rFonts w:hint="eastAsia"/>
                        <w:szCs w:val="21"/>
                      </w:rPr>
                      <w:t>董事</w:t>
                    </w:r>
                  </w:p>
                  <w:p>
                    <w:pPr>
                      <w:widowControl w:val="0"/>
                      <w:jc w:val="center"/>
                      <w:rPr>
                        <w:szCs w:val="21"/>
                      </w:rPr>
                    </w:pPr>
                    <w:r>
                      <w:rPr>
                        <w:rFonts w:hint="eastAsia"/>
                        <w:szCs w:val="21"/>
                      </w:rPr>
                      <w:t>姓名</w:t>
                    </w:r>
                  </w:p>
                </w:tc>
              </w:sdtContent>
            </w:sdt>
            <w:sdt>
              <w:sdtPr>
                <w:tag w:val="_PLD_8c944f740a3a4784938038ab19e3a6ed"/>
                <w:id w:val="6773675"/>
                <w:lock w:val="sdtLocked"/>
              </w:sdtPr>
              <w:sdtContent>
                <w:tc>
                  <w:tcPr>
                    <w:tcW w:w="846" w:type="dxa"/>
                    <w:vMerge w:val="restart"/>
                    <w:vAlign w:val="center"/>
                  </w:tcPr>
                  <w:p>
                    <w:pPr>
                      <w:widowControl w:val="0"/>
                      <w:jc w:val="center"/>
                      <w:rPr>
                        <w:szCs w:val="21"/>
                      </w:rPr>
                    </w:pPr>
                    <w:r>
                      <w:rPr>
                        <w:szCs w:val="21"/>
                      </w:rPr>
                      <w:t>是否独立董事</w:t>
                    </w:r>
                  </w:p>
                </w:tc>
              </w:sdtContent>
            </w:sdt>
            <w:sdt>
              <w:sdtPr>
                <w:tag w:val="_PLD_41002b55426142459adadb76d790d586"/>
                <w:id w:val="6773676"/>
                <w:lock w:val="sdtLocked"/>
              </w:sdtPr>
              <w:sdtContent>
                <w:tc>
                  <w:tcPr>
                    <w:tcW w:w="5962" w:type="dxa"/>
                    <w:gridSpan w:val="6"/>
                    <w:vAlign w:val="center"/>
                  </w:tcPr>
                  <w:p>
                    <w:pPr>
                      <w:widowControl w:val="0"/>
                      <w:jc w:val="center"/>
                      <w:rPr>
                        <w:szCs w:val="21"/>
                      </w:rPr>
                    </w:pPr>
                    <w:r>
                      <w:rPr>
                        <w:szCs w:val="21"/>
                      </w:rPr>
                      <w:t>参加董事会情况</w:t>
                    </w:r>
                  </w:p>
                </w:tc>
              </w:sdtContent>
            </w:sdt>
            <w:sdt>
              <w:sdtPr>
                <w:tag w:val="_PLD_a86ab0ba65874193bf46821cd6a13f4f"/>
                <w:id w:val="6773677"/>
                <w:lock w:val="sdtLocked"/>
              </w:sdtPr>
              <w:sdtContent>
                <w:tc>
                  <w:tcPr>
                    <w:tcW w:w="1261" w:type="dxa"/>
                    <w:vAlign w:val="center"/>
                  </w:tcPr>
                  <w:p>
                    <w:pPr>
                      <w:widowControl w:val="0"/>
                      <w:jc w:val="center"/>
                      <w:rPr>
                        <w:szCs w:val="21"/>
                      </w:rPr>
                    </w:pPr>
                    <w:r>
                      <w:rPr>
                        <w:szCs w:val="21"/>
                      </w:rPr>
                      <w:t>参加股东大会情况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980" w:type="dxa"/>
                <w:vMerge w:val="continue"/>
              </w:tcPr>
              <w:p>
                <w:pPr>
                  <w:widowControl w:val="0"/>
                  <w:jc w:val="center"/>
                  <w:rPr>
                    <w:szCs w:val="21"/>
                  </w:rPr>
                </w:pPr>
              </w:p>
            </w:tc>
            <w:tc>
              <w:tcPr>
                <w:tcW w:w="846" w:type="dxa"/>
                <w:vMerge w:val="continue"/>
              </w:tcPr>
              <w:p>
                <w:pPr>
                  <w:widowControl w:val="0"/>
                  <w:jc w:val="center"/>
                  <w:rPr>
                    <w:szCs w:val="21"/>
                  </w:rPr>
                </w:pPr>
              </w:p>
            </w:tc>
            <w:sdt>
              <w:sdtPr>
                <w:tag w:val="_PLD_1be3bc3a3d894e22b017b70a7c691233"/>
                <w:id w:val="6773678"/>
                <w:lock w:val="sdtLocked"/>
              </w:sdtPr>
              <w:sdtContent>
                <w:tc>
                  <w:tcPr>
                    <w:tcW w:w="1100" w:type="dxa"/>
                    <w:vAlign w:val="center"/>
                  </w:tcPr>
                  <w:p>
                    <w:pPr>
                      <w:widowControl w:val="0"/>
                      <w:jc w:val="center"/>
                      <w:rPr>
                        <w:szCs w:val="21"/>
                      </w:rPr>
                    </w:pPr>
                    <w:r>
                      <w:rPr>
                        <w:szCs w:val="21"/>
                      </w:rPr>
                      <w:t>本年应参加董事会次数</w:t>
                    </w:r>
                  </w:p>
                </w:tc>
              </w:sdtContent>
            </w:sdt>
            <w:sdt>
              <w:sdtPr>
                <w:tag w:val="_PLD_3e45fc9802f241cb8e17735983417e9b"/>
                <w:id w:val="6773679"/>
                <w:lock w:val="sdtLocked"/>
              </w:sdtPr>
              <w:sdtContent>
                <w:tc>
                  <w:tcPr>
                    <w:tcW w:w="852" w:type="dxa"/>
                    <w:vAlign w:val="center"/>
                  </w:tcPr>
                  <w:p>
                    <w:pPr>
                      <w:widowControl w:val="0"/>
                      <w:jc w:val="center"/>
                      <w:rPr>
                        <w:szCs w:val="21"/>
                      </w:rPr>
                    </w:pPr>
                    <w:r>
                      <w:rPr>
                        <w:szCs w:val="21"/>
                      </w:rPr>
                      <w:t>亲自出席次数</w:t>
                    </w:r>
                  </w:p>
                </w:tc>
              </w:sdtContent>
            </w:sdt>
            <w:sdt>
              <w:sdtPr>
                <w:tag w:val="_PLD_5b2f1e699fe34def868fe8b765d768ba"/>
                <w:id w:val="6773680"/>
                <w:lock w:val="sdtLocked"/>
              </w:sdtPr>
              <w:sdtContent>
                <w:tc>
                  <w:tcPr>
                    <w:tcW w:w="968" w:type="dxa"/>
                    <w:vAlign w:val="center"/>
                  </w:tcPr>
                  <w:p>
                    <w:pPr>
                      <w:widowControl w:val="0"/>
                      <w:jc w:val="center"/>
                      <w:rPr>
                        <w:szCs w:val="21"/>
                      </w:rPr>
                    </w:pPr>
                    <w:r>
                      <w:rPr>
                        <w:szCs w:val="21"/>
                      </w:rPr>
                      <w:t>以通讯方式参加次数</w:t>
                    </w:r>
                  </w:p>
                </w:tc>
              </w:sdtContent>
            </w:sdt>
            <w:sdt>
              <w:sdtPr>
                <w:tag w:val="_PLD_981a0cb863d94703a5482c1ca67d4cb5"/>
                <w:id w:val="6773681"/>
                <w:lock w:val="sdtLocked"/>
              </w:sdtPr>
              <w:sdtContent>
                <w:tc>
                  <w:tcPr>
                    <w:tcW w:w="905" w:type="dxa"/>
                    <w:vAlign w:val="center"/>
                  </w:tcPr>
                  <w:p>
                    <w:pPr>
                      <w:widowControl w:val="0"/>
                      <w:jc w:val="center"/>
                      <w:rPr>
                        <w:szCs w:val="21"/>
                      </w:rPr>
                    </w:pPr>
                    <w:r>
                      <w:rPr>
                        <w:szCs w:val="21"/>
                      </w:rPr>
                      <w:t>委托出席次数</w:t>
                    </w:r>
                  </w:p>
                </w:tc>
              </w:sdtContent>
            </w:sdt>
            <w:sdt>
              <w:sdtPr>
                <w:tag w:val="_PLD_e955143b8973461bb11aa6e64e6bb542"/>
                <w:id w:val="6773682"/>
                <w:lock w:val="sdtLocked"/>
              </w:sdtPr>
              <w:sdtContent>
                <w:tc>
                  <w:tcPr>
                    <w:tcW w:w="845" w:type="dxa"/>
                    <w:vAlign w:val="center"/>
                  </w:tcPr>
                  <w:p>
                    <w:pPr>
                      <w:widowControl w:val="0"/>
                      <w:jc w:val="center"/>
                      <w:rPr>
                        <w:szCs w:val="21"/>
                      </w:rPr>
                    </w:pPr>
                    <w:r>
                      <w:rPr>
                        <w:szCs w:val="21"/>
                      </w:rPr>
                      <w:t>缺席</w:t>
                    </w:r>
                  </w:p>
                  <w:p>
                    <w:pPr>
                      <w:widowControl w:val="0"/>
                      <w:jc w:val="center"/>
                      <w:rPr>
                        <w:szCs w:val="21"/>
                      </w:rPr>
                    </w:pPr>
                    <w:r>
                      <w:rPr>
                        <w:szCs w:val="21"/>
                      </w:rPr>
                      <w:t>次数</w:t>
                    </w:r>
                  </w:p>
                </w:tc>
              </w:sdtContent>
            </w:sdt>
            <w:sdt>
              <w:sdtPr>
                <w:tag w:val="_PLD_c94de7a455d94af5b8ffe4cc736c4b46"/>
                <w:id w:val="6773683"/>
                <w:lock w:val="sdtLocked"/>
              </w:sdtPr>
              <w:sdtContent>
                <w:tc>
                  <w:tcPr>
                    <w:tcW w:w="1292" w:type="dxa"/>
                    <w:vAlign w:val="center"/>
                  </w:tcPr>
                  <w:p>
                    <w:pPr>
                      <w:widowControl w:val="0"/>
                      <w:jc w:val="center"/>
                      <w:rPr>
                        <w:szCs w:val="21"/>
                      </w:rPr>
                    </w:pPr>
                    <w:r>
                      <w:rPr>
                        <w:szCs w:val="21"/>
                      </w:rPr>
                      <w:t>是否连续两次未亲自参加会议</w:t>
                    </w:r>
                  </w:p>
                </w:tc>
              </w:sdtContent>
            </w:sdt>
            <w:sdt>
              <w:sdtPr>
                <w:tag w:val="_PLD_7f17c2a5ff9540709fafff9460b0756d"/>
                <w:id w:val="6773684"/>
                <w:lock w:val="sdtLocked"/>
              </w:sdtPr>
              <w:sdtContent>
                <w:tc>
                  <w:tcPr>
                    <w:tcW w:w="1261" w:type="dxa"/>
                    <w:vAlign w:val="center"/>
                  </w:tcPr>
                  <w:p>
                    <w:pPr>
                      <w:widowControl w:val="0"/>
                      <w:jc w:val="center"/>
                      <w:rPr>
                        <w:b/>
                        <w:szCs w:val="21"/>
                      </w:rPr>
                    </w:pPr>
                    <w:r>
                      <w:rPr>
                        <w:szCs w:val="21"/>
                      </w:rPr>
                      <w:t>出席股东大会的次数</w:t>
                    </w:r>
                  </w:p>
                </w:tc>
              </w:sdtContent>
            </w:sdt>
          </w:tr>
          <w:sdt>
            <w:sdtPr>
              <w:rPr>
                <w:rFonts w:hint="eastAsia" w:asciiTheme="minorHAnsi" w:hAnsiTheme="minorHAnsi" w:eastAsiaTheme="minorEastAsia" w:cstheme="minorBidi"/>
                <w:kern w:val="2"/>
                <w:szCs w:val="21"/>
              </w:rPr>
              <w:alias w:val="董事参加董事会的出席情况明细"/>
              <w:tag w:val="_TUP_21f02a2c29cc41bba590120cf14b9bc6"/>
              <w:id w:val="6773687"/>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t>李永松</w:t>
                    </w:r>
                  </w:p>
                </w:tc>
                <w:sdt>
                  <w:sdtPr>
                    <w:rPr>
                      <w:rFonts w:hint="eastAsia" w:ascii="Times New Roman" w:hAnsi="Times New Roman"/>
                      <w:szCs w:val="21"/>
                    </w:rPr>
                    <w:alias w:val="董事参加董事会的出席情况明细-是否独立董事"/>
                    <w:tag w:val="_GBC_8f65cf2d483747a58ee92c8a36ee6375"/>
                    <w:id w:val="6773685"/>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否</w:t>
                        </w:r>
                      </w:p>
                    </w:tc>
                  </w:sdtContent>
                </w:sdt>
                <w:tc>
                  <w:tcPr>
                    <w:tcW w:w="1100" w:type="dxa"/>
                  </w:tcPr>
                  <w:p>
                    <w:pPr>
                      <w:widowControl w:val="0"/>
                      <w:jc w:val="right"/>
                      <w:rPr>
                        <w:szCs w:val="21"/>
                      </w:rPr>
                    </w:pPr>
                    <w:r>
                      <w:rPr>
                        <w:rFonts w:hint="eastAsia"/>
                      </w:rPr>
                      <w:t>1</w:t>
                    </w:r>
                  </w:p>
                </w:tc>
                <w:tc>
                  <w:tcPr>
                    <w:tcW w:w="852" w:type="dxa"/>
                  </w:tcPr>
                  <w:p>
                    <w:pPr>
                      <w:widowControl w:val="0"/>
                      <w:jc w:val="right"/>
                      <w:rPr>
                        <w:szCs w:val="21"/>
                      </w:rPr>
                    </w:pPr>
                    <w:r>
                      <w:rPr>
                        <w:rFonts w:hint="eastAsia"/>
                      </w:rPr>
                      <w:t>1</w:t>
                    </w:r>
                  </w:p>
                </w:tc>
                <w:tc>
                  <w:tcPr>
                    <w:tcW w:w="968" w:type="dxa"/>
                  </w:tcPr>
                  <w:p>
                    <w:pPr>
                      <w:widowControl w:val="0"/>
                      <w:jc w:val="right"/>
                      <w:rPr>
                        <w:szCs w:val="21"/>
                      </w:rPr>
                    </w:pPr>
                    <w:r>
                      <w:rPr>
                        <w:rFonts w:hint="eastAsia"/>
                      </w:rPr>
                      <w:t>0</w:t>
                    </w:r>
                  </w:p>
                </w:tc>
                <w:tc>
                  <w:tcPr>
                    <w:tcW w:w="905" w:type="dxa"/>
                  </w:tcPr>
                  <w:p>
                    <w:pPr>
                      <w:widowControl w:val="0"/>
                      <w:jc w:val="right"/>
                      <w:rPr>
                        <w:szCs w:val="21"/>
                      </w:rPr>
                    </w:pPr>
                    <w:r>
                      <w:t>0</w:t>
                    </w:r>
                  </w:p>
                </w:tc>
                <w:tc>
                  <w:tcPr>
                    <w:tcW w:w="845" w:type="dxa"/>
                  </w:tcPr>
                  <w:p>
                    <w:pPr>
                      <w:widowControl w:val="0"/>
                      <w:jc w:val="right"/>
                      <w:rPr>
                        <w:szCs w:val="21"/>
                      </w:rPr>
                    </w:pPr>
                    <w:r>
                      <w:t>0</w:t>
                    </w:r>
                  </w:p>
                </w:tc>
                <w:sdt>
                  <w:sdtPr>
                    <w:rPr>
                      <w:rFonts w:hint="eastAsia" w:ascii="Times New Roman" w:hAnsi="Times New Roman"/>
                      <w:szCs w:val="21"/>
                    </w:rPr>
                    <w:alias w:val="董事参加董事会的出席情况明细-是否连续两次未亲自参加会议"/>
                    <w:tag w:val="_GBC_4748dc7c4f9b495f9d97d5c22a5e08e6"/>
                    <w:id w:val="6773686"/>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否</w:t>
                        </w:r>
                      </w:p>
                    </w:tc>
                  </w:sdtContent>
                </w:sdt>
                <w:tc>
                  <w:tcPr>
                    <w:tcW w:w="1261" w:type="dxa"/>
                  </w:tcPr>
                  <w:p>
                    <w:pPr>
                      <w:widowControl w:val="0"/>
                      <w:jc w:val="right"/>
                      <w:rPr>
                        <w:szCs w:val="21"/>
                      </w:rPr>
                    </w:pPr>
                    <w:r>
                      <w:rPr>
                        <w:rFonts w:hint="eastAsia"/>
                      </w:rPr>
                      <w:t>1</w:t>
                    </w:r>
                  </w:p>
                </w:tc>
              </w:tr>
            </w:sdtContent>
          </w:sdt>
          <w:sdt>
            <w:sdtPr>
              <w:rPr>
                <w:rFonts w:hint="eastAsia" w:asciiTheme="minorHAnsi" w:hAnsiTheme="minorHAnsi" w:eastAsiaTheme="minorEastAsia" w:cstheme="minorBidi"/>
                <w:kern w:val="2"/>
                <w:szCs w:val="21"/>
              </w:rPr>
              <w:alias w:val="董事参加董事会的出席情况明细"/>
              <w:tag w:val="_TUP_21f02a2c29cc41bba590120cf14b9bc6"/>
              <w:id w:val="6773690"/>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rPr>
                        <w:rFonts w:hint="eastAsia" w:asciiTheme="minorHAnsi" w:hAnsiTheme="minorHAnsi" w:eastAsiaTheme="minorEastAsia" w:cstheme="minorBidi"/>
                        <w:kern w:val="2"/>
                        <w:szCs w:val="21"/>
                      </w:rPr>
                      <w:t>陈有升</w:t>
                    </w:r>
                  </w:p>
                </w:tc>
                <w:sdt>
                  <w:sdtPr>
                    <w:rPr>
                      <w:rFonts w:hint="eastAsia" w:ascii="Times New Roman" w:hAnsi="Times New Roman"/>
                      <w:szCs w:val="21"/>
                    </w:rPr>
                    <w:alias w:val="董事参加董事会的出席情况明细-是否独立董事"/>
                    <w:tag w:val="_GBC_8f65cf2d483747a58ee92c8a36ee6375"/>
                    <w:id w:val="6773688"/>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否</w:t>
                        </w:r>
                      </w:p>
                    </w:tc>
                  </w:sdtContent>
                </w:sdt>
                <w:tc>
                  <w:tcPr>
                    <w:tcW w:w="1100" w:type="dxa"/>
                  </w:tcPr>
                  <w:p>
                    <w:pPr>
                      <w:widowControl w:val="0"/>
                      <w:jc w:val="right"/>
                      <w:rPr>
                        <w:szCs w:val="21"/>
                      </w:rPr>
                    </w:pPr>
                    <w:r>
                      <w:rPr>
                        <w:rFonts w:hint="eastAsia"/>
                        <w:szCs w:val="21"/>
                      </w:rPr>
                      <w:t>6</w:t>
                    </w:r>
                  </w:p>
                </w:tc>
                <w:tc>
                  <w:tcPr>
                    <w:tcW w:w="852" w:type="dxa"/>
                  </w:tcPr>
                  <w:p>
                    <w:pPr>
                      <w:widowControl w:val="0"/>
                      <w:jc w:val="right"/>
                      <w:rPr>
                        <w:szCs w:val="21"/>
                      </w:rPr>
                    </w:pPr>
                    <w:r>
                      <w:rPr>
                        <w:rFonts w:hint="eastAsia"/>
                        <w:szCs w:val="21"/>
                      </w:rPr>
                      <w:t>6</w:t>
                    </w:r>
                  </w:p>
                </w:tc>
                <w:tc>
                  <w:tcPr>
                    <w:tcW w:w="968" w:type="dxa"/>
                  </w:tcPr>
                  <w:p>
                    <w:pPr>
                      <w:widowControl w:val="0"/>
                      <w:jc w:val="right"/>
                      <w:rPr>
                        <w:szCs w:val="21"/>
                      </w:rPr>
                    </w:pPr>
                    <w:r>
                      <w:rPr>
                        <w:rFonts w:hint="eastAsia"/>
                        <w:szCs w:val="21"/>
                      </w:rPr>
                      <w:t>5</w:t>
                    </w:r>
                  </w:p>
                </w:tc>
                <w:tc>
                  <w:tcPr>
                    <w:tcW w:w="905" w:type="dxa"/>
                  </w:tcPr>
                  <w:p>
                    <w:pPr>
                      <w:widowControl w:val="0"/>
                      <w:jc w:val="right"/>
                      <w:rPr>
                        <w:szCs w:val="21"/>
                      </w:rPr>
                    </w:pPr>
                    <w:r>
                      <w:rPr>
                        <w:rFonts w:hint="eastAsia"/>
                        <w:szCs w:val="21"/>
                      </w:rPr>
                      <w:t>0</w:t>
                    </w:r>
                  </w:p>
                </w:tc>
                <w:tc>
                  <w:tcPr>
                    <w:tcW w:w="845" w:type="dxa"/>
                  </w:tcPr>
                  <w:p>
                    <w:pPr>
                      <w:widowControl w:val="0"/>
                      <w:jc w:val="right"/>
                      <w:rPr>
                        <w:szCs w:val="21"/>
                      </w:rPr>
                    </w:pPr>
                    <w:r>
                      <w:rPr>
                        <w:rFonts w:hint="eastAsia"/>
                        <w:szCs w:val="21"/>
                      </w:rPr>
                      <w:t>0</w:t>
                    </w:r>
                  </w:p>
                </w:tc>
                <w:sdt>
                  <w:sdtPr>
                    <w:rPr>
                      <w:rFonts w:hint="eastAsia" w:ascii="Times New Roman" w:hAnsi="Times New Roman"/>
                      <w:szCs w:val="21"/>
                    </w:rPr>
                    <w:alias w:val="董事参加董事会的出席情况明细-是否连续两次未亲自参加会议"/>
                    <w:tag w:val="_GBC_4748dc7c4f9b495f9d97d5c22a5e08e6"/>
                    <w:id w:val="6773689"/>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否</w:t>
                        </w:r>
                      </w:p>
                    </w:tc>
                  </w:sdtContent>
                </w:sdt>
                <w:tc>
                  <w:tcPr>
                    <w:tcW w:w="1261" w:type="dxa"/>
                  </w:tcPr>
                  <w:p>
                    <w:pPr>
                      <w:widowControl w:val="0"/>
                      <w:jc w:val="right"/>
                      <w:rPr>
                        <w:szCs w:val="21"/>
                      </w:rPr>
                    </w:pPr>
                    <w:r>
                      <w:rPr>
                        <w:rFonts w:hint="eastAsia"/>
                        <w:szCs w:val="21"/>
                      </w:rPr>
                      <w:t>1</w:t>
                    </w:r>
                  </w:p>
                </w:tc>
              </w:tr>
            </w:sdtContent>
          </w:sdt>
          <w:sdt>
            <w:sdtPr>
              <w:rPr>
                <w:rFonts w:hint="eastAsia" w:asciiTheme="minorHAnsi" w:hAnsiTheme="minorHAnsi" w:eastAsiaTheme="minorEastAsia" w:cstheme="minorBidi"/>
                <w:kern w:val="2"/>
                <w:szCs w:val="21"/>
              </w:rPr>
              <w:alias w:val="董事参加董事会的出席情况明细"/>
              <w:tag w:val="_TUP_21f02a2c29cc41bba590120cf14b9bc6"/>
              <w:id w:val="6773693"/>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t>施沛润</w:t>
                    </w:r>
                  </w:p>
                </w:tc>
                <w:sdt>
                  <w:sdtPr>
                    <w:rPr>
                      <w:rFonts w:hint="eastAsia" w:ascii="Times New Roman" w:hAnsi="Times New Roman"/>
                      <w:szCs w:val="21"/>
                    </w:rPr>
                    <w:alias w:val="董事参加董事会的出席情况明细-是否独立董事"/>
                    <w:tag w:val="_GBC_8f65cf2d483747a58ee92c8a36ee6375"/>
                    <w:id w:val="6773691"/>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否</w:t>
                        </w:r>
                      </w:p>
                    </w:tc>
                  </w:sdtContent>
                </w:sdt>
                <w:tc>
                  <w:tcPr>
                    <w:tcW w:w="1100" w:type="dxa"/>
                  </w:tcPr>
                  <w:p>
                    <w:pPr>
                      <w:widowControl w:val="0"/>
                      <w:jc w:val="right"/>
                      <w:rPr>
                        <w:szCs w:val="21"/>
                      </w:rPr>
                    </w:pPr>
                    <w:r>
                      <w:rPr>
                        <w:rFonts w:hint="eastAsia"/>
                      </w:rPr>
                      <w:t>7</w:t>
                    </w:r>
                  </w:p>
                </w:tc>
                <w:tc>
                  <w:tcPr>
                    <w:tcW w:w="852" w:type="dxa"/>
                  </w:tcPr>
                  <w:p>
                    <w:pPr>
                      <w:widowControl w:val="0"/>
                      <w:jc w:val="right"/>
                      <w:rPr>
                        <w:szCs w:val="21"/>
                      </w:rPr>
                    </w:pPr>
                    <w:r>
                      <w:rPr>
                        <w:rFonts w:hint="eastAsia"/>
                        <w:szCs w:val="21"/>
                      </w:rPr>
                      <w:t>7</w:t>
                    </w:r>
                  </w:p>
                </w:tc>
                <w:tc>
                  <w:tcPr>
                    <w:tcW w:w="968" w:type="dxa"/>
                  </w:tcPr>
                  <w:p>
                    <w:pPr>
                      <w:widowControl w:val="0"/>
                      <w:jc w:val="right"/>
                      <w:rPr>
                        <w:szCs w:val="21"/>
                      </w:rPr>
                    </w:pPr>
                    <w:r>
                      <w:rPr>
                        <w:rFonts w:hint="eastAsia"/>
                      </w:rPr>
                      <w:t>5</w:t>
                    </w:r>
                  </w:p>
                </w:tc>
                <w:tc>
                  <w:tcPr>
                    <w:tcW w:w="905" w:type="dxa"/>
                  </w:tcPr>
                  <w:p>
                    <w:pPr>
                      <w:widowControl w:val="0"/>
                      <w:jc w:val="right"/>
                      <w:rPr>
                        <w:szCs w:val="21"/>
                      </w:rPr>
                    </w:pPr>
                    <w:r>
                      <w:t>0</w:t>
                    </w:r>
                  </w:p>
                </w:tc>
                <w:tc>
                  <w:tcPr>
                    <w:tcW w:w="845" w:type="dxa"/>
                  </w:tcPr>
                  <w:p>
                    <w:pPr>
                      <w:widowControl w:val="0"/>
                      <w:jc w:val="right"/>
                      <w:rPr>
                        <w:szCs w:val="21"/>
                      </w:rPr>
                    </w:pPr>
                    <w:r>
                      <w:t>0</w:t>
                    </w:r>
                  </w:p>
                </w:tc>
                <w:sdt>
                  <w:sdtPr>
                    <w:rPr>
                      <w:rFonts w:hint="eastAsia" w:ascii="Times New Roman" w:hAnsi="Times New Roman"/>
                      <w:szCs w:val="21"/>
                    </w:rPr>
                    <w:alias w:val="董事参加董事会的出席情况明细-是否连续两次未亲自参加会议"/>
                    <w:tag w:val="_GBC_4748dc7c4f9b495f9d97d5c22a5e08e6"/>
                    <w:id w:val="6773692"/>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否</w:t>
                        </w:r>
                      </w:p>
                    </w:tc>
                  </w:sdtContent>
                </w:sdt>
                <w:tc>
                  <w:tcPr>
                    <w:tcW w:w="1261" w:type="dxa"/>
                  </w:tcPr>
                  <w:p>
                    <w:pPr>
                      <w:widowControl w:val="0"/>
                      <w:jc w:val="right"/>
                      <w:rPr>
                        <w:szCs w:val="21"/>
                      </w:rPr>
                    </w:pPr>
                    <w:r>
                      <w:rPr>
                        <w:rFonts w:hint="eastAsia"/>
                      </w:rPr>
                      <w:t>1</w:t>
                    </w:r>
                  </w:p>
                </w:tc>
              </w:tr>
            </w:sdtContent>
          </w:sdt>
          <w:sdt>
            <w:sdtPr>
              <w:rPr>
                <w:rFonts w:hint="eastAsia" w:asciiTheme="minorHAnsi" w:hAnsiTheme="minorHAnsi" w:eastAsiaTheme="minorEastAsia" w:cstheme="minorBidi"/>
                <w:kern w:val="2"/>
                <w:szCs w:val="21"/>
              </w:rPr>
              <w:alias w:val="董事参加董事会的出席情况明细"/>
              <w:tag w:val="_TUP_21f02a2c29cc41bba590120cf14b9bc6"/>
              <w:id w:val="6773696"/>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t>甘贵平</w:t>
                    </w:r>
                  </w:p>
                </w:tc>
                <w:sdt>
                  <w:sdtPr>
                    <w:rPr>
                      <w:rFonts w:hint="eastAsia" w:ascii="Times New Roman" w:hAnsi="Times New Roman"/>
                      <w:szCs w:val="21"/>
                    </w:rPr>
                    <w:alias w:val="董事参加董事会的出席情况明细-是否独立董事"/>
                    <w:tag w:val="_GBC_8f65cf2d483747a58ee92c8a36ee6375"/>
                    <w:id w:val="6773694"/>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否</w:t>
                        </w:r>
                      </w:p>
                    </w:tc>
                  </w:sdtContent>
                </w:sdt>
                <w:tc>
                  <w:tcPr>
                    <w:tcW w:w="1100" w:type="dxa"/>
                  </w:tcPr>
                  <w:p>
                    <w:pPr>
                      <w:widowControl w:val="0"/>
                      <w:jc w:val="right"/>
                      <w:rPr>
                        <w:szCs w:val="21"/>
                      </w:rPr>
                    </w:pPr>
                    <w:r>
                      <w:rPr>
                        <w:rFonts w:hint="eastAsia"/>
                      </w:rPr>
                      <w:t>7</w:t>
                    </w:r>
                  </w:p>
                </w:tc>
                <w:tc>
                  <w:tcPr>
                    <w:tcW w:w="852" w:type="dxa"/>
                  </w:tcPr>
                  <w:p>
                    <w:pPr>
                      <w:widowControl w:val="0"/>
                      <w:jc w:val="right"/>
                      <w:rPr>
                        <w:szCs w:val="21"/>
                      </w:rPr>
                    </w:pPr>
                    <w:r>
                      <w:rPr>
                        <w:rFonts w:hint="eastAsia"/>
                        <w:szCs w:val="21"/>
                      </w:rPr>
                      <w:t>7</w:t>
                    </w:r>
                  </w:p>
                </w:tc>
                <w:tc>
                  <w:tcPr>
                    <w:tcW w:w="968" w:type="dxa"/>
                  </w:tcPr>
                  <w:p>
                    <w:pPr>
                      <w:widowControl w:val="0"/>
                      <w:jc w:val="right"/>
                      <w:rPr>
                        <w:szCs w:val="21"/>
                      </w:rPr>
                    </w:pPr>
                    <w:r>
                      <w:rPr>
                        <w:rFonts w:hint="eastAsia"/>
                      </w:rPr>
                      <w:t>5</w:t>
                    </w:r>
                  </w:p>
                </w:tc>
                <w:tc>
                  <w:tcPr>
                    <w:tcW w:w="905" w:type="dxa"/>
                  </w:tcPr>
                  <w:p>
                    <w:pPr>
                      <w:widowControl w:val="0"/>
                      <w:jc w:val="right"/>
                      <w:rPr>
                        <w:szCs w:val="21"/>
                      </w:rPr>
                    </w:pPr>
                    <w:r>
                      <w:t>0</w:t>
                    </w:r>
                  </w:p>
                </w:tc>
                <w:tc>
                  <w:tcPr>
                    <w:tcW w:w="845" w:type="dxa"/>
                  </w:tcPr>
                  <w:p>
                    <w:pPr>
                      <w:widowControl w:val="0"/>
                      <w:jc w:val="right"/>
                      <w:rPr>
                        <w:szCs w:val="21"/>
                      </w:rPr>
                    </w:pPr>
                    <w:r>
                      <w:t>0</w:t>
                    </w:r>
                  </w:p>
                </w:tc>
                <w:sdt>
                  <w:sdtPr>
                    <w:rPr>
                      <w:rFonts w:hint="eastAsia" w:ascii="Times New Roman" w:hAnsi="Times New Roman"/>
                      <w:szCs w:val="21"/>
                    </w:rPr>
                    <w:alias w:val="董事参加董事会的出席情况明细-是否连续两次未亲自参加会议"/>
                    <w:tag w:val="_GBC_4748dc7c4f9b495f9d97d5c22a5e08e6"/>
                    <w:id w:val="6773695"/>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否</w:t>
                        </w:r>
                      </w:p>
                    </w:tc>
                  </w:sdtContent>
                </w:sdt>
                <w:tc>
                  <w:tcPr>
                    <w:tcW w:w="1261" w:type="dxa"/>
                  </w:tcPr>
                  <w:p>
                    <w:pPr>
                      <w:widowControl w:val="0"/>
                      <w:jc w:val="right"/>
                      <w:rPr>
                        <w:szCs w:val="21"/>
                      </w:rPr>
                    </w:pPr>
                    <w:r>
                      <w:t>2</w:t>
                    </w:r>
                  </w:p>
                </w:tc>
              </w:tr>
            </w:sdtContent>
          </w:sdt>
          <w:sdt>
            <w:sdtPr>
              <w:rPr>
                <w:rFonts w:hint="eastAsia" w:asciiTheme="minorHAnsi" w:hAnsiTheme="minorHAnsi" w:eastAsiaTheme="minorEastAsia" w:cstheme="minorBidi"/>
                <w:kern w:val="2"/>
                <w:szCs w:val="21"/>
              </w:rPr>
              <w:alias w:val="董事参加董事会的出席情况明细"/>
              <w:tag w:val="_TUP_21f02a2c29cc41bba590120cf14b9bc6"/>
              <w:id w:val="6773699"/>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t>潘世庆</w:t>
                    </w:r>
                  </w:p>
                </w:tc>
                <w:sdt>
                  <w:sdtPr>
                    <w:rPr>
                      <w:rFonts w:hint="eastAsia" w:ascii="Times New Roman" w:hAnsi="Times New Roman"/>
                      <w:szCs w:val="21"/>
                    </w:rPr>
                    <w:alias w:val="董事参加董事会的出席情况明细-是否独立董事"/>
                    <w:tag w:val="_GBC_8f65cf2d483747a58ee92c8a36ee6375"/>
                    <w:id w:val="6773697"/>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否</w:t>
                        </w:r>
                      </w:p>
                    </w:tc>
                  </w:sdtContent>
                </w:sdt>
                <w:tc>
                  <w:tcPr>
                    <w:tcW w:w="1100" w:type="dxa"/>
                  </w:tcPr>
                  <w:p>
                    <w:pPr>
                      <w:widowControl w:val="0"/>
                      <w:jc w:val="right"/>
                      <w:rPr>
                        <w:szCs w:val="21"/>
                      </w:rPr>
                    </w:pPr>
                    <w:r>
                      <w:rPr>
                        <w:rFonts w:hint="eastAsia"/>
                      </w:rPr>
                      <w:t>7</w:t>
                    </w:r>
                  </w:p>
                </w:tc>
                <w:tc>
                  <w:tcPr>
                    <w:tcW w:w="852" w:type="dxa"/>
                  </w:tcPr>
                  <w:p>
                    <w:pPr>
                      <w:widowControl w:val="0"/>
                      <w:jc w:val="right"/>
                      <w:rPr>
                        <w:szCs w:val="21"/>
                      </w:rPr>
                    </w:pPr>
                    <w:r>
                      <w:rPr>
                        <w:rFonts w:hint="eastAsia"/>
                        <w:szCs w:val="21"/>
                      </w:rPr>
                      <w:t>7</w:t>
                    </w:r>
                  </w:p>
                </w:tc>
                <w:tc>
                  <w:tcPr>
                    <w:tcW w:w="968" w:type="dxa"/>
                  </w:tcPr>
                  <w:p>
                    <w:pPr>
                      <w:widowControl w:val="0"/>
                      <w:jc w:val="right"/>
                      <w:rPr>
                        <w:szCs w:val="21"/>
                      </w:rPr>
                    </w:pPr>
                    <w:r>
                      <w:rPr>
                        <w:rFonts w:hint="eastAsia"/>
                      </w:rPr>
                      <w:t>5</w:t>
                    </w:r>
                  </w:p>
                </w:tc>
                <w:tc>
                  <w:tcPr>
                    <w:tcW w:w="905" w:type="dxa"/>
                  </w:tcPr>
                  <w:p>
                    <w:pPr>
                      <w:widowControl w:val="0"/>
                      <w:jc w:val="right"/>
                      <w:rPr>
                        <w:szCs w:val="21"/>
                      </w:rPr>
                    </w:pPr>
                    <w:r>
                      <w:t>0</w:t>
                    </w:r>
                  </w:p>
                </w:tc>
                <w:tc>
                  <w:tcPr>
                    <w:tcW w:w="845" w:type="dxa"/>
                  </w:tcPr>
                  <w:p>
                    <w:pPr>
                      <w:widowControl w:val="0"/>
                      <w:jc w:val="right"/>
                      <w:rPr>
                        <w:szCs w:val="21"/>
                      </w:rPr>
                    </w:pPr>
                    <w:r>
                      <w:t>0</w:t>
                    </w:r>
                  </w:p>
                </w:tc>
                <w:sdt>
                  <w:sdtPr>
                    <w:rPr>
                      <w:rFonts w:hint="eastAsia" w:ascii="Times New Roman" w:hAnsi="Times New Roman"/>
                      <w:szCs w:val="21"/>
                    </w:rPr>
                    <w:alias w:val="董事参加董事会的出席情况明细-是否连续两次未亲自参加会议"/>
                    <w:tag w:val="_GBC_4748dc7c4f9b495f9d97d5c22a5e08e6"/>
                    <w:id w:val="6773698"/>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否</w:t>
                        </w:r>
                      </w:p>
                    </w:tc>
                  </w:sdtContent>
                </w:sdt>
                <w:tc>
                  <w:tcPr>
                    <w:tcW w:w="1261" w:type="dxa"/>
                  </w:tcPr>
                  <w:p>
                    <w:pPr>
                      <w:widowControl w:val="0"/>
                      <w:jc w:val="right"/>
                      <w:rPr>
                        <w:szCs w:val="21"/>
                      </w:rPr>
                    </w:pPr>
                    <w:r>
                      <w:rPr>
                        <w:rFonts w:hint="eastAsia"/>
                      </w:rPr>
                      <w:t>1</w:t>
                    </w:r>
                  </w:p>
                </w:tc>
              </w:tr>
            </w:sdtContent>
          </w:sdt>
          <w:sdt>
            <w:sdtPr>
              <w:rPr>
                <w:rFonts w:hint="eastAsia" w:asciiTheme="minorHAnsi" w:hAnsiTheme="minorHAnsi" w:eastAsiaTheme="minorEastAsia" w:cstheme="minorBidi"/>
                <w:kern w:val="2"/>
                <w:szCs w:val="21"/>
              </w:rPr>
              <w:alias w:val="董事参加董事会的出席情况明细"/>
              <w:tag w:val="_TUP_21f02a2c29cc41bba590120cf14b9bc6"/>
              <w:id w:val="6773702"/>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t>张奕</w:t>
                    </w:r>
                  </w:p>
                </w:tc>
                <w:sdt>
                  <w:sdtPr>
                    <w:rPr>
                      <w:rFonts w:hint="eastAsia" w:ascii="Times New Roman" w:hAnsi="Times New Roman"/>
                      <w:szCs w:val="21"/>
                    </w:rPr>
                    <w:alias w:val="董事参加董事会的出席情况明细-是否独立董事"/>
                    <w:tag w:val="_GBC_8f65cf2d483747a58ee92c8a36ee6375"/>
                    <w:id w:val="6773700"/>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否</w:t>
                        </w:r>
                      </w:p>
                    </w:tc>
                  </w:sdtContent>
                </w:sdt>
                <w:tc>
                  <w:tcPr>
                    <w:tcW w:w="1100" w:type="dxa"/>
                  </w:tcPr>
                  <w:p>
                    <w:pPr>
                      <w:widowControl w:val="0"/>
                      <w:jc w:val="right"/>
                      <w:rPr>
                        <w:szCs w:val="21"/>
                      </w:rPr>
                    </w:pPr>
                    <w:r>
                      <w:rPr>
                        <w:rFonts w:hint="eastAsia"/>
                      </w:rPr>
                      <w:t>7</w:t>
                    </w:r>
                  </w:p>
                </w:tc>
                <w:tc>
                  <w:tcPr>
                    <w:tcW w:w="852" w:type="dxa"/>
                  </w:tcPr>
                  <w:p>
                    <w:pPr>
                      <w:widowControl w:val="0"/>
                      <w:jc w:val="right"/>
                      <w:rPr>
                        <w:szCs w:val="21"/>
                      </w:rPr>
                    </w:pPr>
                    <w:r>
                      <w:rPr>
                        <w:rFonts w:hint="eastAsia"/>
                        <w:szCs w:val="21"/>
                      </w:rPr>
                      <w:t>7</w:t>
                    </w:r>
                  </w:p>
                </w:tc>
                <w:tc>
                  <w:tcPr>
                    <w:tcW w:w="968" w:type="dxa"/>
                  </w:tcPr>
                  <w:p>
                    <w:pPr>
                      <w:widowControl w:val="0"/>
                      <w:jc w:val="right"/>
                      <w:rPr>
                        <w:szCs w:val="21"/>
                      </w:rPr>
                    </w:pPr>
                    <w:r>
                      <w:rPr>
                        <w:rFonts w:hint="eastAsia"/>
                      </w:rPr>
                      <w:t>5</w:t>
                    </w:r>
                  </w:p>
                </w:tc>
                <w:tc>
                  <w:tcPr>
                    <w:tcW w:w="905" w:type="dxa"/>
                  </w:tcPr>
                  <w:p>
                    <w:pPr>
                      <w:widowControl w:val="0"/>
                      <w:jc w:val="right"/>
                      <w:rPr>
                        <w:szCs w:val="21"/>
                      </w:rPr>
                    </w:pPr>
                    <w:r>
                      <w:t>0</w:t>
                    </w:r>
                  </w:p>
                </w:tc>
                <w:tc>
                  <w:tcPr>
                    <w:tcW w:w="845" w:type="dxa"/>
                  </w:tcPr>
                  <w:p>
                    <w:pPr>
                      <w:widowControl w:val="0"/>
                      <w:jc w:val="right"/>
                      <w:rPr>
                        <w:szCs w:val="21"/>
                      </w:rPr>
                    </w:pPr>
                    <w:r>
                      <w:t>0</w:t>
                    </w:r>
                  </w:p>
                </w:tc>
                <w:sdt>
                  <w:sdtPr>
                    <w:rPr>
                      <w:rFonts w:hint="eastAsia" w:ascii="Times New Roman" w:hAnsi="Times New Roman"/>
                      <w:szCs w:val="21"/>
                    </w:rPr>
                    <w:alias w:val="董事参加董事会的出席情况明细-是否连续两次未亲自参加会议"/>
                    <w:tag w:val="_GBC_4748dc7c4f9b495f9d97d5c22a5e08e6"/>
                    <w:id w:val="6773701"/>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否</w:t>
                        </w:r>
                      </w:p>
                    </w:tc>
                  </w:sdtContent>
                </w:sdt>
                <w:tc>
                  <w:tcPr>
                    <w:tcW w:w="1261" w:type="dxa"/>
                  </w:tcPr>
                  <w:p>
                    <w:pPr>
                      <w:widowControl w:val="0"/>
                      <w:jc w:val="right"/>
                      <w:rPr>
                        <w:szCs w:val="21"/>
                      </w:rPr>
                    </w:pPr>
                    <w:r>
                      <w:rPr>
                        <w:rFonts w:hint="eastAsia"/>
                      </w:rPr>
                      <w:t>2</w:t>
                    </w:r>
                  </w:p>
                </w:tc>
              </w:tr>
            </w:sdtContent>
          </w:sdt>
          <w:sdt>
            <w:sdtPr>
              <w:rPr>
                <w:rFonts w:hint="eastAsia" w:asciiTheme="minorHAnsi" w:hAnsiTheme="minorHAnsi" w:eastAsiaTheme="minorEastAsia" w:cstheme="minorBidi"/>
                <w:kern w:val="2"/>
                <w:szCs w:val="21"/>
              </w:rPr>
              <w:alias w:val="董事参加董事会的出席情况明细"/>
              <w:tag w:val="_TUP_21f02a2c29cc41bba590120cf14b9bc6"/>
              <w:id w:val="6773705"/>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t>罗军</w:t>
                    </w:r>
                  </w:p>
                </w:tc>
                <w:sdt>
                  <w:sdtPr>
                    <w:rPr>
                      <w:rFonts w:hint="eastAsia" w:ascii="Times New Roman" w:hAnsi="Times New Roman"/>
                      <w:szCs w:val="21"/>
                    </w:rPr>
                    <w:alias w:val="董事参加董事会的出席情况明细-是否独立董事"/>
                    <w:tag w:val="_GBC_8f65cf2d483747a58ee92c8a36ee6375"/>
                    <w:id w:val="6773703"/>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否</w:t>
                        </w:r>
                      </w:p>
                    </w:tc>
                  </w:sdtContent>
                </w:sdt>
                <w:tc>
                  <w:tcPr>
                    <w:tcW w:w="1100" w:type="dxa"/>
                  </w:tcPr>
                  <w:p>
                    <w:pPr>
                      <w:widowControl w:val="0"/>
                      <w:jc w:val="right"/>
                      <w:rPr>
                        <w:szCs w:val="21"/>
                      </w:rPr>
                    </w:pPr>
                    <w:r>
                      <w:rPr>
                        <w:rFonts w:hint="eastAsia"/>
                      </w:rPr>
                      <w:t>7</w:t>
                    </w:r>
                  </w:p>
                </w:tc>
                <w:tc>
                  <w:tcPr>
                    <w:tcW w:w="852" w:type="dxa"/>
                  </w:tcPr>
                  <w:p>
                    <w:pPr>
                      <w:widowControl w:val="0"/>
                      <w:jc w:val="right"/>
                      <w:rPr>
                        <w:szCs w:val="21"/>
                      </w:rPr>
                    </w:pPr>
                    <w:r>
                      <w:rPr>
                        <w:rFonts w:hint="eastAsia"/>
                        <w:szCs w:val="21"/>
                      </w:rPr>
                      <w:t>5</w:t>
                    </w:r>
                  </w:p>
                </w:tc>
                <w:tc>
                  <w:tcPr>
                    <w:tcW w:w="968" w:type="dxa"/>
                  </w:tcPr>
                  <w:p>
                    <w:pPr>
                      <w:widowControl w:val="0"/>
                      <w:jc w:val="right"/>
                      <w:rPr>
                        <w:szCs w:val="21"/>
                      </w:rPr>
                    </w:pPr>
                    <w:r>
                      <w:rPr>
                        <w:rFonts w:hint="eastAsia"/>
                      </w:rPr>
                      <w:t>5</w:t>
                    </w:r>
                  </w:p>
                </w:tc>
                <w:tc>
                  <w:tcPr>
                    <w:tcW w:w="905" w:type="dxa"/>
                  </w:tcPr>
                  <w:p>
                    <w:pPr>
                      <w:widowControl w:val="0"/>
                      <w:jc w:val="right"/>
                      <w:rPr>
                        <w:szCs w:val="21"/>
                      </w:rPr>
                    </w:pPr>
                    <w:r>
                      <w:t>0</w:t>
                    </w:r>
                  </w:p>
                </w:tc>
                <w:tc>
                  <w:tcPr>
                    <w:tcW w:w="845" w:type="dxa"/>
                  </w:tcPr>
                  <w:p>
                    <w:pPr>
                      <w:widowControl w:val="0"/>
                      <w:jc w:val="right"/>
                      <w:rPr>
                        <w:szCs w:val="21"/>
                      </w:rPr>
                    </w:pPr>
                    <w:r>
                      <w:rPr>
                        <w:rFonts w:hint="eastAsia"/>
                      </w:rPr>
                      <w:t>2</w:t>
                    </w:r>
                  </w:p>
                </w:tc>
                <w:sdt>
                  <w:sdtPr>
                    <w:rPr>
                      <w:rFonts w:hint="eastAsia" w:ascii="Times New Roman" w:hAnsi="Times New Roman"/>
                      <w:szCs w:val="21"/>
                    </w:rPr>
                    <w:alias w:val="董事参加董事会的出席情况明细-是否连续两次未亲自参加会议"/>
                    <w:tag w:val="_GBC_4748dc7c4f9b495f9d97d5c22a5e08e6"/>
                    <w:id w:val="6773704"/>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是</w:t>
                        </w:r>
                      </w:p>
                    </w:tc>
                  </w:sdtContent>
                </w:sdt>
                <w:tc>
                  <w:tcPr>
                    <w:tcW w:w="1261" w:type="dxa"/>
                  </w:tcPr>
                  <w:p>
                    <w:pPr>
                      <w:widowControl w:val="0"/>
                      <w:jc w:val="right"/>
                      <w:rPr>
                        <w:szCs w:val="21"/>
                      </w:rPr>
                    </w:pPr>
                    <w:r>
                      <w:rPr>
                        <w:rFonts w:hint="eastAsia"/>
                      </w:rPr>
                      <w:t>1</w:t>
                    </w:r>
                  </w:p>
                </w:tc>
              </w:tr>
            </w:sdtContent>
          </w:sdt>
          <w:sdt>
            <w:sdtPr>
              <w:rPr>
                <w:rFonts w:hint="eastAsia" w:asciiTheme="minorHAnsi" w:hAnsiTheme="minorHAnsi" w:eastAsiaTheme="minorEastAsia" w:cstheme="minorBidi"/>
                <w:kern w:val="2"/>
                <w:szCs w:val="21"/>
              </w:rPr>
              <w:alias w:val="董事参加董事会的出席情况明细"/>
              <w:tag w:val="_TUP_21f02a2c29cc41bba590120cf14b9bc6"/>
              <w:id w:val="6773708"/>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t>阎骏 </w:t>
                    </w:r>
                  </w:p>
                </w:tc>
                <w:sdt>
                  <w:sdtPr>
                    <w:rPr>
                      <w:rFonts w:hint="eastAsia" w:ascii="Times New Roman" w:hAnsi="Times New Roman"/>
                      <w:szCs w:val="21"/>
                    </w:rPr>
                    <w:alias w:val="董事参加董事会的出席情况明细-是否独立董事"/>
                    <w:tag w:val="_GBC_8f65cf2d483747a58ee92c8a36ee6375"/>
                    <w:id w:val="6773706"/>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否</w:t>
                        </w:r>
                      </w:p>
                    </w:tc>
                  </w:sdtContent>
                </w:sdt>
                <w:tc>
                  <w:tcPr>
                    <w:tcW w:w="1100" w:type="dxa"/>
                  </w:tcPr>
                  <w:p>
                    <w:pPr>
                      <w:widowControl w:val="0"/>
                      <w:jc w:val="right"/>
                      <w:rPr>
                        <w:szCs w:val="21"/>
                      </w:rPr>
                    </w:pPr>
                    <w:r>
                      <w:rPr>
                        <w:rFonts w:hint="eastAsia"/>
                      </w:rPr>
                      <w:t>7</w:t>
                    </w:r>
                  </w:p>
                </w:tc>
                <w:tc>
                  <w:tcPr>
                    <w:tcW w:w="852" w:type="dxa"/>
                  </w:tcPr>
                  <w:p>
                    <w:pPr>
                      <w:widowControl w:val="0"/>
                      <w:jc w:val="right"/>
                      <w:rPr>
                        <w:szCs w:val="21"/>
                      </w:rPr>
                    </w:pPr>
                    <w:r>
                      <w:rPr>
                        <w:rFonts w:hint="eastAsia"/>
                        <w:szCs w:val="21"/>
                      </w:rPr>
                      <w:t>7</w:t>
                    </w:r>
                  </w:p>
                </w:tc>
                <w:tc>
                  <w:tcPr>
                    <w:tcW w:w="968" w:type="dxa"/>
                  </w:tcPr>
                  <w:p>
                    <w:pPr>
                      <w:widowControl w:val="0"/>
                      <w:jc w:val="right"/>
                      <w:rPr>
                        <w:szCs w:val="21"/>
                      </w:rPr>
                    </w:pPr>
                    <w:r>
                      <w:rPr>
                        <w:rFonts w:hint="eastAsia"/>
                      </w:rPr>
                      <w:t>5</w:t>
                    </w:r>
                  </w:p>
                </w:tc>
                <w:tc>
                  <w:tcPr>
                    <w:tcW w:w="905" w:type="dxa"/>
                  </w:tcPr>
                  <w:p>
                    <w:pPr>
                      <w:widowControl w:val="0"/>
                      <w:jc w:val="right"/>
                      <w:rPr>
                        <w:szCs w:val="21"/>
                      </w:rPr>
                    </w:pPr>
                    <w:r>
                      <w:t>0</w:t>
                    </w:r>
                  </w:p>
                </w:tc>
                <w:tc>
                  <w:tcPr>
                    <w:tcW w:w="845" w:type="dxa"/>
                  </w:tcPr>
                  <w:p>
                    <w:pPr>
                      <w:widowControl w:val="0"/>
                      <w:jc w:val="right"/>
                      <w:rPr>
                        <w:szCs w:val="21"/>
                      </w:rPr>
                    </w:pPr>
                    <w:r>
                      <w:t>0</w:t>
                    </w:r>
                  </w:p>
                </w:tc>
                <w:sdt>
                  <w:sdtPr>
                    <w:rPr>
                      <w:rFonts w:hint="eastAsia" w:ascii="Times New Roman" w:hAnsi="Times New Roman"/>
                      <w:szCs w:val="21"/>
                    </w:rPr>
                    <w:alias w:val="董事参加董事会的出席情况明细-是否连续两次未亲自参加会议"/>
                    <w:tag w:val="_GBC_4748dc7c4f9b495f9d97d5c22a5e08e6"/>
                    <w:id w:val="6773707"/>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否</w:t>
                        </w:r>
                      </w:p>
                    </w:tc>
                  </w:sdtContent>
                </w:sdt>
                <w:tc>
                  <w:tcPr>
                    <w:tcW w:w="1261" w:type="dxa"/>
                  </w:tcPr>
                  <w:p>
                    <w:pPr>
                      <w:widowControl w:val="0"/>
                      <w:jc w:val="right"/>
                      <w:rPr>
                        <w:szCs w:val="21"/>
                      </w:rPr>
                    </w:pPr>
                    <w:r>
                      <w:rPr>
                        <w:rFonts w:hint="eastAsia"/>
                      </w:rPr>
                      <w:t>2</w:t>
                    </w:r>
                  </w:p>
                </w:tc>
              </w:tr>
            </w:sdtContent>
          </w:sdt>
          <w:sdt>
            <w:sdtPr>
              <w:rPr>
                <w:rFonts w:hint="eastAsia" w:asciiTheme="minorHAnsi" w:hAnsiTheme="minorHAnsi" w:eastAsiaTheme="minorEastAsia" w:cstheme="minorBidi"/>
                <w:kern w:val="2"/>
                <w:szCs w:val="21"/>
              </w:rPr>
              <w:alias w:val="董事参加董事会的出席情况明细"/>
              <w:tag w:val="_TUP_21f02a2c29cc41bba590120cf14b9bc6"/>
              <w:id w:val="6773711"/>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t>黄国君</w:t>
                    </w:r>
                  </w:p>
                </w:tc>
                <w:sdt>
                  <w:sdtPr>
                    <w:rPr>
                      <w:rFonts w:hint="eastAsia" w:ascii="Times New Roman" w:hAnsi="Times New Roman"/>
                      <w:szCs w:val="21"/>
                    </w:rPr>
                    <w:alias w:val="董事参加董事会的出席情况明细-是否独立董事"/>
                    <w:tag w:val="_GBC_8f65cf2d483747a58ee92c8a36ee6375"/>
                    <w:id w:val="6773709"/>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是</w:t>
                        </w:r>
                      </w:p>
                    </w:tc>
                  </w:sdtContent>
                </w:sdt>
                <w:tc>
                  <w:tcPr>
                    <w:tcW w:w="1100" w:type="dxa"/>
                  </w:tcPr>
                  <w:p>
                    <w:pPr>
                      <w:widowControl w:val="0"/>
                      <w:jc w:val="right"/>
                      <w:rPr>
                        <w:szCs w:val="21"/>
                      </w:rPr>
                    </w:pPr>
                    <w:r>
                      <w:rPr>
                        <w:rFonts w:hint="eastAsia"/>
                      </w:rPr>
                      <w:t>7</w:t>
                    </w:r>
                  </w:p>
                </w:tc>
                <w:tc>
                  <w:tcPr>
                    <w:tcW w:w="852" w:type="dxa"/>
                  </w:tcPr>
                  <w:p>
                    <w:pPr>
                      <w:widowControl w:val="0"/>
                      <w:jc w:val="right"/>
                      <w:rPr>
                        <w:szCs w:val="21"/>
                      </w:rPr>
                    </w:pPr>
                    <w:r>
                      <w:rPr>
                        <w:rFonts w:hint="eastAsia"/>
                        <w:szCs w:val="21"/>
                      </w:rPr>
                      <w:t>7</w:t>
                    </w:r>
                  </w:p>
                </w:tc>
                <w:tc>
                  <w:tcPr>
                    <w:tcW w:w="968" w:type="dxa"/>
                  </w:tcPr>
                  <w:p>
                    <w:pPr>
                      <w:widowControl w:val="0"/>
                      <w:jc w:val="right"/>
                      <w:rPr>
                        <w:szCs w:val="21"/>
                      </w:rPr>
                    </w:pPr>
                    <w:r>
                      <w:rPr>
                        <w:rFonts w:hint="eastAsia"/>
                      </w:rPr>
                      <w:t>5</w:t>
                    </w:r>
                  </w:p>
                </w:tc>
                <w:tc>
                  <w:tcPr>
                    <w:tcW w:w="905" w:type="dxa"/>
                  </w:tcPr>
                  <w:p>
                    <w:pPr>
                      <w:widowControl w:val="0"/>
                      <w:jc w:val="right"/>
                      <w:rPr>
                        <w:szCs w:val="21"/>
                      </w:rPr>
                    </w:pPr>
                    <w:r>
                      <w:t>0</w:t>
                    </w:r>
                  </w:p>
                </w:tc>
                <w:tc>
                  <w:tcPr>
                    <w:tcW w:w="845" w:type="dxa"/>
                  </w:tcPr>
                  <w:p>
                    <w:pPr>
                      <w:widowControl w:val="0"/>
                      <w:jc w:val="right"/>
                      <w:rPr>
                        <w:szCs w:val="21"/>
                      </w:rPr>
                    </w:pPr>
                    <w:r>
                      <w:t>0</w:t>
                    </w:r>
                  </w:p>
                </w:tc>
                <w:sdt>
                  <w:sdtPr>
                    <w:rPr>
                      <w:rFonts w:hint="eastAsia" w:ascii="Times New Roman" w:hAnsi="Times New Roman"/>
                      <w:szCs w:val="21"/>
                    </w:rPr>
                    <w:alias w:val="董事参加董事会的出席情况明细-是否连续两次未亲自参加会议"/>
                    <w:tag w:val="_GBC_4748dc7c4f9b495f9d97d5c22a5e08e6"/>
                    <w:id w:val="6773710"/>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否</w:t>
                        </w:r>
                      </w:p>
                    </w:tc>
                  </w:sdtContent>
                </w:sdt>
                <w:tc>
                  <w:tcPr>
                    <w:tcW w:w="1261" w:type="dxa"/>
                  </w:tcPr>
                  <w:p>
                    <w:pPr>
                      <w:widowControl w:val="0"/>
                      <w:jc w:val="right"/>
                      <w:rPr>
                        <w:szCs w:val="21"/>
                      </w:rPr>
                    </w:pPr>
                    <w:r>
                      <w:rPr>
                        <w:rFonts w:hint="eastAsia"/>
                      </w:rPr>
                      <w:t>1</w:t>
                    </w:r>
                  </w:p>
                </w:tc>
              </w:tr>
            </w:sdtContent>
          </w:sdt>
          <w:sdt>
            <w:sdtPr>
              <w:rPr>
                <w:rFonts w:hint="eastAsia" w:asciiTheme="minorHAnsi" w:hAnsiTheme="minorHAnsi" w:eastAsiaTheme="minorEastAsia" w:cstheme="minorBidi"/>
                <w:kern w:val="2"/>
                <w:szCs w:val="21"/>
              </w:rPr>
              <w:alias w:val="董事参加董事会的出席情况明细"/>
              <w:tag w:val="_TUP_21f02a2c29cc41bba590120cf14b9bc6"/>
              <w:id w:val="6773714"/>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t>袁公章</w:t>
                    </w:r>
                  </w:p>
                </w:tc>
                <w:sdt>
                  <w:sdtPr>
                    <w:rPr>
                      <w:rFonts w:hint="eastAsia" w:ascii="Times New Roman" w:hAnsi="Times New Roman"/>
                      <w:szCs w:val="21"/>
                    </w:rPr>
                    <w:alias w:val="董事参加董事会的出席情况明细-是否独立董事"/>
                    <w:tag w:val="_GBC_8f65cf2d483747a58ee92c8a36ee6375"/>
                    <w:id w:val="6773712"/>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是</w:t>
                        </w:r>
                      </w:p>
                    </w:tc>
                  </w:sdtContent>
                </w:sdt>
                <w:tc>
                  <w:tcPr>
                    <w:tcW w:w="1100" w:type="dxa"/>
                  </w:tcPr>
                  <w:p>
                    <w:pPr>
                      <w:widowControl w:val="0"/>
                      <w:jc w:val="right"/>
                      <w:rPr>
                        <w:szCs w:val="21"/>
                      </w:rPr>
                    </w:pPr>
                    <w:r>
                      <w:rPr>
                        <w:rFonts w:hint="eastAsia"/>
                      </w:rPr>
                      <w:t>7</w:t>
                    </w:r>
                  </w:p>
                </w:tc>
                <w:tc>
                  <w:tcPr>
                    <w:tcW w:w="852" w:type="dxa"/>
                  </w:tcPr>
                  <w:p>
                    <w:pPr>
                      <w:widowControl w:val="0"/>
                      <w:jc w:val="right"/>
                      <w:rPr>
                        <w:szCs w:val="21"/>
                      </w:rPr>
                    </w:pPr>
                    <w:r>
                      <w:rPr>
                        <w:rFonts w:hint="eastAsia"/>
                        <w:szCs w:val="21"/>
                      </w:rPr>
                      <w:t>7</w:t>
                    </w:r>
                  </w:p>
                </w:tc>
                <w:tc>
                  <w:tcPr>
                    <w:tcW w:w="968" w:type="dxa"/>
                  </w:tcPr>
                  <w:p>
                    <w:pPr>
                      <w:widowControl w:val="0"/>
                      <w:jc w:val="right"/>
                      <w:rPr>
                        <w:szCs w:val="21"/>
                      </w:rPr>
                    </w:pPr>
                    <w:r>
                      <w:rPr>
                        <w:rFonts w:hint="eastAsia"/>
                      </w:rPr>
                      <w:t>5</w:t>
                    </w:r>
                  </w:p>
                </w:tc>
                <w:tc>
                  <w:tcPr>
                    <w:tcW w:w="905" w:type="dxa"/>
                  </w:tcPr>
                  <w:p>
                    <w:pPr>
                      <w:widowControl w:val="0"/>
                      <w:jc w:val="right"/>
                      <w:rPr>
                        <w:szCs w:val="21"/>
                      </w:rPr>
                    </w:pPr>
                    <w:r>
                      <w:t>0</w:t>
                    </w:r>
                  </w:p>
                </w:tc>
                <w:tc>
                  <w:tcPr>
                    <w:tcW w:w="845" w:type="dxa"/>
                  </w:tcPr>
                  <w:p>
                    <w:pPr>
                      <w:widowControl w:val="0"/>
                      <w:jc w:val="right"/>
                      <w:rPr>
                        <w:szCs w:val="21"/>
                      </w:rPr>
                    </w:pPr>
                    <w:r>
                      <w:t>0</w:t>
                    </w:r>
                  </w:p>
                </w:tc>
                <w:sdt>
                  <w:sdtPr>
                    <w:rPr>
                      <w:rFonts w:hint="eastAsia" w:ascii="Times New Roman" w:hAnsi="Times New Roman"/>
                      <w:szCs w:val="21"/>
                    </w:rPr>
                    <w:alias w:val="董事参加董事会的出席情况明细-是否连续两次未亲自参加会议"/>
                    <w:tag w:val="_GBC_4748dc7c4f9b495f9d97d5c22a5e08e6"/>
                    <w:id w:val="6773713"/>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否</w:t>
                        </w:r>
                      </w:p>
                    </w:tc>
                  </w:sdtContent>
                </w:sdt>
                <w:tc>
                  <w:tcPr>
                    <w:tcW w:w="1261" w:type="dxa"/>
                  </w:tcPr>
                  <w:p>
                    <w:pPr>
                      <w:widowControl w:val="0"/>
                      <w:jc w:val="right"/>
                      <w:rPr>
                        <w:szCs w:val="21"/>
                      </w:rPr>
                    </w:pPr>
                    <w:r>
                      <w:t>2</w:t>
                    </w:r>
                  </w:p>
                </w:tc>
              </w:tr>
            </w:sdtContent>
          </w:sdt>
          <w:sdt>
            <w:sdtPr>
              <w:rPr>
                <w:rFonts w:hint="eastAsia" w:asciiTheme="minorHAnsi" w:hAnsiTheme="minorHAnsi" w:eastAsiaTheme="minorEastAsia" w:cstheme="minorBidi"/>
                <w:kern w:val="2"/>
                <w:szCs w:val="21"/>
              </w:rPr>
              <w:alias w:val="董事参加董事会的出席情况明细"/>
              <w:tag w:val="_TUP_21f02a2c29cc41bba590120cf14b9bc6"/>
              <w:id w:val="6773717"/>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t>李骅</w:t>
                    </w:r>
                  </w:p>
                </w:tc>
                <w:sdt>
                  <w:sdtPr>
                    <w:rPr>
                      <w:rFonts w:hint="eastAsia" w:ascii="Times New Roman" w:hAnsi="Times New Roman"/>
                      <w:szCs w:val="21"/>
                    </w:rPr>
                    <w:alias w:val="董事参加董事会的出席情况明细-是否独立董事"/>
                    <w:tag w:val="_GBC_8f65cf2d483747a58ee92c8a36ee6375"/>
                    <w:id w:val="6773715"/>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是</w:t>
                        </w:r>
                      </w:p>
                    </w:tc>
                  </w:sdtContent>
                </w:sdt>
                <w:tc>
                  <w:tcPr>
                    <w:tcW w:w="1100" w:type="dxa"/>
                  </w:tcPr>
                  <w:p>
                    <w:pPr>
                      <w:widowControl w:val="0"/>
                      <w:jc w:val="right"/>
                      <w:rPr>
                        <w:szCs w:val="21"/>
                      </w:rPr>
                    </w:pPr>
                    <w:r>
                      <w:rPr>
                        <w:rFonts w:hint="eastAsia"/>
                      </w:rPr>
                      <w:t>7</w:t>
                    </w:r>
                  </w:p>
                </w:tc>
                <w:tc>
                  <w:tcPr>
                    <w:tcW w:w="852" w:type="dxa"/>
                  </w:tcPr>
                  <w:p>
                    <w:pPr>
                      <w:widowControl w:val="0"/>
                      <w:jc w:val="right"/>
                      <w:rPr>
                        <w:szCs w:val="21"/>
                      </w:rPr>
                    </w:pPr>
                    <w:r>
                      <w:rPr>
                        <w:rFonts w:hint="eastAsia"/>
                        <w:szCs w:val="21"/>
                      </w:rPr>
                      <w:t>6</w:t>
                    </w:r>
                  </w:p>
                </w:tc>
                <w:tc>
                  <w:tcPr>
                    <w:tcW w:w="968" w:type="dxa"/>
                  </w:tcPr>
                  <w:p>
                    <w:pPr>
                      <w:widowControl w:val="0"/>
                      <w:jc w:val="right"/>
                      <w:rPr>
                        <w:szCs w:val="21"/>
                      </w:rPr>
                    </w:pPr>
                    <w:r>
                      <w:rPr>
                        <w:rFonts w:hint="eastAsia"/>
                      </w:rPr>
                      <w:t>5</w:t>
                    </w:r>
                  </w:p>
                </w:tc>
                <w:tc>
                  <w:tcPr>
                    <w:tcW w:w="905" w:type="dxa"/>
                  </w:tcPr>
                  <w:p>
                    <w:pPr>
                      <w:widowControl w:val="0"/>
                      <w:jc w:val="right"/>
                      <w:rPr>
                        <w:szCs w:val="21"/>
                      </w:rPr>
                    </w:pPr>
                    <w:r>
                      <w:t>0</w:t>
                    </w:r>
                  </w:p>
                </w:tc>
                <w:tc>
                  <w:tcPr>
                    <w:tcW w:w="845" w:type="dxa"/>
                  </w:tcPr>
                  <w:p>
                    <w:pPr>
                      <w:widowControl w:val="0"/>
                      <w:jc w:val="right"/>
                      <w:rPr>
                        <w:szCs w:val="21"/>
                      </w:rPr>
                    </w:pPr>
                    <w:r>
                      <w:rPr>
                        <w:rFonts w:hint="eastAsia"/>
                      </w:rPr>
                      <w:t>1</w:t>
                    </w:r>
                  </w:p>
                </w:tc>
                <w:sdt>
                  <w:sdtPr>
                    <w:rPr>
                      <w:rFonts w:hint="eastAsia" w:ascii="Times New Roman" w:hAnsi="Times New Roman"/>
                      <w:szCs w:val="21"/>
                    </w:rPr>
                    <w:alias w:val="董事参加董事会的出席情况明细-是否连续两次未亲自参加会议"/>
                    <w:tag w:val="_GBC_4748dc7c4f9b495f9d97d5c22a5e08e6"/>
                    <w:id w:val="6773716"/>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否</w:t>
                        </w:r>
                      </w:p>
                    </w:tc>
                  </w:sdtContent>
                </w:sdt>
                <w:tc>
                  <w:tcPr>
                    <w:tcW w:w="1261" w:type="dxa"/>
                  </w:tcPr>
                  <w:p>
                    <w:pPr>
                      <w:widowControl w:val="0"/>
                      <w:jc w:val="right"/>
                      <w:rPr>
                        <w:szCs w:val="21"/>
                      </w:rPr>
                    </w:pPr>
                    <w:r>
                      <w:t>2</w:t>
                    </w:r>
                  </w:p>
                </w:tc>
              </w:tr>
            </w:sdtContent>
          </w:sdt>
          <w:sdt>
            <w:sdtPr>
              <w:rPr>
                <w:rFonts w:hint="eastAsia" w:asciiTheme="minorHAnsi" w:hAnsiTheme="minorHAnsi" w:eastAsiaTheme="minorEastAsia" w:cstheme="minorBidi"/>
                <w:kern w:val="2"/>
                <w:szCs w:val="21"/>
              </w:rPr>
              <w:alias w:val="董事参加董事会的出席情况明细"/>
              <w:tag w:val="_TUP_21f02a2c29cc41bba590120cf14b9bc6"/>
              <w:id w:val="6773720"/>
              <w:lock w:val="sdtLocked"/>
            </w:sdtPr>
            <w:sdtEndPr>
              <w:rPr>
                <w:rFonts w:hint="eastAsia" w:asciiTheme="minorHAnsi" w:hAnsiTheme="minorHAnsi" w:eastAsiaTheme="minorEastAsia" w:cstheme="minorBidi"/>
                <w:kern w:val="2"/>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pPr>
                      <w:widowControl w:val="0"/>
                      <w:jc w:val="both"/>
                      <w:rPr>
                        <w:szCs w:val="21"/>
                      </w:rPr>
                    </w:pPr>
                    <w:r>
                      <w:t>赵峰</w:t>
                    </w:r>
                  </w:p>
                </w:tc>
                <w:sdt>
                  <w:sdtPr>
                    <w:rPr>
                      <w:rFonts w:hint="eastAsia" w:ascii="Times New Roman" w:hAnsi="Times New Roman"/>
                      <w:szCs w:val="21"/>
                    </w:rPr>
                    <w:alias w:val="董事参加董事会的出席情况明细-是否独立董事"/>
                    <w:tag w:val="_GBC_8f65cf2d483747a58ee92c8a36ee6375"/>
                    <w:id w:val="6773718"/>
                    <w:lock w:val="sdtLocked"/>
                    <w:comboBox>
                      <w:listItem w:displayText="是" w:value="是"/>
                      <w:listItem w:displayText="否" w:value="否"/>
                    </w:comboBox>
                  </w:sdtPr>
                  <w:sdtEndPr>
                    <w:rPr>
                      <w:rFonts w:hint="eastAsia" w:ascii="Times New Roman" w:hAnsi="Times New Roman"/>
                      <w:szCs w:val="21"/>
                    </w:rPr>
                  </w:sdtEndPr>
                  <w:sdtContent>
                    <w:tc>
                      <w:tcPr>
                        <w:tcW w:w="846" w:type="dxa"/>
                      </w:tcPr>
                      <w:p>
                        <w:pPr>
                          <w:widowControl w:val="0"/>
                          <w:jc w:val="both"/>
                          <w:rPr>
                            <w:szCs w:val="21"/>
                          </w:rPr>
                        </w:pPr>
                        <w:r>
                          <w:rPr>
                            <w:rFonts w:hint="eastAsia"/>
                            <w:szCs w:val="21"/>
                          </w:rPr>
                          <w:t>是</w:t>
                        </w:r>
                      </w:p>
                    </w:tc>
                  </w:sdtContent>
                </w:sdt>
                <w:tc>
                  <w:tcPr>
                    <w:tcW w:w="1100" w:type="dxa"/>
                  </w:tcPr>
                  <w:p>
                    <w:pPr>
                      <w:widowControl w:val="0"/>
                      <w:jc w:val="right"/>
                      <w:rPr>
                        <w:szCs w:val="21"/>
                      </w:rPr>
                    </w:pPr>
                    <w:r>
                      <w:rPr>
                        <w:rFonts w:hint="eastAsia"/>
                      </w:rPr>
                      <w:t>7</w:t>
                    </w:r>
                  </w:p>
                </w:tc>
                <w:tc>
                  <w:tcPr>
                    <w:tcW w:w="852" w:type="dxa"/>
                  </w:tcPr>
                  <w:p>
                    <w:pPr>
                      <w:widowControl w:val="0"/>
                      <w:jc w:val="right"/>
                      <w:rPr>
                        <w:szCs w:val="21"/>
                      </w:rPr>
                    </w:pPr>
                    <w:r>
                      <w:rPr>
                        <w:rFonts w:hint="eastAsia"/>
                        <w:szCs w:val="21"/>
                      </w:rPr>
                      <w:t>6</w:t>
                    </w:r>
                  </w:p>
                </w:tc>
                <w:tc>
                  <w:tcPr>
                    <w:tcW w:w="968" w:type="dxa"/>
                  </w:tcPr>
                  <w:p>
                    <w:pPr>
                      <w:widowControl w:val="0"/>
                      <w:jc w:val="right"/>
                      <w:rPr>
                        <w:szCs w:val="21"/>
                      </w:rPr>
                    </w:pPr>
                    <w:r>
                      <w:rPr>
                        <w:rFonts w:hint="eastAsia"/>
                      </w:rPr>
                      <w:t>5</w:t>
                    </w:r>
                  </w:p>
                </w:tc>
                <w:tc>
                  <w:tcPr>
                    <w:tcW w:w="905" w:type="dxa"/>
                  </w:tcPr>
                  <w:p>
                    <w:pPr>
                      <w:widowControl w:val="0"/>
                      <w:jc w:val="right"/>
                      <w:rPr>
                        <w:szCs w:val="21"/>
                      </w:rPr>
                    </w:pPr>
                    <w:r>
                      <w:t>0</w:t>
                    </w:r>
                  </w:p>
                </w:tc>
                <w:tc>
                  <w:tcPr>
                    <w:tcW w:w="845" w:type="dxa"/>
                  </w:tcPr>
                  <w:p>
                    <w:pPr>
                      <w:widowControl w:val="0"/>
                      <w:jc w:val="right"/>
                      <w:rPr>
                        <w:szCs w:val="21"/>
                      </w:rPr>
                    </w:pPr>
                    <w:r>
                      <w:rPr>
                        <w:rFonts w:hint="eastAsia"/>
                      </w:rPr>
                      <w:t>1</w:t>
                    </w:r>
                  </w:p>
                </w:tc>
                <w:sdt>
                  <w:sdtPr>
                    <w:rPr>
                      <w:rFonts w:hint="eastAsia" w:ascii="Times New Roman" w:hAnsi="Times New Roman"/>
                      <w:szCs w:val="21"/>
                    </w:rPr>
                    <w:alias w:val="董事参加董事会的出席情况明细-是否连续两次未亲自参加会议"/>
                    <w:tag w:val="_GBC_4748dc7c4f9b495f9d97d5c22a5e08e6"/>
                    <w:id w:val="6773719"/>
                    <w:lock w:val="sdtLocked"/>
                    <w:comboBox>
                      <w:listItem w:displayText="是" w:value="是"/>
                      <w:listItem w:displayText="否" w:value="否"/>
                    </w:comboBox>
                  </w:sdtPr>
                  <w:sdtEndPr>
                    <w:rPr>
                      <w:rFonts w:hint="eastAsia" w:ascii="Times New Roman" w:hAnsi="Times New Roman"/>
                      <w:szCs w:val="21"/>
                    </w:rPr>
                  </w:sdtEndPr>
                  <w:sdtContent>
                    <w:tc>
                      <w:tcPr>
                        <w:tcW w:w="1292" w:type="dxa"/>
                      </w:tcPr>
                      <w:p>
                        <w:pPr>
                          <w:widowControl w:val="0"/>
                          <w:jc w:val="both"/>
                          <w:rPr>
                            <w:szCs w:val="21"/>
                          </w:rPr>
                        </w:pPr>
                        <w:r>
                          <w:rPr>
                            <w:rFonts w:hint="eastAsia"/>
                            <w:szCs w:val="21"/>
                          </w:rPr>
                          <w:t>否</w:t>
                        </w:r>
                      </w:p>
                    </w:tc>
                  </w:sdtContent>
                </w:sdt>
                <w:tc>
                  <w:tcPr>
                    <w:tcW w:w="1261" w:type="dxa"/>
                  </w:tcPr>
                  <w:p>
                    <w:pPr>
                      <w:widowControl w:val="0"/>
                      <w:jc w:val="right"/>
                      <w:rPr>
                        <w:szCs w:val="21"/>
                      </w:rPr>
                    </w:pPr>
                    <w:r>
                      <w:rPr>
                        <w:rFonts w:hint="eastAsia"/>
                      </w:rPr>
                      <w:t>1</w:t>
                    </w:r>
                  </w:p>
                </w:tc>
              </w:tr>
            </w:sdtContent>
          </w:sdt>
        </w:tbl>
        <w:p/>
        <w:p>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6773721"/>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董事连续两次未亲自参加董事会会议的说明"/>
            <w:tag w:val="_GBC_5e296d58a89b4ea9a107d5c63263740b"/>
            <w:id w:val="6773722"/>
            <w:lock w:val="sdtLocked"/>
          </w:sdtPr>
          <w:sdtEndPr>
            <w:rPr>
              <w:szCs w:val="21"/>
            </w:rPr>
          </w:sdtEndPr>
          <w:sdtContent>
            <w:p>
              <w:pPr>
                <w:rPr>
                  <w:szCs w:val="21"/>
                </w:rPr>
              </w:pPr>
              <w:r>
                <w:rPr>
                  <w:rFonts w:hint="eastAsia"/>
                  <w:szCs w:val="21"/>
                </w:rPr>
                <w:t>董事罗军先生因外出挂职原因连续两次未能出席董事会会议</w:t>
              </w:r>
            </w:p>
          </w:sdtContent>
        </w:sdt>
        <w:p>
          <w:pPr>
            <w:rPr>
              <w:szCs w:val="21"/>
            </w:rPr>
          </w:pPr>
        </w:p>
      </w:sdtContent>
    </w:sdt>
    <w:sdt>
      <w:sdtPr>
        <w:rPr>
          <w:szCs w:val="21"/>
        </w:rPr>
        <w:alias w:val="模块:召开董事会会议次数"/>
        <w:tag w:val="_SEC_2e2eb2c5022048f7a720555ef5553771"/>
        <w:id w:val="6773728"/>
        <w:lock w:val="sdtLocked"/>
        <w:placeholder>
          <w:docPart w:val="GBC22222222222222222222222222222"/>
        </w:placeholder>
      </w:sdtPr>
      <w:sdtEndPr>
        <w:rPr>
          <w:rFonts w:hint="eastAsia"/>
          <w:szCs w:val="21"/>
        </w:rPr>
      </w:sdtEndPr>
      <w:sdtContent>
        <w:tbl>
          <w:tblPr>
            <w:tblStyle w:val="4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Times New Roman" w:hAnsi="Times New Roman"/>
                  <w:szCs w:val="21"/>
                </w:rPr>
                <w:tag w:val="_PLD_0fc68bf164f04edda97a907df4cc747d"/>
                <w:id w:val="6773724"/>
                <w:lock w:val="sdtLocked"/>
              </w:sdtPr>
              <w:sdtEndPr>
                <w:rPr>
                  <w:rFonts w:ascii="Times New Roman" w:hAnsi="Times New Roman"/>
                  <w:szCs w:val="24"/>
                </w:rPr>
              </w:sdtEndPr>
              <w:sdtContent>
                <w:tc>
                  <w:tcPr>
                    <w:tcW w:w="4524" w:type="dxa"/>
                  </w:tcPr>
                  <w:p>
                    <w:pPr>
                      <w:widowControl w:val="0"/>
                      <w:jc w:val="both"/>
                      <w:rPr>
                        <w:szCs w:val="21"/>
                      </w:rPr>
                    </w:pPr>
                    <w:r>
                      <w:rPr>
                        <w:szCs w:val="21"/>
                      </w:rPr>
                      <w:t>年内召开董事会会议次数</w:t>
                    </w:r>
                  </w:p>
                </w:tc>
              </w:sdtContent>
            </w:sdt>
            <w:tc>
              <w:tcPr>
                <w:tcW w:w="4525" w:type="dxa"/>
              </w:tcPr>
              <w:p>
                <w:pPr>
                  <w:widowControl w:val="0"/>
                  <w:jc w:val="both"/>
                  <w:rPr>
                    <w:szCs w:val="21"/>
                  </w:rPr>
                </w:pPr>
                <w:r>
                  <w:rPr>
                    <w:rFonts w:hint="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b8c260bccff4db1858924291237c1f5"/>
                <w:id w:val="6773725"/>
                <w:lock w:val="sdtLocked"/>
              </w:sdtPr>
              <w:sdtContent>
                <w:tc>
                  <w:tcPr>
                    <w:tcW w:w="4524" w:type="dxa"/>
                  </w:tcPr>
                  <w:p>
                    <w:pPr>
                      <w:widowControl w:val="0"/>
                      <w:jc w:val="both"/>
                      <w:rPr>
                        <w:szCs w:val="21"/>
                      </w:rPr>
                    </w:pPr>
                    <w:r>
                      <w:rPr>
                        <w:szCs w:val="21"/>
                      </w:rPr>
                      <w:t>其中：现场会议次数</w:t>
                    </w:r>
                  </w:p>
                </w:tc>
              </w:sdtContent>
            </w:sdt>
            <w:tc>
              <w:tcPr>
                <w:tcW w:w="4525" w:type="dxa"/>
              </w:tcPr>
              <w:p>
                <w:pPr>
                  <w:widowControl w:val="0"/>
                  <w:jc w:val="both"/>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f23f45437624d3eb28d9b3b0c444b8c"/>
                <w:id w:val="6773726"/>
                <w:lock w:val="sdtLocked"/>
              </w:sdtPr>
              <w:sdtContent>
                <w:tc>
                  <w:tcPr>
                    <w:tcW w:w="4524" w:type="dxa"/>
                  </w:tcPr>
                  <w:p>
                    <w:pPr>
                      <w:widowControl w:val="0"/>
                      <w:jc w:val="both"/>
                      <w:rPr>
                        <w:szCs w:val="21"/>
                      </w:rPr>
                    </w:pPr>
                    <w:r>
                      <w:rPr>
                        <w:szCs w:val="21"/>
                      </w:rPr>
                      <w:t>通讯方式召开会议次数</w:t>
                    </w:r>
                  </w:p>
                </w:tc>
              </w:sdtContent>
            </w:sdt>
            <w:tc>
              <w:tcPr>
                <w:tcW w:w="4525" w:type="dxa"/>
              </w:tcPr>
              <w:p>
                <w:pPr>
                  <w:widowControl w:val="0"/>
                  <w:jc w:val="both"/>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62bf2274fd043da9e03bf0d73a8e1bd"/>
                <w:id w:val="6773727"/>
                <w:lock w:val="sdtLocked"/>
              </w:sdtPr>
              <w:sdtContent>
                <w:tc>
                  <w:tcPr>
                    <w:tcW w:w="4524" w:type="dxa"/>
                  </w:tcPr>
                  <w:p>
                    <w:pPr>
                      <w:widowControl w:val="0"/>
                      <w:jc w:val="both"/>
                      <w:rPr>
                        <w:szCs w:val="21"/>
                      </w:rPr>
                    </w:pPr>
                    <w:r>
                      <w:rPr>
                        <w:szCs w:val="21"/>
                      </w:rPr>
                      <w:t>现场结合通讯方式召开会议次数</w:t>
                    </w:r>
                  </w:p>
                </w:tc>
              </w:sdtContent>
            </w:sdt>
            <w:tc>
              <w:tcPr>
                <w:tcW w:w="4525" w:type="dxa"/>
              </w:tcPr>
              <w:p>
                <w:pPr>
                  <w:widowControl w:val="0"/>
                  <w:jc w:val="both"/>
                  <w:rPr>
                    <w:szCs w:val="21"/>
                  </w:rPr>
                </w:pPr>
                <w:r>
                  <w:rPr>
                    <w:rFonts w:hint="eastAsia"/>
                    <w:szCs w:val="21"/>
                  </w:rPr>
                  <w:t>0</w:t>
                </w:r>
              </w:p>
            </w:tc>
          </w:tr>
        </w:tbl>
      </w:sdtContent>
    </w:sdt>
    <w:p>
      <w:pPr>
        <w:rPr>
          <w:szCs w:val="21"/>
        </w:rPr>
      </w:pPr>
    </w:p>
    <w:sdt>
      <w:sdtPr>
        <w:rPr>
          <w:rFonts w:ascii="宋体" w:hAnsi="宋体" w:cs="宋体"/>
          <w:b w:val="0"/>
          <w:bCs w:val="0"/>
          <w:kern w:val="0"/>
          <w:szCs w:val="21"/>
        </w:rPr>
        <w:alias w:val="模块:独立董事对公司有关事项提出异议的情况"/>
        <w:tag w:val="_SEC_b081c22d491d456ea3f9900a0a6757d2"/>
        <w:id w:val="6773730"/>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52"/>
            </w:numPr>
            <w:rPr>
              <w:szCs w:val="21"/>
            </w:rPr>
          </w:pPr>
          <w:r>
            <w:rPr>
              <w:szCs w:val="21"/>
            </w:rPr>
            <w:t>独立董事对公司有关事项提出异议的情况</w:t>
          </w:r>
        </w:p>
        <w:sdt>
          <w:sdtPr>
            <w:alias w:val="是否适用：独立董事对公司有关事项提出异议的情况[双击切换]"/>
            <w:tag w:val="_GBC_1369df39a53747ff843be7f892cb0cbd"/>
            <w:id w:val="677372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p>
      <w:pPr>
        <w:rPr>
          <w:szCs w:val="21"/>
        </w:rPr>
      </w:pPr>
    </w:p>
    <w:sdt>
      <w:sdtPr>
        <w:rPr>
          <w:rFonts w:ascii="宋体" w:hAnsi="宋体" w:cs="宋体"/>
          <w:b w:val="0"/>
          <w:bCs w:val="0"/>
          <w:kern w:val="0"/>
          <w:szCs w:val="21"/>
        </w:rPr>
        <w:alias w:val="模块:其他"/>
        <w:tag w:val="_SEC_bbf6d8e9e0c34286a1bb4f1de8b79fa7"/>
        <w:id w:val="6773732"/>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52"/>
            </w:numPr>
            <w:rPr>
              <w:szCs w:val="21"/>
            </w:rPr>
          </w:pPr>
          <w:r>
            <w:rPr>
              <w:szCs w:val="21"/>
            </w:rPr>
            <w:t>其他</w:t>
          </w:r>
        </w:p>
        <w:sdt>
          <w:sdtPr>
            <w:rPr>
              <w:rFonts w:hint="eastAsia"/>
              <w:szCs w:val="21"/>
            </w:rPr>
            <w:alias w:val="是否适用：其他董事履行职责情况说明[双击切换]"/>
            <w:tag w:val="_GBC_ba1a70dda14046559f72c5b524ca1125"/>
            <w:id w:val="6773731"/>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4"/>
        </w:rPr>
        <w:alias w:val="模块:董事会下设专门委员会在报告期内履行职责时所提出的重要意见和建..."/>
        <w:tag w:val="_SEC_400f0a7634114d80939ab87276db7db7"/>
        <w:id w:val="6773735"/>
        <w:lock w:val="sdtLocked"/>
        <w:placeholder>
          <w:docPart w:val="GBC22222222222222222222222222222"/>
        </w:placeholder>
      </w:sdtPr>
      <w:sdtEndPr>
        <w:rPr>
          <w:rFonts w:hint="default" w:ascii="宋体" w:hAnsi="宋体" w:cs="宋体"/>
          <w:b w:val="0"/>
          <w:bCs w:val="0"/>
          <w:kern w:val="0"/>
          <w:szCs w:val="24"/>
        </w:rPr>
      </w:sdtEndPr>
      <w:sdtContent>
        <w:p>
          <w:pPr>
            <w:pStyle w:val="3"/>
            <w:numPr>
              <w:ilvl w:val="0"/>
              <w:numId w:val="51"/>
            </w:numPr>
          </w:pPr>
          <w:r>
            <w:rPr>
              <w:rFonts w:hint="eastAsia"/>
            </w:rPr>
            <w:t>董事会下设专门委员会在报告期内履行职责时所提出的重要意见和建议，存在异议事项的，应当披露具体情况</w:t>
          </w:r>
        </w:p>
        <w:sdt>
          <w:sdtPr>
            <w:rPr>
              <w:rFonts w:hint="eastAsia"/>
              <w:szCs w:val="21"/>
            </w:rPr>
            <w:alias w:val="是否适用：董事会下设专门委员会在报告期内履行职责时所提出的重要意见和建议[双击切换]"/>
            <w:tag w:val="_GBC_f61de8443c9e4bc6b27047ea31f34f46"/>
            <w:id w:val="677373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董事会下设专门委员会在报告期内履行职责时所提出的重要意见和建议"/>
            <w:tag w:val="_GBC_008f5f152ec64806960abf2dc33f5740"/>
            <w:id w:val="6773734"/>
            <w:lock w:val="sdtLocked"/>
            <w:placeholder>
              <w:docPart w:val="GBC22222222222222222222222222222"/>
            </w:placeholder>
          </w:sdtPr>
          <w:sdtEndPr>
            <w:rPr>
              <w:rFonts w:hint="eastAsia"/>
              <w:szCs w:val="21"/>
            </w:rPr>
          </w:sdtEndPr>
          <w:sdtContent>
            <w:p>
              <w:pPr>
                <w:ind w:firstLine="420" w:firstLineChars="200"/>
              </w:pPr>
              <w:r>
                <w:rPr>
                  <w:rFonts w:hint="eastAsia"/>
                </w:rPr>
                <w:t>报告期内各专业委员会勤勉认真的履行各自的职责，为公司的健康发展提出专业化的建议：</w:t>
              </w:r>
            </w:p>
            <w:p>
              <w:pPr>
                <w:ind w:firstLine="420" w:firstLineChars="200"/>
              </w:pPr>
              <w:r>
                <w:rPr>
                  <w:rFonts w:hint="eastAsia"/>
                </w:rPr>
                <w:t>战略及风险管理委员会结合行业宏观环境，针对公司年度发展战略和重点工作部署提出了切实的建议；为公司十三五规划设计提出公司未来发展关键所在，对规划设计内容提供宝贵建议。</w:t>
              </w:r>
            </w:p>
            <w:p>
              <w:pPr>
                <w:ind w:firstLine="420" w:firstLineChars="200"/>
                <w:rPr>
                  <w:rFonts w:ascii="Calibri" w:hAnsi="Calibri"/>
                  <w:kern w:val="2"/>
                </w:rPr>
              </w:pPr>
              <w:r>
                <w:rPr>
                  <w:rFonts w:hint="eastAsia"/>
                </w:rPr>
                <w:t>审计委员会对公司选聘的审计机构专业能力进行了认真的审核，并与其积极沟通年报审计的相关工作；关注公司的财务状况，并做出风险提示；关注公司内部控制体系的完善并对内部控制自我检查工作进行了监督指导；在定期报告披露的过程中，认真审阅财务报告，并给予专业性的建议。</w:t>
              </w:r>
            </w:p>
            <w:p>
              <w:pPr>
                <w:ind w:firstLine="420" w:firstLineChars="200"/>
              </w:pPr>
              <w:r>
                <w:rPr>
                  <w:rFonts w:hint="eastAsia"/>
                </w:rPr>
                <w:t>薪酬委员会对公司薪酬制度改革提出了建议，并监督其执行情况，同时对公司的考评体系提出优化建议。</w:t>
              </w:r>
            </w:p>
            <w:p>
              <w:pPr>
                <w:rPr>
                  <w:szCs w:val="21"/>
                </w:rPr>
              </w:pPr>
              <w:r>
                <w:rPr>
                  <w:rFonts w:hint="eastAsia"/>
                </w:rPr>
                <w:t xml:space="preserve">    提名委员会在公司聘任新董事及高管时，对候选人的专业资格、背景经历等方面进行了严格的审查，并发表了专业意见。</w:t>
              </w:r>
            </w:p>
          </w:sdtContent>
        </w:sdt>
      </w:sdtContent>
    </w:sdt>
    <w:p>
      <w:pPr>
        <w:rPr>
          <w:szCs w:val="21"/>
        </w:rPr>
      </w:pPr>
    </w:p>
    <w:sdt>
      <w:sdtPr>
        <w:rPr>
          <w:rFonts w:ascii="宋体" w:hAnsi="宋体" w:cs="宋体"/>
          <w:b w:val="0"/>
          <w:bCs w:val="0"/>
          <w:kern w:val="0"/>
          <w:szCs w:val="24"/>
        </w:rPr>
        <w:alias w:val="模块:监事会发现公司存在风险的说明"/>
        <w:tag w:val="_SEC_310bf2b1c08b41038ad54457f10d6a19"/>
        <w:id w:val="6773737"/>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51"/>
            </w:numPr>
          </w:pPr>
          <w:r>
            <w:t>监事会发现公司存在风险的说明</w:t>
          </w:r>
        </w:p>
        <w:sdt>
          <w:sdtPr>
            <w:alias w:val="是否适用：监事会发现公司存在风险的说明[双击切换]"/>
            <w:tag w:val="_GBC_987bc6e795084351a58e9d0bca47f246"/>
            <w:id w:val="6773736"/>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sdt>
      <w:sdtPr>
        <w:rPr>
          <w:rFonts w:hint="eastAsia" w:ascii="宋体" w:hAnsi="宋体" w:cs="宋体"/>
          <w:b w:val="0"/>
          <w:bCs w:val="0"/>
          <w:kern w:val="0"/>
          <w:szCs w:val="24"/>
        </w:rPr>
        <w:alias w:val="模块:公司就其与控股股东在业务、人员、资产、机构、财务等方面存在的..."/>
        <w:tag w:val="_SEC_688f9e7a19b8440896b6ff6f165a1948"/>
        <w:id w:val="6773740"/>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51"/>
            </w:numPr>
          </w:pPr>
          <w:r>
            <w:rPr>
              <w:rFonts w:hint="eastAsia"/>
            </w:rPr>
            <w:t>公司就其与控股股东在业务、人员、资产、机构、财务等方面存在的不能保证独立性、不能保持自主经营能力的情况说明</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6773738"/>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p>
          <w:pPr>
            <w:rPr>
              <w:szCs w:val="21"/>
            </w:rPr>
          </w:pPr>
          <w:r>
            <w:rPr>
              <w:szCs w:val="21"/>
            </w:rPr>
            <w:t>存在同业竞争的，公司相应的解决措施、工作进度及后续工作计划</w:t>
          </w:r>
        </w:p>
        <w:sdt>
          <w:sdtPr>
            <w:rPr>
              <w:rFonts w:hint="eastAsia"/>
              <w:szCs w:val="21"/>
            </w:rPr>
            <w:alias w:val="是否适用：存在同业竞争的，公司相应的解决措施、工作进度及后续工作计划[双击切换]"/>
            <w:tag w:val="_GBC_1883b6583caa4429822c73ae5e75f9f4"/>
            <w:id w:val="677373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ascii="宋体" w:hAnsi="宋体" w:cs="宋体"/>
          <w:b w:val="0"/>
          <w:bCs w:val="0"/>
          <w:kern w:val="0"/>
          <w:szCs w:val="24"/>
        </w:rPr>
        <w:alias w:val="模块:报告期内对高级管理人员的考评机制，以及激励机制的建立、实施情..."/>
        <w:tag w:val="_SEC_e7128a1764624077b0f90f676a73dd15"/>
        <w:id w:val="6773743"/>
        <w:lock w:val="sdtLocked"/>
        <w:placeholder>
          <w:docPart w:val="GBC22222222222222222222222222222"/>
        </w:placeholder>
      </w:sdtPr>
      <w:sdtEndPr>
        <w:rPr>
          <w:rFonts w:ascii="宋体" w:hAnsi="宋体" w:cs="宋体"/>
          <w:b w:val="0"/>
          <w:bCs w:val="0"/>
          <w:kern w:val="0"/>
          <w:szCs w:val="24"/>
        </w:rPr>
      </w:sdtEndPr>
      <w:sdtContent>
        <w:p>
          <w:pPr>
            <w:pStyle w:val="3"/>
            <w:numPr>
              <w:ilvl w:val="0"/>
              <w:numId w:val="51"/>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6773741"/>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对高级管理人员的考评及激励情况"/>
            <w:tag w:val="_GBC_ff8dc93589b2464ba735502bf6a2a8ca"/>
            <w:id w:val="6773742"/>
            <w:lock w:val="sdtLocked"/>
            <w:placeholder>
              <w:docPart w:val="GBC22222222222222222222222222222"/>
            </w:placeholder>
          </w:sdtPr>
          <w:sdtEndPr>
            <w:rPr>
              <w:rFonts w:hint="eastAsia"/>
              <w:szCs w:val="21"/>
            </w:rPr>
          </w:sdtEndPr>
          <w:sdtContent>
            <w:p>
              <w:pPr>
                <w:rPr>
                  <w:color w:val="000000" w:themeColor="text1"/>
                </w:rPr>
              </w:pPr>
              <w:r>
                <w:rPr>
                  <w:rFonts w:hint="eastAsia"/>
                  <w:szCs w:val="21"/>
                </w:rPr>
                <w:t xml:space="preserve">    </w:t>
              </w:r>
              <w:r>
                <w:rPr>
                  <w:rFonts w:hint="eastAsia"/>
                  <w:color w:val="000000" w:themeColor="text1"/>
                </w:rPr>
                <w:t>主要按照《柳钢中层干部绩效管理办法》对公司高级管理人员进行业绩考评，将绩效管理划分为绩效计划、绩效实施、绩效评价、绩效反馈四个环节，形成工作闭环。</w:t>
              </w:r>
            </w:p>
            <w:p>
              <w:pPr>
                <w:rPr>
                  <w:szCs w:val="21"/>
                </w:rPr>
              </w:pPr>
              <w:r>
                <w:rPr>
                  <w:rFonts w:hint="eastAsia"/>
                  <w:color w:val="000000" w:themeColor="text1"/>
                </w:rPr>
                <w:t xml:space="preserve">    执行月度、季度、年度相结合的绩效评价模式，每月按照经济责任制和专业责任制考核办法对业绩完成情况的考核力度，计算月度考核分。每季度汇总职能部室交叉反映情况、月度评价情况在中层干部大会进行讲评并予表扬或者批评及以上处理，并下达考核通知书核减季度考核分。年末开展民主评议，对高级管理人员的“德、能、勤、绩、廉”进行综合考评。民主评议结束后，综合月度、季度及民主评议情况计算年度考核分；涉及有经营业务的单位，还计算年度指标完成情况，最终划分综合评定等次、计算发放年薪。系统全面的绩效考核体系犹如一道“防火墙”，提升高级管理人员的自我管理能力，把工作重心都放在提升工作绩效上，促进自身价值与企业方针目标的实现。</w:t>
              </w:r>
            </w:p>
          </w:sdtContent>
        </w:sdt>
      </w:sdtContent>
    </w:sdt>
    <w:p>
      <w:pPr>
        <w:rPr>
          <w:szCs w:val="21"/>
        </w:rPr>
      </w:pPr>
    </w:p>
    <w:sdt>
      <w:sdtPr>
        <w:rPr>
          <w:rFonts w:hint="eastAsia" w:ascii="宋体" w:hAnsi="宋体" w:cs="宋体"/>
          <w:b w:val="0"/>
          <w:bCs w:val="0"/>
          <w:kern w:val="0"/>
          <w:szCs w:val="24"/>
        </w:rPr>
        <w:alias w:val="模块:是否披露内部控制自我评价报告"/>
        <w:tag w:val="_SEC_0075f2ef769c4ae296d24a62286f10c4"/>
        <w:id w:val="6773747"/>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51"/>
            </w:numPr>
          </w:pPr>
          <w:r>
            <w:rPr>
              <w:rFonts w:hint="eastAsia"/>
            </w:rPr>
            <w:t>是否披露内部控制自我评价报告</w:t>
          </w:r>
        </w:p>
        <w:sdt>
          <w:sdtPr>
            <w:rPr>
              <w:szCs w:val="21"/>
            </w:rPr>
            <w:alias w:val="是否适用：是否披露内部控制自我评价报告[双击切换]"/>
            <w:tag w:val="_GBC_f76747fb26ee47cfb00fc8ad5592b038"/>
            <w:id w:val="6773744"/>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6773745"/>
            <w:lock w:val="sdtLocked"/>
            <w:placeholder>
              <w:docPart w:val="GBC22222222222222222222222222222"/>
            </w:placeholder>
          </w:sdtPr>
          <w:sdtEndPr>
            <w:rPr>
              <w:rFonts w:hint="eastAsia"/>
              <w:szCs w:val="21"/>
            </w:rPr>
          </w:sdtEndPr>
          <w:sdtContent>
            <w:p>
              <w:pPr>
                <w:rPr>
                  <w:szCs w:val="21"/>
                </w:rPr>
              </w:pPr>
              <w:r>
                <w:rPr>
                  <w:rFonts w:hint="eastAsia"/>
                </w:rPr>
                <w:t>公司2017年度内部控制评价报告详见上海证券交易所网站</w:t>
              </w:r>
            </w:p>
          </w:sdtContent>
        </w:sdt>
        <w:p>
          <w:pPr>
            <w:rPr>
              <w:szCs w:val="21"/>
            </w:rPr>
          </w:pPr>
        </w:p>
        <w:p>
          <w:pPr>
            <w:tabs>
              <w:tab w:val="left" w:pos="2760"/>
            </w:tabs>
            <w:rPr>
              <w:szCs w:val="21"/>
            </w:rPr>
          </w:pPr>
          <w:r>
            <w:rPr>
              <w:rFonts w:hint="eastAsia"/>
              <w:szCs w:val="21"/>
            </w:rPr>
            <w:t>报告期内部控制存在重大缺陷情况的说明</w:t>
          </w:r>
        </w:p>
        <w:sdt>
          <w:sdtPr>
            <w:rPr>
              <w:szCs w:val="21"/>
            </w:rPr>
            <w:alias w:val="是否适用：报告期内部控制存在重大缺陷情况的说明[双击切换]"/>
            <w:tag w:val="_GBC_cad036bd9fe3409f906985f824010f6a"/>
            <w:id w:val="6773746"/>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4"/>
        </w:rPr>
        <w:alias w:val="模块:内部控制审计报告的相关情况说明"/>
        <w:tag w:val="_SEC_2d6e7b1f7b054f2fbca2d55832fe79ef"/>
        <w:id w:val="6773751"/>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51"/>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6773748"/>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6773749"/>
            <w:lock w:val="sdtLocked"/>
          </w:sdtPr>
          <w:sdtEndPr>
            <w:rPr>
              <w:rFonts w:hint="eastAsia"/>
              <w:szCs w:val="21"/>
            </w:rPr>
          </w:sdtEndPr>
          <w:sdtContent>
            <w:p>
              <w:pPr>
                <w:rPr>
                  <w:szCs w:val="21"/>
                </w:rPr>
              </w:pPr>
              <w:r>
                <w:rPr>
                  <w:rFonts w:hint="eastAsia"/>
                  <w:color w:val="000000" w:themeColor="text1"/>
                  <w:szCs w:val="21"/>
                </w:rPr>
                <w:t>公司聘请的中审华会计师事务所（特殊普通合伙）对公司 2017 年度内部控制的有效性进行了独立审计，出具了《柳州钢铁股份有限公司2017年度</w:t>
              </w:r>
              <w:r>
                <w:rPr>
                  <w:color w:val="000000" w:themeColor="text1"/>
                  <w:szCs w:val="21"/>
                </w:rPr>
                <w:t>内部控制审计报告》，</w:t>
              </w:r>
              <w:r>
                <w:rPr>
                  <w:rFonts w:hint="eastAsia"/>
                  <w:color w:val="000000" w:themeColor="text1"/>
                  <w:szCs w:val="21"/>
                </w:rPr>
                <w:t>认为柳钢股份于2017年12月31日按照《企业内部控制基本规范》和相关规定在所有重大方面保持了有效的财务报告内部控制。详见刊登于上海证券交易所网站</w:t>
              </w:r>
              <w:r>
                <w:rPr>
                  <w:color w:val="000000" w:themeColor="text1"/>
                  <w:szCs w:val="21"/>
                </w:rPr>
                <w:t xml:space="preserve"> www.sse.com.cn 的</w:t>
              </w:r>
              <w:r>
                <w:rPr>
                  <w:rFonts w:hint="eastAsia"/>
                  <w:color w:val="000000" w:themeColor="text1"/>
                  <w:szCs w:val="21"/>
                </w:rPr>
                <w:t>《柳州钢铁股份有限公司2017年度</w:t>
              </w:r>
              <w:r>
                <w:rPr>
                  <w:color w:val="000000" w:themeColor="text1"/>
                  <w:szCs w:val="21"/>
                </w:rPr>
                <w:t>内部控制审计报告》</w:t>
              </w:r>
              <w:r>
                <w:rPr>
                  <w:rFonts w:hint="eastAsia"/>
                  <w:color w:val="000000" w:themeColor="text1"/>
                  <w:szCs w:val="21"/>
                </w:rPr>
                <w:t>。</w:t>
              </w:r>
            </w:p>
          </w:sdtContent>
        </w:sdt>
        <w:p>
          <w:pPr>
            <w:rPr>
              <w:szCs w:val="21"/>
            </w:rPr>
          </w:pPr>
          <w:r>
            <w:rPr>
              <w:szCs w:val="21"/>
            </w:rPr>
            <w:t>是否披露内部控制审计报告：</w:t>
          </w:r>
          <w:sdt>
            <w:sdtPr>
              <w:rPr>
                <w:szCs w:val="21"/>
              </w:rPr>
              <w:alias w:val="审计机构是否对公司内部控制出具核实评价意见"/>
              <w:tag w:val="_GBC_c9f332f7c06944ebbd339ca86944d1e2"/>
              <w:id w:val="6773750"/>
              <w:lock w:val="sdtLocked"/>
              <w:placeholder>
                <w:docPart w:val="GBC22222222222222222222222222222"/>
              </w:placeholder>
              <w:comboBox>
                <w:listItem w:displayText="是" w:value="是"/>
                <w:listItem w:displayText="否" w:value="否"/>
              </w:comboBox>
            </w:sdtPr>
            <w:sdtEndPr>
              <w:rPr>
                <w:szCs w:val="21"/>
              </w:rPr>
            </w:sdtEndPr>
            <w:sdtContent>
              <w:r>
                <w:rPr>
                  <w:rFonts w:hint="eastAsia"/>
                  <w:szCs w:val="21"/>
                </w:rPr>
                <w:t>是</w:t>
              </w:r>
            </w:sdtContent>
          </w:sdt>
        </w:p>
      </w:sdtContent>
    </w:sdt>
    <w:p>
      <w:pPr>
        <w:rPr>
          <w:szCs w:val="21"/>
        </w:rPr>
      </w:pPr>
    </w:p>
    <w:sdt>
      <w:sdtPr>
        <w:rPr>
          <w:rFonts w:ascii="宋体" w:hAnsi="宋体" w:cs="宋体"/>
          <w:b w:val="0"/>
          <w:bCs w:val="0"/>
          <w:kern w:val="0"/>
          <w:szCs w:val="24"/>
        </w:rPr>
        <w:alias w:val="模块:其他公司治理情况"/>
        <w:tag w:val="_SEC_21aaf83f464849edbdaf9c267b7db780"/>
        <w:id w:val="6773753"/>
        <w:lock w:val="sdtLocked"/>
        <w:placeholder>
          <w:docPart w:val="GBC22222222222222222222222222222"/>
        </w:placeholder>
      </w:sdtPr>
      <w:sdtEndPr>
        <w:rPr>
          <w:rFonts w:ascii="宋体" w:hAnsi="宋体" w:cs="宋体"/>
          <w:b w:val="0"/>
          <w:bCs w:val="0"/>
          <w:kern w:val="0"/>
          <w:szCs w:val="24"/>
        </w:rPr>
      </w:sdtEndPr>
      <w:sdtContent>
        <w:p>
          <w:pPr>
            <w:pStyle w:val="3"/>
            <w:numPr>
              <w:ilvl w:val="0"/>
              <w:numId w:val="51"/>
            </w:numPr>
          </w:pPr>
          <w:r>
            <w:t>其他</w:t>
          </w:r>
        </w:p>
        <w:sdt>
          <w:sdtPr>
            <w:rPr>
              <w:rFonts w:hint="eastAsia"/>
              <w:szCs w:val="21"/>
            </w:rPr>
            <w:alias w:val="是否适用：其他公司治理情况说明[双击切换]"/>
            <w:tag w:val="_GBC_dc91085943bb4d4ab22a79a9ba7014df"/>
            <w:id w:val="677375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2"/>
        <w:numPr>
          <w:ilvl w:val="0"/>
          <w:numId w:val="2"/>
        </w:numPr>
        <w:rPr>
          <w:bCs w:val="0"/>
          <w:szCs w:val="28"/>
        </w:rPr>
      </w:pPr>
      <w:bookmarkStart w:id="67" w:name="_Toc469563084"/>
      <w:bookmarkStart w:id="68" w:name="_Toc437440717"/>
      <w:r>
        <w:rPr>
          <w:rFonts w:hint="eastAsia"/>
          <w:bCs w:val="0"/>
          <w:szCs w:val="28"/>
        </w:rPr>
        <w:t>公司债券相关情况</w:t>
      </w:r>
      <w:bookmarkEnd w:id="67"/>
      <w:bookmarkEnd w:id="68"/>
    </w:p>
    <w:sdt>
      <w:sdtPr>
        <w:rPr>
          <w:szCs w:val="21"/>
        </w:rPr>
        <w:alias w:val="是否适用：公司债券相关情况[双击切换]"/>
        <w:tag w:val="_GBC_32d9236dab27420da942341e2a9af317"/>
        <w:id w:val="6773754"/>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ascii="宋体" w:hAnsi="宋体" w:cs="宋体"/>
          <w:b w:val="0"/>
          <w:bCs w:val="0"/>
          <w:kern w:val="0"/>
          <w:szCs w:val="24"/>
        </w:rPr>
        <w:alias w:val="模块:公司债券基本情况"/>
        <w:tag w:val="_SEC_3e8bcdcfb0f24f789009c50b76c4b5c9"/>
        <w:id w:val="6773770"/>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53"/>
            </w:numPr>
          </w:pPr>
          <w:r>
            <w:rPr>
              <w:rFonts w:hint="eastAsia"/>
            </w:rPr>
            <w:t>公司债券基本情况</w:t>
          </w:r>
        </w:p>
        <w:p>
          <w:pPr>
            <w:jc w:val="right"/>
            <w:rPr>
              <w:szCs w:val="21"/>
            </w:rPr>
          </w:pPr>
          <w:r>
            <w:rPr>
              <w:rFonts w:hint="eastAsia"/>
              <w:szCs w:val="21"/>
            </w:rPr>
            <w:t>单位</w:t>
          </w:r>
          <w:r>
            <w:rPr>
              <w:szCs w:val="21"/>
            </w:rPr>
            <w:t>:</w:t>
          </w:r>
          <w:sdt>
            <w:sdtPr>
              <w:rPr>
                <w:szCs w:val="21"/>
              </w:rPr>
              <w:alias w:val="单位：财务附注：公司债券基本情况"/>
              <w:tag w:val="_GBC_d6bc46292dcc439aa364e79cd197c5e2"/>
              <w:id w:val="677375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szCs w:val="21"/>
                </w:rPr>
                <w:t>万元</w:t>
              </w:r>
            </w:sdtContent>
          </w:sdt>
          <w:r>
            <w:rPr>
              <w:rFonts w:hint="eastAsia"/>
              <w:szCs w:val="21"/>
            </w:rPr>
            <w:t xml:space="preserve">  币种</w:t>
          </w:r>
          <w:r>
            <w:rPr>
              <w:szCs w:val="21"/>
            </w:rPr>
            <w:t>:</w:t>
          </w:r>
          <w:sdt>
            <w:sdtPr>
              <w:rPr>
                <w:szCs w:val="21"/>
              </w:rPr>
              <w:alias w:val="币种：财务附注：公司债券基本情况"/>
              <w:tag w:val="_GBC_4005e971fd6b4196944b36ab999afb80"/>
              <w:id w:val="67737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990"/>
            <w:gridCol w:w="990"/>
            <w:gridCol w:w="1056"/>
            <w:gridCol w:w="1056"/>
            <w:gridCol w:w="1123"/>
            <w:gridCol w:w="861"/>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3109b5b9a1c4ff4a7b2b80753c0ac76"/>
                <w:id w:val="6773757"/>
                <w:lock w:val="sdtLocked"/>
              </w:sdtPr>
              <w:sdtContent>
                <w:tc>
                  <w:tcPr>
                    <w:tcW w:w="989" w:type="dxa"/>
                    <w:vAlign w:val="center"/>
                  </w:tcPr>
                  <w:p>
                    <w:pPr>
                      <w:jc w:val="center"/>
                      <w:rPr>
                        <w:rFonts w:ascii="Arial" w:hAnsi="Arial" w:cs="Times New Roman"/>
                        <w:b/>
                        <w:bCs/>
                        <w:szCs w:val="21"/>
                      </w:rPr>
                    </w:pPr>
                    <w:r>
                      <w:rPr>
                        <w:rFonts w:hint="eastAsia"/>
                        <w:szCs w:val="21"/>
                      </w:rPr>
                      <w:t>债券名称</w:t>
                    </w:r>
                  </w:p>
                </w:tc>
              </w:sdtContent>
            </w:sdt>
            <w:sdt>
              <w:sdtPr>
                <w:tag w:val="_PLD_1dcb17ae86ad4c20be012ddca4ad6d77"/>
                <w:id w:val="6773758"/>
                <w:lock w:val="sdtLocked"/>
              </w:sdtPr>
              <w:sdtContent>
                <w:tc>
                  <w:tcPr>
                    <w:tcW w:w="990" w:type="dxa"/>
                    <w:vAlign w:val="center"/>
                  </w:tcPr>
                  <w:p>
                    <w:pPr>
                      <w:jc w:val="center"/>
                      <w:rPr>
                        <w:szCs w:val="21"/>
                      </w:rPr>
                    </w:pPr>
                    <w:r>
                      <w:rPr>
                        <w:rFonts w:hint="eastAsia"/>
                        <w:szCs w:val="21"/>
                      </w:rPr>
                      <w:t>简称</w:t>
                    </w:r>
                  </w:p>
                </w:tc>
              </w:sdtContent>
            </w:sdt>
            <w:sdt>
              <w:sdtPr>
                <w:tag w:val="_PLD_f2d6f87c550a4a268d732dc08513b01a"/>
                <w:id w:val="6773759"/>
                <w:lock w:val="sdtLocked"/>
              </w:sdtPr>
              <w:sdtContent>
                <w:tc>
                  <w:tcPr>
                    <w:tcW w:w="990" w:type="dxa"/>
                    <w:vAlign w:val="center"/>
                  </w:tcPr>
                  <w:p>
                    <w:pPr>
                      <w:jc w:val="center"/>
                      <w:rPr>
                        <w:szCs w:val="21"/>
                      </w:rPr>
                    </w:pPr>
                    <w:r>
                      <w:rPr>
                        <w:rFonts w:hint="eastAsia"/>
                        <w:szCs w:val="21"/>
                      </w:rPr>
                      <w:t>代码</w:t>
                    </w:r>
                  </w:p>
                </w:tc>
              </w:sdtContent>
            </w:sdt>
            <w:sdt>
              <w:sdtPr>
                <w:tag w:val="_PLD_7ea99ead8518488a86eb62c88fa51f8c"/>
                <w:id w:val="6773760"/>
                <w:lock w:val="sdtLocked"/>
              </w:sdtPr>
              <w:sdtContent>
                <w:tc>
                  <w:tcPr>
                    <w:tcW w:w="1056" w:type="dxa"/>
                    <w:vAlign w:val="center"/>
                  </w:tcPr>
                  <w:p>
                    <w:pPr>
                      <w:jc w:val="center"/>
                      <w:rPr>
                        <w:szCs w:val="21"/>
                      </w:rPr>
                    </w:pPr>
                    <w:r>
                      <w:rPr>
                        <w:rFonts w:hint="eastAsia"/>
                        <w:szCs w:val="21"/>
                      </w:rPr>
                      <w:t>发行日</w:t>
                    </w:r>
                  </w:p>
                </w:tc>
              </w:sdtContent>
            </w:sdt>
            <w:sdt>
              <w:sdtPr>
                <w:tag w:val="_PLD_038d38a1f4d14fe3ab15dadfbc5532ca"/>
                <w:id w:val="6773761"/>
                <w:lock w:val="sdtLocked"/>
              </w:sdtPr>
              <w:sdtContent>
                <w:tc>
                  <w:tcPr>
                    <w:tcW w:w="1056" w:type="dxa"/>
                    <w:vAlign w:val="center"/>
                  </w:tcPr>
                  <w:p>
                    <w:pPr>
                      <w:jc w:val="center"/>
                      <w:rPr>
                        <w:szCs w:val="21"/>
                      </w:rPr>
                    </w:pPr>
                    <w:r>
                      <w:rPr>
                        <w:rFonts w:hint="eastAsia"/>
                        <w:szCs w:val="21"/>
                      </w:rPr>
                      <w:t>到期日</w:t>
                    </w:r>
                  </w:p>
                </w:tc>
              </w:sdtContent>
            </w:sdt>
            <w:sdt>
              <w:sdtPr>
                <w:tag w:val="_PLD_a3420aa416944b6aba18cd22eb2133a1"/>
                <w:id w:val="6773762"/>
                <w:lock w:val="sdtLocked"/>
              </w:sdtPr>
              <w:sdtContent>
                <w:tc>
                  <w:tcPr>
                    <w:tcW w:w="1123" w:type="dxa"/>
                    <w:vAlign w:val="center"/>
                  </w:tcPr>
                  <w:p>
                    <w:pPr>
                      <w:jc w:val="center"/>
                      <w:rPr>
                        <w:szCs w:val="21"/>
                      </w:rPr>
                    </w:pPr>
                    <w:r>
                      <w:rPr>
                        <w:rFonts w:hint="eastAsia"/>
                        <w:szCs w:val="21"/>
                      </w:rPr>
                      <w:t>债券余额</w:t>
                    </w:r>
                  </w:p>
                </w:tc>
              </w:sdtContent>
            </w:sdt>
            <w:sdt>
              <w:sdtPr>
                <w:tag w:val="_PLD_b814d037de9e432c8910e370e2e5e0a2"/>
                <w:id w:val="6773763"/>
                <w:lock w:val="sdtLocked"/>
              </w:sdtPr>
              <w:sdtContent>
                <w:tc>
                  <w:tcPr>
                    <w:tcW w:w="861" w:type="dxa"/>
                    <w:vAlign w:val="center"/>
                  </w:tcPr>
                  <w:p>
                    <w:pPr>
                      <w:jc w:val="center"/>
                      <w:rPr>
                        <w:szCs w:val="21"/>
                      </w:rPr>
                    </w:pPr>
                    <w:r>
                      <w:rPr>
                        <w:rFonts w:hint="eastAsia"/>
                        <w:szCs w:val="21"/>
                      </w:rPr>
                      <w:t>利率（%）</w:t>
                    </w:r>
                  </w:p>
                </w:tc>
              </w:sdtContent>
            </w:sdt>
            <w:sdt>
              <w:sdtPr>
                <w:tag w:val="_PLD_fc5ea944ed4b489fb46c7ae5c7ce8920"/>
                <w:id w:val="6773764"/>
                <w:lock w:val="sdtLocked"/>
              </w:sdtPr>
              <w:sdtContent>
                <w:tc>
                  <w:tcPr>
                    <w:tcW w:w="992" w:type="dxa"/>
                    <w:vAlign w:val="center"/>
                  </w:tcPr>
                  <w:p>
                    <w:pPr>
                      <w:jc w:val="center"/>
                      <w:rPr>
                        <w:szCs w:val="21"/>
                      </w:rPr>
                    </w:pPr>
                    <w:r>
                      <w:rPr>
                        <w:rFonts w:hint="eastAsia"/>
                        <w:szCs w:val="21"/>
                      </w:rPr>
                      <w:t>还本付息方式</w:t>
                    </w:r>
                  </w:p>
                </w:tc>
              </w:sdtContent>
            </w:sdt>
            <w:sdt>
              <w:sdtPr>
                <w:tag w:val="_PLD_f447a3fb8cfe4ff1bd0c4f37163c34b6"/>
                <w:id w:val="6773765"/>
                <w:lock w:val="sdtLocked"/>
              </w:sdtPr>
              <w:sdtContent>
                <w:tc>
                  <w:tcPr>
                    <w:tcW w:w="992" w:type="dxa"/>
                    <w:vAlign w:val="center"/>
                  </w:tcPr>
                  <w:p>
                    <w:pPr>
                      <w:jc w:val="center"/>
                      <w:rPr>
                        <w:szCs w:val="21"/>
                      </w:rPr>
                    </w:pPr>
                    <w:r>
                      <w:rPr>
                        <w:rFonts w:hint="eastAsia"/>
                        <w:szCs w:val="21"/>
                      </w:rPr>
                      <w:t>交易场所</w:t>
                    </w:r>
                  </w:p>
                </w:tc>
              </w:sdtContent>
            </w:sdt>
          </w:tr>
          <w:sdt>
            <w:sdtPr>
              <w:rPr>
                <w:rFonts w:hint="eastAsia"/>
                <w:szCs w:val="21"/>
              </w:rPr>
              <w:alias w:val="公司债券基本情况明细"/>
              <w:tag w:val="_TUP_71aaa8b121aa43b4b2c914cc5b703c28"/>
              <w:id w:val="6773766"/>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tcPr>
                  <w:p>
                    <w:pPr>
                      <w:rPr>
                        <w:szCs w:val="21"/>
                      </w:rPr>
                    </w:pPr>
                    <w:r>
                      <w:t>2011年柳州钢铁股份有限公司公司债券</w:t>
                    </w:r>
                  </w:p>
                </w:tc>
                <w:tc>
                  <w:tcPr>
                    <w:tcW w:w="990" w:type="dxa"/>
                  </w:tcPr>
                  <w:p>
                    <w:pPr>
                      <w:rPr>
                        <w:szCs w:val="21"/>
                      </w:rPr>
                    </w:pPr>
                    <w:r>
                      <w:t>11柳钢债</w:t>
                    </w:r>
                  </w:p>
                </w:tc>
                <w:tc>
                  <w:tcPr>
                    <w:tcW w:w="990" w:type="dxa"/>
                  </w:tcPr>
                  <w:p>
                    <w:pPr>
                      <w:rPr>
                        <w:szCs w:val="21"/>
                      </w:rPr>
                    </w:pPr>
                    <w:r>
                      <w:t>122075</w:t>
                    </w:r>
                  </w:p>
                </w:tc>
                <w:tc>
                  <w:tcPr>
                    <w:tcW w:w="1056" w:type="dxa"/>
                  </w:tcPr>
                  <w:p>
                    <w:pPr>
                      <w:rPr>
                        <w:szCs w:val="21"/>
                      </w:rPr>
                    </w:pPr>
                    <w:r>
                      <w:t>2011.6.1</w:t>
                    </w:r>
                  </w:p>
                </w:tc>
                <w:tc>
                  <w:tcPr>
                    <w:tcW w:w="1056" w:type="dxa"/>
                  </w:tcPr>
                  <w:p>
                    <w:pPr>
                      <w:rPr>
                        <w:szCs w:val="21"/>
                      </w:rPr>
                    </w:pPr>
                    <w:r>
                      <w:t>2019.6.1</w:t>
                    </w:r>
                  </w:p>
                </w:tc>
                <w:tc>
                  <w:tcPr>
                    <w:tcW w:w="1123" w:type="dxa"/>
                  </w:tcPr>
                  <w:p>
                    <w:r>
                      <w:rPr>
                        <w:rFonts w:hint="eastAsia"/>
                        <w:color w:val="000000"/>
                      </w:rPr>
                      <w:t>42,554.2</w:t>
                    </w:r>
                  </w:p>
                  <w:p>
                    <w:pPr>
                      <w:rPr>
                        <w:szCs w:val="21"/>
                      </w:rPr>
                    </w:pPr>
                  </w:p>
                </w:tc>
                <w:tc>
                  <w:tcPr>
                    <w:tcW w:w="861" w:type="dxa"/>
                  </w:tcPr>
                  <w:p>
                    <w:pPr>
                      <w:rPr>
                        <w:szCs w:val="21"/>
                      </w:rPr>
                    </w:pPr>
                    <w:r>
                      <w:t>5.70%</w:t>
                    </w:r>
                  </w:p>
                </w:tc>
                <w:tc>
                  <w:tcPr>
                    <w:tcW w:w="992" w:type="dxa"/>
                  </w:tcPr>
                  <w:p>
                    <w:pPr>
                      <w:rPr>
                        <w:szCs w:val="21"/>
                      </w:rPr>
                    </w:pPr>
                    <w:r>
                      <w:t>到期一次还本；单利按年付息</w:t>
                    </w:r>
                  </w:p>
                </w:tc>
                <w:tc>
                  <w:tcPr>
                    <w:tcW w:w="992" w:type="dxa"/>
                  </w:tcPr>
                  <w:p>
                    <w:pPr>
                      <w:rPr>
                        <w:szCs w:val="21"/>
                      </w:rPr>
                    </w:pPr>
                    <w:r>
                      <w:t>上海证券交易所</w:t>
                    </w:r>
                  </w:p>
                </w:tc>
              </w:tr>
            </w:sdtContent>
          </w:sdt>
        </w:tbl>
        <w:p/>
        <w:p>
          <w:pPr>
            <w:rPr>
              <w:rFonts w:ascii="Arial" w:hAnsi="Arial" w:cs="Times New Roman"/>
              <w:bCs/>
              <w:kern w:val="2"/>
              <w:szCs w:val="21"/>
            </w:rPr>
          </w:pPr>
          <w:r>
            <w:rPr>
              <w:rFonts w:hint="eastAsia" w:ascii="Arial" w:hAnsi="Arial" w:cs="Times New Roman"/>
              <w:bCs/>
              <w:kern w:val="2"/>
              <w:szCs w:val="21"/>
            </w:rPr>
            <w:t>公司债券付息兑付情况</w:t>
          </w:r>
        </w:p>
        <w:sdt>
          <w:sdtPr>
            <w:rPr>
              <w:rFonts w:hint="eastAsia" w:ascii="Arial" w:hAnsi="Arial" w:cs="Times New Roman"/>
              <w:bCs/>
              <w:kern w:val="2"/>
              <w:szCs w:val="21"/>
            </w:rPr>
            <w:alias w:val="是否适用：公司债券付息兑付情况 [双击切换]"/>
            <w:tag w:val="_GBC_d0f1e7681f4445f3bfc6624a3e93b8a7"/>
            <w:id w:val="6773767"/>
            <w:lock w:val="sdtContentLocked"/>
            <w:placeholder>
              <w:docPart w:val="GBC22222222222222222222222222222"/>
            </w:placeholder>
          </w:sdtPr>
          <w:sdtEndPr>
            <w:rPr>
              <w:rFonts w:hint="eastAsia" w:ascii="Arial" w:hAnsi="Arial" w:cs="Times New Roman"/>
              <w:bCs/>
              <w:kern w:val="2"/>
              <w:szCs w:val="21"/>
            </w:rPr>
          </w:sdtEndPr>
          <w:sdtContent>
            <w:p>
              <w:pPr>
                <w:rPr>
                  <w:rFonts w:ascii="Arial" w:hAnsi="Arial" w:cs="Times New Roman"/>
                  <w:bCs/>
                  <w:kern w:val="2"/>
                  <w:szCs w:val="21"/>
                </w:rPr>
              </w:pPr>
              <w:r>
                <w:rPr>
                  <w:rFonts w:cs="Times New Roman"/>
                  <w:bCs/>
                  <w:kern w:val="2"/>
                  <w:szCs w:val="21"/>
                </w:rPr>
                <w:fldChar w:fldCharType="begin"/>
              </w:r>
              <w:r>
                <w:rPr>
                  <w:rFonts w:cs="Times New Roman"/>
                  <w:bCs/>
                  <w:kern w:val="2"/>
                  <w:szCs w:val="21"/>
                </w:rPr>
                <w:instrText xml:space="preserve">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ascii="Arial" w:hAnsi="Arial" w:cs="Times New Roman"/>
              <w:bCs/>
              <w:kern w:val="2"/>
              <w:szCs w:val="21"/>
            </w:rPr>
            <w:alias w:val="公司债券付息兑付情况"/>
            <w:tag w:val="_GBC_e50143432d734ee8b937db56fa076ef6"/>
            <w:id w:val="6773768"/>
            <w:lock w:val="sdtLocked"/>
            <w:placeholder>
              <w:docPart w:val="GBC22222222222222222222222222222"/>
            </w:placeholder>
          </w:sdtPr>
          <w:sdtEndPr>
            <w:rPr>
              <w:rFonts w:ascii="Arial" w:hAnsi="Arial" w:cs="Times New Roman"/>
              <w:bCs/>
              <w:kern w:val="2"/>
              <w:szCs w:val="21"/>
            </w:rPr>
          </w:sdtEndPr>
          <w:sdtContent>
            <w:p>
              <w:pPr>
                <w:rPr>
                  <w:rFonts w:ascii="Arial" w:hAnsi="Arial" w:cs="Times New Roman"/>
                  <w:bCs/>
                  <w:kern w:val="2"/>
                  <w:szCs w:val="21"/>
                </w:rPr>
              </w:pPr>
              <w:r>
                <w:rPr>
                  <w:rFonts w:ascii="Arial" w:hAnsi="Arial" w:cs="Times New Roman"/>
                  <w:bCs/>
                  <w:kern w:val="2"/>
                  <w:szCs w:val="21"/>
                </w:rPr>
                <w:t>201</w:t>
              </w:r>
              <w:r>
                <w:rPr>
                  <w:rFonts w:hint="eastAsia" w:ascii="Arial" w:hAnsi="Arial" w:cs="Times New Roman"/>
                  <w:bCs/>
                  <w:kern w:val="2"/>
                  <w:szCs w:val="21"/>
                </w:rPr>
                <w:t>7</w:t>
              </w:r>
              <w:r>
                <w:rPr>
                  <w:rFonts w:ascii="Arial" w:hAnsi="Arial" w:cs="Times New Roman"/>
                  <w:bCs/>
                  <w:kern w:val="2"/>
                  <w:szCs w:val="21"/>
                </w:rPr>
                <w:t>年</w:t>
              </w:r>
              <w:r>
                <w:rPr>
                  <w:rFonts w:hint="eastAsia" w:ascii="Arial" w:hAnsi="Arial" w:cs="Times New Roman"/>
                  <w:bCs/>
                  <w:kern w:val="2"/>
                  <w:szCs w:val="21"/>
                </w:rPr>
                <w:t>6</w:t>
              </w:r>
              <w:r>
                <w:rPr>
                  <w:rFonts w:ascii="Arial" w:hAnsi="Arial" w:cs="Times New Roman"/>
                  <w:bCs/>
                  <w:kern w:val="2"/>
                  <w:szCs w:val="21"/>
                </w:rPr>
                <w:t>月</w:t>
              </w:r>
              <w:r>
                <w:rPr>
                  <w:rFonts w:hint="eastAsia" w:ascii="Arial" w:hAnsi="Arial" w:cs="Times New Roman"/>
                  <w:bCs/>
                  <w:kern w:val="2"/>
                  <w:szCs w:val="21"/>
                </w:rPr>
                <w:t>1</w:t>
              </w:r>
              <w:r>
                <w:rPr>
                  <w:rFonts w:ascii="Arial" w:hAnsi="Arial" w:cs="Times New Roman"/>
                  <w:bCs/>
                  <w:kern w:val="2"/>
                  <w:szCs w:val="21"/>
                </w:rPr>
                <w:t>日，公司向全体</w:t>
              </w:r>
              <w:r>
                <w:rPr>
                  <w:rFonts w:hint="eastAsia" w:ascii="Arial" w:hAnsi="Arial" w:cs="Times New Roman"/>
                  <w:bCs/>
                  <w:kern w:val="2"/>
                  <w:szCs w:val="21"/>
                </w:rPr>
                <w:t>“</w:t>
              </w:r>
              <w:r>
                <w:rPr>
                  <w:rFonts w:ascii="Arial" w:hAnsi="Arial" w:cs="Times New Roman"/>
                  <w:bCs/>
                  <w:kern w:val="2"/>
                  <w:szCs w:val="21"/>
                </w:rPr>
                <w:t>11</w:t>
              </w:r>
              <w:r>
                <w:rPr>
                  <w:rFonts w:hint="eastAsia" w:ascii="Arial" w:hAnsi="Arial" w:cs="Times New Roman"/>
                  <w:bCs/>
                  <w:kern w:val="2"/>
                  <w:szCs w:val="21"/>
                </w:rPr>
                <w:t>柳钢</w:t>
              </w:r>
              <w:r>
                <w:rPr>
                  <w:rFonts w:ascii="Arial" w:hAnsi="Arial" w:cs="Times New Roman"/>
                  <w:bCs/>
                  <w:kern w:val="2"/>
                  <w:szCs w:val="21"/>
                </w:rPr>
                <w:t>债</w:t>
              </w:r>
              <w:r>
                <w:rPr>
                  <w:rFonts w:hint="eastAsia" w:ascii="Arial" w:hAnsi="Arial" w:cs="Times New Roman"/>
                  <w:bCs/>
                  <w:kern w:val="2"/>
                  <w:szCs w:val="21"/>
                </w:rPr>
                <w:t>”</w:t>
              </w:r>
              <w:r>
                <w:rPr>
                  <w:rFonts w:ascii="Arial" w:hAnsi="Arial" w:cs="Times New Roman"/>
                  <w:bCs/>
                  <w:kern w:val="2"/>
                  <w:szCs w:val="21"/>
                </w:rPr>
                <w:t>持有人支付自201</w:t>
              </w:r>
              <w:r>
                <w:rPr>
                  <w:rFonts w:hint="eastAsia" w:ascii="Arial" w:hAnsi="Arial" w:cs="Times New Roman"/>
                  <w:bCs/>
                  <w:kern w:val="2"/>
                  <w:szCs w:val="21"/>
                </w:rPr>
                <w:t>6</w:t>
              </w:r>
              <w:r>
                <w:rPr>
                  <w:rFonts w:ascii="Arial" w:hAnsi="Arial" w:cs="Times New Roman"/>
                  <w:bCs/>
                  <w:kern w:val="2"/>
                  <w:szCs w:val="21"/>
                </w:rPr>
                <w:t>年</w:t>
              </w:r>
              <w:r>
                <w:rPr>
                  <w:rFonts w:hint="eastAsia" w:ascii="Arial" w:hAnsi="Arial" w:cs="Times New Roman"/>
                  <w:bCs/>
                  <w:kern w:val="2"/>
                  <w:szCs w:val="21"/>
                </w:rPr>
                <w:t>6</w:t>
              </w:r>
              <w:r>
                <w:rPr>
                  <w:rFonts w:ascii="Arial" w:hAnsi="Arial" w:cs="Times New Roman"/>
                  <w:bCs/>
                  <w:kern w:val="2"/>
                  <w:szCs w:val="21"/>
                </w:rPr>
                <w:t>月</w:t>
              </w:r>
              <w:r>
                <w:rPr>
                  <w:rFonts w:hint="eastAsia" w:ascii="Arial" w:hAnsi="Arial" w:cs="Times New Roman"/>
                  <w:bCs/>
                  <w:kern w:val="2"/>
                  <w:szCs w:val="21"/>
                </w:rPr>
                <w:t>1</w:t>
              </w:r>
              <w:r>
                <w:rPr>
                  <w:rFonts w:ascii="Arial" w:hAnsi="Arial" w:cs="Times New Roman"/>
                  <w:bCs/>
                  <w:kern w:val="2"/>
                  <w:szCs w:val="21"/>
                </w:rPr>
                <w:t>日至201</w:t>
              </w:r>
              <w:r>
                <w:rPr>
                  <w:rFonts w:hint="eastAsia" w:ascii="Arial" w:hAnsi="Arial" w:cs="Times New Roman"/>
                  <w:bCs/>
                  <w:kern w:val="2"/>
                  <w:szCs w:val="21"/>
                </w:rPr>
                <w:t>7</w:t>
              </w:r>
              <w:r>
                <w:rPr>
                  <w:rFonts w:ascii="Arial" w:hAnsi="Arial" w:cs="Times New Roman"/>
                  <w:bCs/>
                  <w:kern w:val="2"/>
                  <w:szCs w:val="21"/>
                </w:rPr>
                <w:t>年5月</w:t>
              </w:r>
              <w:r>
                <w:rPr>
                  <w:rFonts w:hint="eastAsia" w:ascii="Arial" w:hAnsi="Arial" w:cs="Times New Roman"/>
                  <w:bCs/>
                  <w:kern w:val="2"/>
                  <w:szCs w:val="21"/>
                </w:rPr>
                <w:t>31</w:t>
              </w:r>
              <w:r>
                <w:rPr>
                  <w:rFonts w:ascii="Arial" w:hAnsi="Arial" w:cs="Times New Roman"/>
                  <w:bCs/>
                  <w:kern w:val="2"/>
                  <w:szCs w:val="21"/>
                </w:rPr>
                <w:t>日期间的利息。详见201</w:t>
              </w:r>
              <w:r>
                <w:rPr>
                  <w:rFonts w:hint="eastAsia" w:ascii="Arial" w:hAnsi="Arial" w:cs="Times New Roman"/>
                  <w:bCs/>
                  <w:kern w:val="2"/>
                  <w:szCs w:val="21"/>
                </w:rPr>
                <w:t>7</w:t>
              </w:r>
              <w:r>
                <w:rPr>
                  <w:rFonts w:ascii="Arial" w:hAnsi="Arial" w:cs="Times New Roman"/>
                  <w:bCs/>
                  <w:kern w:val="2"/>
                  <w:szCs w:val="21"/>
                </w:rPr>
                <w:t>年</w:t>
              </w:r>
              <w:r>
                <w:rPr>
                  <w:rFonts w:hint="eastAsia" w:ascii="Arial" w:hAnsi="Arial" w:cs="Times New Roman"/>
                  <w:bCs/>
                  <w:kern w:val="2"/>
                  <w:szCs w:val="21"/>
                </w:rPr>
                <w:t>5</w:t>
              </w:r>
              <w:r>
                <w:rPr>
                  <w:rFonts w:ascii="Arial" w:hAnsi="Arial" w:cs="Times New Roman"/>
                  <w:bCs/>
                  <w:kern w:val="2"/>
                  <w:szCs w:val="21"/>
                </w:rPr>
                <w:t>月2</w:t>
              </w:r>
              <w:r>
                <w:rPr>
                  <w:rFonts w:hint="eastAsia" w:ascii="Arial" w:hAnsi="Arial" w:cs="Times New Roman"/>
                  <w:bCs/>
                  <w:kern w:val="2"/>
                  <w:szCs w:val="21"/>
                </w:rPr>
                <w:t>2</w:t>
              </w:r>
              <w:r>
                <w:rPr>
                  <w:rFonts w:ascii="Arial" w:hAnsi="Arial" w:cs="Times New Roman"/>
                  <w:bCs/>
                  <w:kern w:val="2"/>
                  <w:szCs w:val="21"/>
                </w:rPr>
                <w:t>日刊登于上海证券交易所网站www.sse.com.c</w:t>
              </w:r>
              <w:r>
                <w:rPr>
                  <w:rFonts w:hint="eastAsia" w:ascii="Arial" w:hAnsi="Arial" w:cs="Times New Roman"/>
                  <w:bCs/>
                  <w:kern w:val="2"/>
                  <w:szCs w:val="21"/>
                </w:rPr>
                <w:t>n的《</w:t>
              </w:r>
              <w:r>
                <w:rPr>
                  <w:rFonts w:ascii="Arial" w:hAnsi="Arial" w:cs="Times New Roman"/>
                  <w:bCs/>
                  <w:kern w:val="2"/>
                  <w:szCs w:val="21"/>
                </w:rPr>
                <w:t>2011</w:t>
              </w:r>
              <w:r>
                <w:rPr>
                  <w:rFonts w:hint="eastAsia" w:ascii="Arial" w:hAnsi="Arial" w:cs="Times New Roman"/>
                  <w:bCs/>
                  <w:kern w:val="2"/>
                  <w:szCs w:val="21"/>
                </w:rPr>
                <w:t>年柳州钢铁股份有限公司债券2017年付息公告</w:t>
              </w:r>
              <w:r>
                <w:rPr>
                  <w:rFonts w:ascii="Arial" w:hAnsi="Arial" w:cs="Times New Roman"/>
                  <w:bCs/>
                  <w:kern w:val="2"/>
                  <w:szCs w:val="21"/>
                </w:rPr>
                <w:t>（</w:t>
              </w:r>
              <w:r>
                <w:rPr>
                  <w:rFonts w:hint="eastAsia" w:ascii="Arial" w:hAnsi="Arial" w:cs="Times New Roman"/>
                  <w:bCs/>
                  <w:kern w:val="2"/>
                  <w:szCs w:val="21"/>
                </w:rPr>
                <w:t>编号：</w:t>
              </w:r>
              <w:r>
                <w:rPr>
                  <w:rFonts w:ascii="Arial" w:hAnsi="Arial" w:cs="Times New Roman"/>
                  <w:bCs/>
                  <w:kern w:val="2"/>
                  <w:szCs w:val="21"/>
                </w:rPr>
                <w:t>201</w:t>
              </w:r>
              <w:r>
                <w:rPr>
                  <w:rFonts w:hint="eastAsia" w:ascii="Arial" w:hAnsi="Arial" w:cs="Times New Roman"/>
                  <w:bCs/>
                  <w:kern w:val="2"/>
                  <w:szCs w:val="21"/>
                </w:rPr>
                <w:t>7</w:t>
              </w:r>
              <w:r>
                <w:rPr>
                  <w:rFonts w:ascii="Arial" w:hAnsi="Arial" w:cs="Times New Roman"/>
                  <w:bCs/>
                  <w:kern w:val="2"/>
                  <w:szCs w:val="21"/>
                </w:rPr>
                <w:t>-0</w:t>
              </w:r>
              <w:r>
                <w:rPr>
                  <w:rFonts w:hint="eastAsia" w:ascii="Arial" w:hAnsi="Arial" w:cs="Times New Roman"/>
                  <w:bCs/>
                  <w:kern w:val="2"/>
                  <w:szCs w:val="21"/>
                </w:rPr>
                <w:t>16</w:t>
              </w:r>
              <w:r>
                <w:rPr>
                  <w:rFonts w:ascii="Arial" w:hAnsi="Arial" w:cs="Times New Roman"/>
                  <w:bCs/>
                  <w:kern w:val="2"/>
                  <w:szCs w:val="21"/>
                </w:rPr>
                <w:t>）》</w:t>
              </w:r>
              <w:r>
                <w:rPr>
                  <w:rFonts w:hint="eastAsia" w:ascii="Arial" w:hAnsi="Arial" w:cs="Times New Roman"/>
                  <w:bCs/>
                  <w:kern w:val="2"/>
                  <w:szCs w:val="21"/>
                </w:rPr>
                <w:t>。</w:t>
              </w:r>
            </w:p>
          </w:sdtContent>
        </w:sdt>
        <w:p>
          <w:pPr>
            <w:rPr>
              <w:rFonts w:ascii="Arial" w:hAnsi="Arial" w:cs="Times New Roman"/>
              <w:bCs/>
              <w:kern w:val="2"/>
              <w:szCs w:val="21"/>
            </w:rPr>
          </w:pPr>
        </w:p>
        <w:p>
          <w:pPr>
            <w:rPr>
              <w:rFonts w:ascii="Arial" w:hAnsi="Arial" w:cs="Times New Roman"/>
              <w:bCs/>
              <w:kern w:val="2"/>
              <w:szCs w:val="21"/>
            </w:rPr>
          </w:pPr>
          <w:r>
            <w:rPr>
              <w:rFonts w:hint="eastAsia" w:ascii="Arial" w:hAnsi="Arial" w:cs="Times New Roman"/>
              <w:bCs/>
              <w:kern w:val="2"/>
              <w:szCs w:val="21"/>
            </w:rPr>
            <w:t>公司债券其他情况的说明</w:t>
          </w:r>
        </w:p>
        <w:sdt>
          <w:sdtPr>
            <w:rPr>
              <w:rFonts w:ascii="Arial" w:hAnsi="Arial" w:cs="Times New Roman"/>
              <w:bCs/>
              <w:kern w:val="2"/>
              <w:szCs w:val="21"/>
            </w:rPr>
            <w:alias w:val="是否适用：公司债券其他情况的说明[双击切换]"/>
            <w:tag w:val="_GBC_b6f45172b949471e9e23e12ec6e648ba"/>
            <w:id w:val="6773769"/>
            <w:lock w:val="sdtContentLocked"/>
            <w:placeholder>
              <w:docPart w:val="GBC22222222222222222222222222222"/>
            </w:placeholder>
          </w:sdtPr>
          <w:sdtEndPr>
            <w:rPr>
              <w:rFonts w:ascii="Arial" w:hAnsi="Arial" w:cs="Times New Roman"/>
              <w:bCs/>
              <w:kern w:val="2"/>
              <w:szCs w:val="21"/>
            </w:rPr>
          </w:sdtEndPr>
          <w:sdtContent>
            <w:p>
              <w:pPr>
                <w:rPr>
                  <w:rFonts w:ascii="Arial" w:hAnsi="Arial" w:cs="Times New Roman"/>
                  <w:bCs/>
                  <w:kern w:val="2"/>
                  <w:szCs w:val="21"/>
                </w:rPr>
              </w:pPr>
              <w:r>
                <w:rPr>
                  <w:rFonts w:cs="Times New Roman"/>
                  <w:bCs/>
                  <w:kern w:val="2"/>
                  <w:szCs w:val="21"/>
                </w:rPr>
                <w:fldChar w:fldCharType="begin"/>
              </w:r>
              <w:r>
                <w:rPr>
                  <w:rFonts w:cs="Times New Roman"/>
                  <w:bCs/>
                  <w:kern w:val="2"/>
                  <w:szCs w:val="21"/>
                </w:rPr>
                <w:instrText xml:space="preserve">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pPr>
        <w:rPr>
          <w:szCs w:val="21"/>
        </w:rPr>
      </w:pPr>
    </w:p>
    <w:sdt>
      <w:sdtPr>
        <w:rPr>
          <w:rFonts w:hint="eastAsia" w:ascii="宋体" w:hAnsi="宋体" w:cs="宋体"/>
          <w:b w:val="0"/>
          <w:bCs w:val="0"/>
          <w:kern w:val="0"/>
          <w:szCs w:val="24"/>
        </w:rPr>
        <w:alias w:val="模块:公司债券受托管理联系人、联系方式及资信评级机构联系方式"/>
        <w:tag w:val="_SEC_2e0dc2cba0aa4373aa7e30179196adce"/>
        <w:id w:val="6773780"/>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53"/>
            </w:numPr>
          </w:pPr>
          <w:r>
            <w:rPr>
              <w:rFonts w:hint="eastAsia"/>
            </w:rPr>
            <w:t>公司债券受托管理联系人、联系方式及资信评级机构联系方式</w:t>
          </w:r>
        </w:p>
        <w:p>
          <w:pPr>
            <w:adjustRightInd w:val="0"/>
            <w:snapToGrid w:val="0"/>
            <w:ind w:left="420"/>
            <w:rPr>
              <w:rFonts w:ascii="Arial" w:hAnsi="Arial" w:cs="Times New Roman"/>
              <w:b/>
              <w:bCs/>
              <w:kern w:val="2"/>
              <w:szCs w:val="21"/>
            </w:rPr>
          </w:pPr>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2289"/>
            <w:gridCol w:w="4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a4ad681c7fa4cf1b5721469fbccf8f3"/>
                <w:id w:val="6773771"/>
                <w:lock w:val="sdtLocked"/>
              </w:sdtPr>
              <w:sdtContent>
                <w:tc>
                  <w:tcPr>
                    <w:tcW w:w="2203" w:type="dxa"/>
                    <w:vMerge w:val="restart"/>
                    <w:vAlign w:val="center"/>
                  </w:tcPr>
                  <w:p>
                    <w:pPr>
                      <w:jc w:val="center"/>
                      <w:rPr>
                        <w:szCs w:val="21"/>
                      </w:rPr>
                    </w:pPr>
                    <w:r>
                      <w:rPr>
                        <w:rFonts w:hint="eastAsia"/>
                        <w:szCs w:val="21"/>
                      </w:rPr>
                      <w:t>债券受托管理人</w:t>
                    </w:r>
                  </w:p>
                </w:tc>
              </w:sdtContent>
            </w:sdt>
            <w:sdt>
              <w:sdtPr>
                <w:tag w:val="_PLD_343f464cc82b433291c5b9d30f0b5ec3"/>
                <w:id w:val="6773772"/>
                <w:lock w:val="sdtLocked"/>
              </w:sdtPr>
              <w:sdtContent>
                <w:tc>
                  <w:tcPr>
                    <w:tcW w:w="2289" w:type="dxa"/>
                  </w:tcPr>
                  <w:p>
                    <w:pPr>
                      <w:rPr>
                        <w:szCs w:val="21"/>
                      </w:rPr>
                    </w:pPr>
                    <w:r>
                      <w:rPr>
                        <w:rFonts w:hint="eastAsia"/>
                        <w:szCs w:val="21"/>
                      </w:rPr>
                      <w:t>名称</w:t>
                    </w:r>
                  </w:p>
                </w:tc>
              </w:sdtContent>
            </w:sdt>
            <w:tc>
              <w:tcPr>
                <w:tcW w:w="4557" w:type="dxa"/>
              </w:tcPr>
              <w:p>
                <w:pPr>
                  <w:adjustRightInd w:val="0"/>
                  <w:snapToGrid w:val="0"/>
                  <w:rPr>
                    <w:szCs w:val="21"/>
                  </w:rPr>
                </w:pPr>
                <w:r>
                  <w:t>平安证券有限责任公司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03" w:type="dxa"/>
                <w:vMerge w:val="continue"/>
              </w:tcPr>
              <w:p>
                <w:pPr>
                  <w:jc w:val="center"/>
                  <w:rPr>
                    <w:szCs w:val="21"/>
                  </w:rPr>
                </w:pPr>
              </w:p>
            </w:tc>
            <w:sdt>
              <w:sdtPr>
                <w:tag w:val="_PLD_0782d9d0be0048a4a2f34362ddd5dbc0"/>
                <w:id w:val="6773773"/>
                <w:lock w:val="sdtLocked"/>
              </w:sdtPr>
              <w:sdtContent>
                <w:tc>
                  <w:tcPr>
                    <w:tcW w:w="2289" w:type="dxa"/>
                  </w:tcPr>
                  <w:p>
                    <w:pPr>
                      <w:rPr>
                        <w:szCs w:val="21"/>
                      </w:rPr>
                    </w:pPr>
                    <w:r>
                      <w:rPr>
                        <w:rFonts w:hint="eastAsia"/>
                        <w:szCs w:val="21"/>
                      </w:rPr>
                      <w:t>办公地址</w:t>
                    </w:r>
                  </w:p>
                </w:tc>
              </w:sdtContent>
            </w:sdt>
            <w:tc>
              <w:tcPr>
                <w:tcW w:w="4557" w:type="dxa"/>
              </w:tcPr>
              <w:p>
                <w:pPr>
                  <w:adjustRightInd w:val="0"/>
                  <w:snapToGrid w:val="0"/>
                  <w:rPr>
                    <w:szCs w:val="21"/>
                  </w:rPr>
                </w:pPr>
                <w:r>
                  <w:t>广东省深圳市福田中心区金田路4036号荣超大厦16-20层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Merge w:val="continue"/>
              </w:tcPr>
              <w:p>
                <w:pPr>
                  <w:jc w:val="center"/>
                  <w:rPr>
                    <w:szCs w:val="21"/>
                  </w:rPr>
                </w:pPr>
              </w:p>
            </w:tc>
            <w:sdt>
              <w:sdtPr>
                <w:tag w:val="_PLD_419302ee7e38445a9453d87c3587ac52"/>
                <w:id w:val="6773774"/>
                <w:lock w:val="sdtLocked"/>
              </w:sdtPr>
              <w:sdtContent>
                <w:tc>
                  <w:tcPr>
                    <w:tcW w:w="2289" w:type="dxa"/>
                  </w:tcPr>
                  <w:p>
                    <w:pPr>
                      <w:rPr>
                        <w:szCs w:val="21"/>
                      </w:rPr>
                    </w:pPr>
                    <w:r>
                      <w:rPr>
                        <w:rFonts w:hint="eastAsia"/>
                        <w:szCs w:val="21"/>
                      </w:rPr>
                      <w:t>联系人</w:t>
                    </w:r>
                  </w:p>
                </w:tc>
              </w:sdtContent>
            </w:sdt>
            <w:tc>
              <w:tcPr>
                <w:tcW w:w="4557" w:type="dxa"/>
              </w:tcPr>
              <w:p>
                <w:pPr>
                  <w:adjustRightInd w:val="0"/>
                  <w:snapToGrid w:val="0"/>
                  <w:rPr>
                    <w:szCs w:val="21"/>
                  </w:rPr>
                </w:pPr>
                <w:r>
                  <w:t>瞿珊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03" w:type="dxa"/>
                <w:vMerge w:val="continue"/>
              </w:tcPr>
              <w:p>
                <w:pPr>
                  <w:jc w:val="center"/>
                  <w:rPr>
                    <w:szCs w:val="21"/>
                  </w:rPr>
                </w:pPr>
              </w:p>
            </w:tc>
            <w:sdt>
              <w:sdtPr>
                <w:tag w:val="_PLD_6bd468ecc2e8496a80efb072213dcdfd"/>
                <w:id w:val="6773775"/>
                <w:lock w:val="sdtLocked"/>
              </w:sdtPr>
              <w:sdtContent>
                <w:tc>
                  <w:tcPr>
                    <w:tcW w:w="2289" w:type="dxa"/>
                  </w:tcPr>
                  <w:p>
                    <w:pPr>
                      <w:rPr>
                        <w:szCs w:val="21"/>
                      </w:rPr>
                    </w:pPr>
                    <w:r>
                      <w:rPr>
                        <w:rFonts w:hint="eastAsia"/>
                        <w:szCs w:val="21"/>
                      </w:rPr>
                      <w:t>联系电话</w:t>
                    </w:r>
                  </w:p>
                </w:tc>
              </w:sdtContent>
            </w:sdt>
            <w:tc>
              <w:tcPr>
                <w:tcW w:w="4557" w:type="dxa"/>
              </w:tcPr>
              <w:p>
                <w:pPr>
                  <w:adjustRightInd w:val="0"/>
                  <w:snapToGrid w:val="0"/>
                  <w:rPr>
                    <w:szCs w:val="21"/>
                  </w:rPr>
                </w:pPr>
                <w:r>
                  <w:t>010-66299517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d582241434845a79430740ae5d02bd4"/>
                <w:id w:val="6773776"/>
                <w:lock w:val="sdtLocked"/>
              </w:sdtPr>
              <w:sdtContent>
                <w:tc>
                  <w:tcPr>
                    <w:tcW w:w="2203" w:type="dxa"/>
                    <w:vMerge w:val="restart"/>
                    <w:vAlign w:val="center"/>
                  </w:tcPr>
                  <w:p>
                    <w:pPr>
                      <w:jc w:val="center"/>
                      <w:rPr>
                        <w:szCs w:val="21"/>
                      </w:rPr>
                    </w:pPr>
                    <w:r>
                      <w:rPr>
                        <w:rFonts w:hint="eastAsia"/>
                        <w:szCs w:val="21"/>
                      </w:rPr>
                      <w:t>资信评级机构</w:t>
                    </w:r>
                  </w:p>
                </w:tc>
              </w:sdtContent>
            </w:sdt>
            <w:sdt>
              <w:sdtPr>
                <w:tag w:val="_PLD_735d87105ccb491c82a2b502345d4282"/>
                <w:id w:val="6773777"/>
                <w:lock w:val="sdtLocked"/>
              </w:sdtPr>
              <w:sdtContent>
                <w:tc>
                  <w:tcPr>
                    <w:tcW w:w="2289" w:type="dxa"/>
                  </w:tcPr>
                  <w:p>
                    <w:pPr>
                      <w:rPr>
                        <w:szCs w:val="21"/>
                      </w:rPr>
                    </w:pPr>
                    <w:r>
                      <w:rPr>
                        <w:rFonts w:hint="eastAsia"/>
                        <w:szCs w:val="21"/>
                      </w:rPr>
                      <w:t>名称</w:t>
                    </w:r>
                  </w:p>
                </w:tc>
              </w:sdtContent>
            </w:sdt>
            <w:tc>
              <w:tcPr>
                <w:tcW w:w="4557" w:type="dxa"/>
              </w:tcPr>
              <w:p>
                <w:pPr>
                  <w:adjustRightInd w:val="0"/>
                  <w:snapToGrid w:val="0"/>
                  <w:rPr>
                    <w:szCs w:val="21"/>
                  </w:rPr>
                </w:pPr>
                <w:r>
                  <w:t>联合信用评级有限公司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03" w:type="dxa"/>
                <w:vMerge w:val="continue"/>
              </w:tcPr>
              <w:p>
                <w:pPr>
                  <w:jc w:val="center"/>
                  <w:rPr>
                    <w:szCs w:val="21"/>
                  </w:rPr>
                </w:pPr>
              </w:p>
            </w:tc>
            <w:sdt>
              <w:sdtPr>
                <w:tag w:val="_PLD_03f72587734e4d61b01a5806dcb31eef"/>
                <w:id w:val="6773778"/>
                <w:lock w:val="sdtLocked"/>
              </w:sdtPr>
              <w:sdtContent>
                <w:tc>
                  <w:tcPr>
                    <w:tcW w:w="2289" w:type="dxa"/>
                  </w:tcPr>
                  <w:p>
                    <w:pPr>
                      <w:rPr>
                        <w:szCs w:val="21"/>
                      </w:rPr>
                    </w:pPr>
                    <w:r>
                      <w:rPr>
                        <w:rFonts w:hint="eastAsia"/>
                        <w:szCs w:val="21"/>
                      </w:rPr>
                      <w:t>办公地址</w:t>
                    </w:r>
                  </w:p>
                </w:tc>
              </w:sdtContent>
            </w:sdt>
            <w:tc>
              <w:tcPr>
                <w:tcW w:w="4557" w:type="dxa"/>
              </w:tcPr>
              <w:p>
                <w:pPr>
                  <w:adjustRightInd w:val="0"/>
                  <w:snapToGrid w:val="0"/>
                  <w:rPr>
                    <w:szCs w:val="21"/>
                  </w:rPr>
                </w:pPr>
                <w:r>
                  <w:t>中国北京朝阳区建国门外大街2号PICC大厦12层（100022）</w:t>
                </w:r>
              </w:p>
            </w:tc>
          </w:tr>
        </w:tbl>
        <w:p/>
        <w:p>
          <w:pPr>
            <w:adjustRightInd w:val="0"/>
            <w:snapToGrid w:val="0"/>
            <w:rPr>
              <w:rFonts w:hAnsi="Arial" w:cs="Times New Roman"/>
              <w:bCs/>
              <w:kern w:val="2"/>
              <w:szCs w:val="21"/>
            </w:rPr>
          </w:pPr>
          <w:r>
            <w:rPr>
              <w:rFonts w:hint="eastAsia" w:ascii="Arial" w:hAnsi="Arial" w:cs="Times New Roman"/>
              <w:bCs/>
              <w:kern w:val="2"/>
              <w:szCs w:val="21"/>
            </w:rPr>
            <w:t>其他</w:t>
          </w:r>
          <w:r>
            <w:rPr>
              <w:rFonts w:hint="eastAsia" w:hAnsi="Arial" w:cs="Times New Roman"/>
              <w:bCs/>
              <w:kern w:val="2"/>
              <w:szCs w:val="21"/>
            </w:rPr>
            <w:t>说明：</w:t>
          </w:r>
        </w:p>
        <w:sdt>
          <w:sdtPr>
            <w:rPr>
              <w:rFonts w:hint="eastAsia" w:hAnsi="Arial" w:cs="Times New Roman"/>
              <w:bCs/>
              <w:kern w:val="2"/>
              <w:szCs w:val="21"/>
            </w:rPr>
            <w:alias w:val="是否适用：公司债券受托管理联系人、联系方式及资信评级机构联系方式其他说明[双击切换]"/>
            <w:tag w:val="_GBC_75f8007d0d334a7cb4554980fb87e703"/>
            <w:id w:val="6773779"/>
            <w:lock w:val="sdtContentLocked"/>
            <w:placeholder>
              <w:docPart w:val="GBC22222222222222222222222222222"/>
            </w:placeholder>
          </w:sdtPr>
          <w:sdtEndPr>
            <w:rPr>
              <w:rFonts w:hint="eastAsia" w:hAnsi="Arial" w:cs="Times New Roman"/>
              <w:bCs/>
              <w:kern w:val="2"/>
              <w:szCs w:val="21"/>
            </w:rPr>
          </w:sdtEndPr>
          <w:sdtContent>
            <w:p>
              <w:pPr>
                <w:adjustRightInd w:val="0"/>
                <w:snapToGrid w:val="0"/>
                <w:rPr>
                  <w:rFonts w:hAnsi="Arial" w:cs="Times New Roman"/>
                  <w:bCs/>
                  <w:kern w:val="2"/>
                  <w:szCs w:val="21"/>
                </w:rPr>
              </w:pPr>
              <w:r>
                <w:rPr>
                  <w:rFonts w:cs="Times New Roman"/>
                  <w:bCs/>
                  <w:kern w:val="2"/>
                  <w:szCs w:val="21"/>
                </w:rPr>
                <w:fldChar w:fldCharType="begin"/>
              </w:r>
              <w:r>
                <w:rPr>
                  <w:rFonts w:cs="Times New Roman"/>
                  <w:bCs/>
                  <w:kern w:val="2"/>
                  <w:szCs w:val="21"/>
                </w:rPr>
                <w:instrText xml:space="preserve">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sdt>
      <w:sdtPr>
        <w:rPr>
          <w:rFonts w:hint="eastAsia" w:ascii="宋体" w:hAnsi="宋体" w:cs="宋体"/>
          <w:b w:val="0"/>
          <w:bCs w:val="0"/>
          <w:kern w:val="0"/>
          <w:szCs w:val="24"/>
        </w:rPr>
        <w:alias w:val="模块:公司债券募集资金使用情况"/>
        <w:tag w:val="_SEC_2deeb487ca6b4bb189d5c7943eb2c93d"/>
        <w:id w:val="6773783"/>
        <w:lock w:val="sdtLocked"/>
        <w:placeholder>
          <w:docPart w:val="GBC22222222222222222222222222222"/>
        </w:placeholder>
      </w:sdtPr>
      <w:sdtEndPr>
        <w:rPr>
          <w:rFonts w:hint="eastAsia" w:ascii="宋体" w:hAnsi="宋体" w:cs="宋体"/>
          <w:b w:val="0"/>
          <w:bCs w:val="0"/>
          <w:kern w:val="0"/>
          <w:szCs w:val="24"/>
          <w:u w:val="single"/>
        </w:rPr>
      </w:sdtEndPr>
      <w:sdtContent>
        <w:p>
          <w:pPr>
            <w:pStyle w:val="3"/>
            <w:numPr>
              <w:ilvl w:val="0"/>
              <w:numId w:val="53"/>
            </w:numPr>
            <w:ind w:left="0" w:firstLine="0"/>
            <w:rPr>
              <w:bCs w:val="0"/>
            </w:rPr>
          </w:pPr>
          <w:r>
            <w:rPr>
              <w:rFonts w:hint="eastAsia"/>
              <w:bCs w:val="0"/>
            </w:rPr>
            <w:t>公司债券</w:t>
          </w:r>
          <w:r>
            <w:rPr>
              <w:rFonts w:hint="eastAsia"/>
            </w:rPr>
            <w:t>募集</w:t>
          </w:r>
          <w:r>
            <w:rPr>
              <w:rFonts w:hint="eastAsia"/>
              <w:bCs w:val="0"/>
            </w:rPr>
            <w:t>资金使用情况</w:t>
          </w:r>
        </w:p>
        <w:sdt>
          <w:sdtPr>
            <w:rPr>
              <w:rFonts w:hint="eastAsia" w:ascii="Arial" w:hAnsi="Arial" w:cs="Times New Roman"/>
              <w:bCs/>
              <w:kern w:val="2"/>
              <w:szCs w:val="21"/>
            </w:rPr>
            <w:alias w:val="是否适用：公司债券募集资金使用情况[双击切换]"/>
            <w:tag w:val="_GBC_50f66e3fcc6546b083efa05d5570c5fd"/>
            <w:id w:val="6773781"/>
            <w:lock w:val="sdtContentLocked"/>
            <w:placeholder>
              <w:docPart w:val="GBC22222222222222222222222222222"/>
            </w:placeholder>
          </w:sdtPr>
          <w:sdtEndPr>
            <w:rPr>
              <w:rFonts w:hint="eastAsia" w:ascii="Arial" w:hAnsi="Arial" w:cs="Times New Roman"/>
              <w:bCs/>
              <w:kern w:val="2"/>
              <w:szCs w:val="21"/>
            </w:rPr>
          </w:sdtEndPr>
          <w:sdtContent>
            <w:p>
              <w:pPr>
                <w:rPr>
                  <w:rFonts w:ascii="Arial" w:hAnsi="Arial" w:cs="Times New Roman"/>
                  <w:bCs/>
                  <w:kern w:val="2"/>
                  <w:szCs w:val="21"/>
                </w:rPr>
              </w:pPr>
              <w:r>
                <w:rPr>
                  <w:rFonts w:cs="Times New Roman"/>
                  <w:bCs/>
                  <w:kern w:val="2"/>
                  <w:szCs w:val="21"/>
                </w:rPr>
                <w:fldChar w:fldCharType="begin"/>
              </w:r>
              <w:r>
                <w:rPr>
                  <w:rFonts w:cs="Times New Roman"/>
                  <w:bCs/>
                  <w:kern w:val="2"/>
                  <w:szCs w:val="21"/>
                </w:rPr>
                <w:instrText xml:space="preserve">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int="eastAsia" w:ascii="Arial" w:hAnsi="Arial" w:cs="Times New Roman"/>
              <w:bCs/>
              <w:kern w:val="2"/>
              <w:szCs w:val="21"/>
            </w:rPr>
            <w:alias w:val="公司债券募集资金使用情况"/>
            <w:tag w:val="_GBC_1524ac092e5845f4b5dbe3a8a608b1ed"/>
            <w:id w:val="6773782"/>
            <w:lock w:val="sdtLocked"/>
            <w:placeholder>
              <w:docPart w:val="GBC22222222222222222222222222222"/>
            </w:placeholder>
          </w:sdtPr>
          <w:sdtEndPr>
            <w:rPr>
              <w:rFonts w:hint="eastAsia" w:ascii="Arial" w:hAnsi="Arial" w:cs="Times New Roman"/>
              <w:bCs/>
              <w:kern w:val="2"/>
              <w:szCs w:val="21"/>
            </w:rPr>
          </w:sdtEndPr>
          <w:sdtContent>
            <w:p>
              <w:pPr>
                <w:rPr>
                  <w:rFonts w:ascii="Arial" w:hAnsi="Arial" w:cs="Times New Roman"/>
                  <w:bCs/>
                  <w:kern w:val="2"/>
                  <w:szCs w:val="21"/>
                </w:rPr>
              </w:pPr>
              <w:r>
                <w:rPr>
                  <w:rFonts w:hint="eastAsia" w:cs="Times New Roman"/>
                  <w:kern w:val="2"/>
                </w:rPr>
                <w:t>本次债券发行主要为了调整负债结构，</w:t>
              </w:r>
              <w:r>
                <w:rPr>
                  <w:rFonts w:hint="eastAsia"/>
                </w:rPr>
                <w:t>债券募集资金到账后，已按计划全部用于偿还银行借款。</w:t>
              </w:r>
            </w:p>
          </w:sdtContent>
        </w:sdt>
        <w:p>
          <w:pPr>
            <w:rPr>
              <w:rFonts w:ascii="Arial" w:hAnsi="Arial" w:cs="Times New Roman"/>
              <w:b/>
              <w:bCs/>
              <w:kern w:val="2"/>
              <w:szCs w:val="21"/>
            </w:rPr>
          </w:pPr>
        </w:p>
      </w:sdtContent>
    </w:sdt>
    <w:sdt>
      <w:sdtPr>
        <w:rPr>
          <w:rFonts w:hint="eastAsia" w:ascii="宋体" w:hAnsi="宋体" w:cs="宋体"/>
          <w:b w:val="0"/>
          <w:bCs w:val="0"/>
          <w:kern w:val="0"/>
          <w:szCs w:val="24"/>
        </w:rPr>
        <w:alias w:val="模块:公司债券评级情况"/>
        <w:tag w:val="_SEC_36ec0e1816ea4e3a96ad262ae7b0383d"/>
        <w:id w:val="6773786"/>
        <w:lock w:val="sdtLocked"/>
        <w:placeholder>
          <w:docPart w:val="GBC22222222222222222222222222222"/>
        </w:placeholder>
      </w:sdtPr>
      <w:sdtEndPr>
        <w:rPr>
          <w:rFonts w:hint="eastAsia" w:ascii="宋体" w:hAnsi="宋体" w:cs="宋体"/>
          <w:b w:val="0"/>
          <w:bCs/>
          <w:kern w:val="0"/>
          <w:szCs w:val="24"/>
        </w:rPr>
      </w:sdtEndPr>
      <w:sdtContent>
        <w:p>
          <w:pPr>
            <w:pStyle w:val="3"/>
            <w:numPr>
              <w:ilvl w:val="0"/>
              <w:numId w:val="53"/>
            </w:numPr>
            <w:ind w:left="0" w:firstLine="0"/>
            <w:rPr>
              <w:bCs w:val="0"/>
            </w:rPr>
          </w:pPr>
          <w:r>
            <w:rPr>
              <w:rFonts w:hint="eastAsia"/>
              <w:bCs w:val="0"/>
            </w:rPr>
            <w:t>公司债券</w:t>
          </w:r>
          <w:r>
            <w:rPr>
              <w:rFonts w:hint="eastAsia"/>
            </w:rPr>
            <w:t>评级</w:t>
          </w:r>
          <w:r>
            <w:rPr>
              <w:rFonts w:hint="eastAsia"/>
              <w:bCs w:val="0"/>
            </w:rPr>
            <w:t>情况</w:t>
          </w:r>
        </w:p>
        <w:sdt>
          <w:sdtPr>
            <w:rPr>
              <w:rFonts w:hint="eastAsia" w:hAnsi="Arial" w:cs="Times New Roman"/>
              <w:bCs/>
              <w:kern w:val="2"/>
              <w:szCs w:val="21"/>
            </w:rPr>
            <w:alias w:val="是否适用：公司债券评级情况[双击切换]"/>
            <w:tag w:val="_GBC_88e5f29045e64f77b03ce1fd145e17c3"/>
            <w:id w:val="6773784"/>
            <w:lock w:val="sdtContentLocked"/>
            <w:placeholder>
              <w:docPart w:val="GBC22222222222222222222222222222"/>
            </w:placeholder>
          </w:sdtPr>
          <w:sdtEndPr>
            <w:rPr>
              <w:rFonts w:hint="eastAsia" w:hAnsi="Arial" w:cs="Times New Roman"/>
              <w:bCs/>
              <w:kern w:val="2"/>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hAnsi="Arial" w:cs="Times New Roman"/>
              <w:bCs/>
              <w:kern w:val="2"/>
              <w:szCs w:val="21"/>
            </w:rPr>
            <w:alias w:val="公司债券资信评级机构情况"/>
            <w:tag w:val="_GBC_7b972e5ae43447bd9b10a72413b4e4ac"/>
            <w:id w:val="6773785"/>
            <w:lock w:val="sdtLocked"/>
            <w:placeholder>
              <w:docPart w:val="GBC22222222222222222222222222222"/>
            </w:placeholder>
          </w:sdtPr>
          <w:sdtEndPr>
            <w:rPr>
              <w:rFonts w:hint="eastAsia" w:hAnsi="Arial" w:cs="Times New Roman"/>
              <w:bCs/>
              <w:kern w:val="2"/>
              <w:szCs w:val="21"/>
            </w:rPr>
          </w:sdtEndPr>
          <w:sdtContent>
            <w:p>
              <w:pPr>
                <w:ind w:firstLine="420" w:firstLineChars="200"/>
                <w:rPr>
                  <w:color w:val="000000"/>
                </w:rPr>
              </w:pPr>
              <w:r>
                <w:rPr>
                  <w:rFonts w:hint="eastAsia"/>
                  <w:color w:val="000000"/>
                </w:rPr>
                <w:t>根据中国证券监督管理委员会《公司债券发行试点办法》、《上市公司证券发行管理办法》和《上海证券交易所公司债券上市规则》的有关规定， 柳州钢铁股份有限公司 (以下简称 “公司”) 委托联合信用评级有限公司（以下简称“联合信用评级”） 对公司主体信用等级及发行的公司债券（债券代码： 122075，证券简称： 11柳钢债）进行了信用跟踪评级。</w:t>
              </w:r>
            </w:p>
            <w:p>
              <w:pPr>
                <w:rPr>
                  <w:color w:val="000000"/>
                </w:rPr>
              </w:pPr>
              <w:r>
                <w:rPr>
                  <w:rFonts w:hint="eastAsia"/>
                  <w:color w:val="000000"/>
                </w:rPr>
                <w:t>公司前次主体长期信用等级为“ AA”，评级展望为“负面”，11柳钢债债项信用等级为“ AA”，评级机构为联合信用评级。2017年6月26日，在对本公司经营状况及相关行业进行综合分析与评估的基础上， 联合信用评级公司出具了《柳州钢铁股份有限公司公司债券2017年跟踪评级报告》：公司主体长期信用等级为“ AA”，评级展望调整为“稳定”，维持11柳钢债债项信用等级为“ AA”。</w:t>
              </w:r>
            </w:p>
            <w:p>
              <w:pPr>
                <w:rPr>
                  <w:rFonts w:hAnsi="Arial" w:cs="Times New Roman"/>
                  <w:bCs/>
                  <w:kern w:val="2"/>
                  <w:szCs w:val="21"/>
                </w:rPr>
              </w:pPr>
              <w:r>
                <w:rPr>
                  <w:rFonts w:hint="eastAsia" w:cs="Times New Roman"/>
                  <w:color w:val="000000"/>
                  <w:kern w:val="2"/>
                </w:rPr>
                <w:t>根据上海证券交易所对于跟踪评级报告披露时间的要求，定期跟踪评级报告每年出具一次，年度报告公布后完成该年度的定期跟踪评级，并发布定期跟踪评级结果及报告，相关信息将通过上海证券交易所网站（</w:t>
              </w:r>
              <w:r>
                <w:rPr>
                  <w:rFonts w:hint="eastAsia" w:hAnsi="Arial" w:cs="Times New Roman"/>
                  <w:color w:val="000000"/>
                  <w:kern w:val="2"/>
                </w:rPr>
                <w:t>http://www.sse.com.cn），提请投资者关注。</w:t>
              </w:r>
            </w:p>
          </w:sdtContent>
        </w:sdt>
      </w:sdtContent>
    </w:sdt>
    <w:p>
      <w:pPr>
        <w:spacing w:line="360" w:lineRule="auto"/>
        <w:rPr>
          <w:szCs w:val="21"/>
        </w:rPr>
      </w:pPr>
    </w:p>
    <w:sdt>
      <w:sdtPr>
        <w:rPr>
          <w:rFonts w:hint="eastAsia" w:ascii="宋体" w:hAnsi="宋体" w:cs="宋体"/>
          <w:b w:val="0"/>
          <w:bCs w:val="0"/>
          <w:kern w:val="0"/>
          <w:szCs w:val="24"/>
        </w:rPr>
        <w:alias w:val="模块:报告期内公司债券增信机制、偿债计划及其他相关情况"/>
        <w:tag w:val="_SEC_c296d45e1d0843b4a8db4da9600766a4"/>
        <w:id w:val="6773789"/>
        <w:lock w:val="sdtLocked"/>
        <w:placeholder>
          <w:docPart w:val="GBC22222222222222222222222222222"/>
        </w:placeholder>
      </w:sdtPr>
      <w:sdtEndPr>
        <w:rPr>
          <w:rFonts w:hint="eastAsia" w:ascii="宋体" w:hAnsi="宋体" w:cs="宋体"/>
          <w:b w:val="0"/>
          <w:bCs/>
          <w:kern w:val="0"/>
          <w:szCs w:val="24"/>
        </w:rPr>
      </w:sdtEndPr>
      <w:sdtContent>
        <w:p>
          <w:pPr>
            <w:pStyle w:val="3"/>
            <w:numPr>
              <w:ilvl w:val="0"/>
              <w:numId w:val="53"/>
            </w:numPr>
            <w:rPr>
              <w:b w:val="0"/>
              <w:bCs w:val="0"/>
            </w:rPr>
          </w:pPr>
          <w:r>
            <w:rPr>
              <w:rFonts w:hint="eastAsia"/>
              <w:bCs w:val="0"/>
            </w:rPr>
            <w:t>报告期内</w:t>
          </w:r>
          <w:r>
            <w:rPr>
              <w:rFonts w:hint="eastAsia"/>
            </w:rPr>
            <w:t>公司债券</w:t>
          </w:r>
          <w:r>
            <w:rPr>
              <w:rFonts w:hint="eastAsia"/>
              <w:bCs w:val="0"/>
            </w:rPr>
            <w:t>增信机制、偿债计划及其他相关情况</w:t>
          </w:r>
        </w:p>
        <w:sdt>
          <w:sdtPr>
            <w:rPr>
              <w:rFonts w:hint="eastAsia" w:hAnsi="Arial" w:cs="Times New Roman"/>
              <w:bCs/>
              <w:kern w:val="2"/>
              <w:szCs w:val="21"/>
            </w:rPr>
            <w:alias w:val="是否适用：报告期内公司债券增信机制、偿债计划及其他相关情况[双击切换]"/>
            <w:tag w:val="_GBC_2eaf8ae452ed43f998266b420664bca2"/>
            <w:id w:val="6773787"/>
            <w:lock w:val="sdtContentLocked"/>
            <w:placeholder>
              <w:docPart w:val="GBC22222222222222222222222222222"/>
            </w:placeholder>
          </w:sdtPr>
          <w:sdtEndPr>
            <w:rPr>
              <w:rFonts w:hint="eastAsia" w:hAnsi="Arial" w:cs="Times New Roman"/>
              <w:bCs/>
              <w:kern w:val="2"/>
              <w:szCs w:val="21"/>
            </w:rPr>
          </w:sdtEndPr>
          <w:sdtContent>
            <w:p>
              <w:pPr>
                <w:rPr>
                  <w:rFonts w:hAnsi="Arial" w:cs="Times New Roman"/>
                  <w:bCs/>
                  <w:kern w:val="2"/>
                  <w:szCs w:val="21"/>
                </w:rPr>
              </w:pPr>
              <w:r>
                <w:rPr>
                  <w:rFonts w:cs="Times New Roman"/>
                  <w:bCs/>
                  <w:kern w:val="2"/>
                  <w:szCs w:val="21"/>
                </w:rPr>
                <w:fldChar w:fldCharType="begin"/>
              </w:r>
              <w:r>
                <w:rPr>
                  <w:rFonts w:cs="Times New Roman"/>
                  <w:bCs/>
                  <w:kern w:val="2"/>
                  <w:szCs w:val="21"/>
                </w:rPr>
                <w:instrText xml:space="preserve">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int="eastAsia" w:hAnsi="Arial" w:cs="Times New Roman"/>
              <w:bCs/>
              <w:kern w:val="2"/>
              <w:szCs w:val="21"/>
            </w:rPr>
            <w:alias w:val="报告期内公司债券增信机制、偿债计划及其他相关情况"/>
            <w:tag w:val="_GBC_3e5ac9cb6d7d4875a99709dd0e5fcb77"/>
            <w:id w:val="6773788"/>
            <w:lock w:val="sdtLocked"/>
            <w:placeholder>
              <w:docPart w:val="GBC22222222222222222222222222222"/>
            </w:placeholder>
          </w:sdtPr>
          <w:sdtEndPr>
            <w:rPr>
              <w:rFonts w:hint="eastAsia" w:hAnsi="Arial" w:cs="Times New Roman"/>
              <w:bCs/>
              <w:kern w:val="2"/>
              <w:szCs w:val="21"/>
            </w:rPr>
          </w:sdtEndPr>
          <w:sdtContent>
            <w:p>
              <w:pPr>
                <w:rPr>
                  <w:rFonts w:hAnsi="Arial" w:cs="Times New Roman"/>
                  <w:bCs/>
                  <w:kern w:val="2"/>
                  <w:szCs w:val="21"/>
                </w:rPr>
              </w:pPr>
              <w:r>
                <w:rPr>
                  <w:rFonts w:hint="eastAsia" w:cs="Times New Roman"/>
                  <w:color w:val="000000"/>
                  <w:kern w:val="2"/>
                </w:rPr>
                <w:t>公司按时履行债券年度付息及到期还本付息义务。公司偿债能力良好。公司偿债资金主要来源于公司日常的盈利积累及经营活动所产生的现金流。公司的收入规模和盈利积累，较大程度上保证了公司按期偿本付息的能力。</w:t>
              </w:r>
            </w:p>
          </w:sdtContent>
        </w:sdt>
      </w:sdtContent>
    </w:sdt>
    <w:p>
      <w:pPr>
        <w:rPr>
          <w:szCs w:val="21"/>
        </w:rPr>
      </w:pPr>
    </w:p>
    <w:sdt>
      <w:sdtPr>
        <w:rPr>
          <w:rFonts w:hint="eastAsia" w:ascii="宋体" w:hAnsi="宋体" w:cs="宋体"/>
          <w:b w:val="0"/>
          <w:bCs w:val="0"/>
          <w:kern w:val="0"/>
          <w:szCs w:val="24"/>
        </w:rPr>
        <w:alias w:val="模块:公司债券持有人会议召开情况"/>
        <w:tag w:val="_SEC_57f18cb5eed640c4b6783459f1ff2297"/>
        <w:id w:val="6773791"/>
        <w:lock w:val="sdtLocked"/>
        <w:placeholder>
          <w:docPart w:val="GBC22222222222222222222222222222"/>
        </w:placeholder>
      </w:sdtPr>
      <w:sdtEndPr>
        <w:rPr>
          <w:rFonts w:hint="eastAsia" w:ascii="宋体" w:hAnsi="宋体" w:cs="宋体"/>
          <w:b w:val="0"/>
          <w:bCs w:val="0"/>
          <w:kern w:val="0"/>
          <w:szCs w:val="24"/>
          <w:u w:val="single"/>
        </w:rPr>
      </w:sdtEndPr>
      <w:sdtContent>
        <w:p>
          <w:pPr>
            <w:pStyle w:val="3"/>
            <w:numPr>
              <w:ilvl w:val="0"/>
              <w:numId w:val="53"/>
            </w:numPr>
            <w:rPr>
              <w:bCs w:val="0"/>
            </w:rPr>
          </w:pPr>
          <w:r>
            <w:rPr>
              <w:rFonts w:hint="eastAsia"/>
              <w:bCs w:val="0"/>
            </w:rPr>
            <w:t>公司债券持有人会议召开情况</w:t>
          </w:r>
        </w:p>
        <w:sdt>
          <w:sdtPr>
            <w:rPr>
              <w:rFonts w:hint="eastAsia" w:hAnsi="Arial" w:cs="Times New Roman"/>
              <w:bCs/>
              <w:kern w:val="2"/>
              <w:szCs w:val="21"/>
            </w:rPr>
            <w:alias w:val="是否适用：公司债券持有人会议召开情况[双击切换]"/>
            <w:tag w:val="_GBC_d93adad0e06b4b3d898b92689d69b44c"/>
            <w:id w:val="6773790"/>
            <w:lock w:val="sdtContentLocked"/>
            <w:placeholder>
              <w:docPart w:val="GBC22222222222222222222222222222"/>
            </w:placeholder>
          </w:sdtPr>
          <w:sdtEndPr>
            <w:rPr>
              <w:rFonts w:hint="eastAsia" w:hAnsi="Arial" w:cs="Times New Roman"/>
              <w:bCs/>
              <w:kern w:val="2"/>
              <w:szCs w:val="21"/>
            </w:rPr>
          </w:sdtEndPr>
          <w:sdtContent>
            <w:p>
              <w:pPr>
                <w:rPr>
                  <w:szCs w:val="21"/>
                </w:rPr>
              </w:pPr>
              <w:r>
                <w:rPr>
                  <w:rFonts w:cs="Times New Roman"/>
                  <w:bCs/>
                  <w:kern w:val="2"/>
                  <w:szCs w:val="21"/>
                </w:rPr>
                <w:fldChar w:fldCharType="begin"/>
              </w:r>
              <w:r>
                <w:rPr>
                  <w:rFonts w:cs="Times New Roman"/>
                  <w:bCs/>
                  <w:kern w:val="2"/>
                  <w:szCs w:val="21"/>
                </w:rPr>
                <w:instrText xml:space="preserve">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pPr>
        <w:rPr>
          <w:szCs w:val="21"/>
        </w:rPr>
      </w:pPr>
    </w:p>
    <w:sdt>
      <w:sdtPr>
        <w:rPr>
          <w:rFonts w:hint="eastAsia" w:ascii="宋体" w:hAnsi="宋体" w:cs="宋体"/>
          <w:b w:val="0"/>
          <w:bCs w:val="0"/>
          <w:kern w:val="0"/>
          <w:szCs w:val="24"/>
        </w:rPr>
        <w:alias w:val="模块:公司债券受托管理人履职情况"/>
        <w:tag w:val="_SEC_404422b189994741af2c1d7c9d6c56bb"/>
        <w:id w:val="6773794"/>
        <w:lock w:val="sdtLocked"/>
        <w:placeholder>
          <w:docPart w:val="GBC22222222222222222222222222222"/>
        </w:placeholder>
      </w:sdtPr>
      <w:sdtEndPr>
        <w:rPr>
          <w:rFonts w:hint="eastAsia" w:ascii="宋体" w:hAnsi="宋体" w:cs="宋体"/>
          <w:b w:val="0"/>
          <w:bCs w:val="0"/>
          <w:kern w:val="0"/>
          <w:szCs w:val="24"/>
          <w:u w:val="single"/>
        </w:rPr>
      </w:sdtEndPr>
      <w:sdtContent>
        <w:p>
          <w:pPr>
            <w:pStyle w:val="3"/>
            <w:numPr>
              <w:ilvl w:val="0"/>
              <w:numId w:val="53"/>
            </w:numPr>
            <w:rPr>
              <w:bCs w:val="0"/>
            </w:rPr>
          </w:pPr>
          <w:r>
            <w:rPr>
              <w:rFonts w:hint="eastAsia"/>
              <w:bCs w:val="0"/>
            </w:rPr>
            <w:t>公司债券受托管理人履职情况</w:t>
          </w:r>
        </w:p>
        <w:sdt>
          <w:sdtPr>
            <w:rPr>
              <w:rFonts w:hint="eastAsia" w:hAnsi="Arial" w:cs="Times New Roman"/>
              <w:bCs/>
              <w:kern w:val="2"/>
              <w:szCs w:val="21"/>
            </w:rPr>
            <w:alias w:val="是否适用：公司债券受托管理人履职情况[双击切换]"/>
            <w:tag w:val="_GBC_d5d5c7b40aaf4dd9912f303d826b5bdd"/>
            <w:id w:val="6773792"/>
            <w:lock w:val="sdtContentLocked"/>
            <w:placeholder>
              <w:docPart w:val="GBC22222222222222222222222222222"/>
            </w:placeholder>
          </w:sdtPr>
          <w:sdtEndPr>
            <w:rPr>
              <w:rFonts w:hint="eastAsia" w:hAnsi="Arial" w:cs="Times New Roman"/>
              <w:bCs/>
              <w:kern w:val="2"/>
              <w:szCs w:val="21"/>
            </w:rPr>
          </w:sdtEndPr>
          <w:sdtContent>
            <w:p>
              <w:pPr>
                <w:rPr>
                  <w:rFonts w:hAnsi="Arial" w:cs="Times New Roman"/>
                  <w:bCs/>
                  <w:kern w:val="2"/>
                  <w:szCs w:val="21"/>
                </w:rPr>
              </w:pPr>
              <w:r>
                <w:rPr>
                  <w:rFonts w:cs="Times New Roman"/>
                  <w:bCs/>
                  <w:kern w:val="2"/>
                  <w:szCs w:val="21"/>
                </w:rPr>
                <w:fldChar w:fldCharType="begin"/>
              </w:r>
              <w:r>
                <w:rPr>
                  <w:rFonts w:cs="Times New Roman"/>
                  <w:bCs/>
                  <w:kern w:val="2"/>
                  <w:szCs w:val="21"/>
                </w:rPr>
                <w:instrText xml:space="preserve">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int="eastAsia" w:hAnsi="Arial" w:cs="Times New Roman"/>
              <w:bCs/>
              <w:kern w:val="2"/>
              <w:szCs w:val="21"/>
            </w:rPr>
            <w:alias w:val="公司债券受托管理人履职情况"/>
            <w:tag w:val="_GBC_8922af0d2284421dbf8caabd9a465fa6"/>
            <w:id w:val="6773793"/>
            <w:lock w:val="sdtLocked"/>
            <w:placeholder>
              <w:docPart w:val="GBC22222222222222222222222222222"/>
            </w:placeholder>
          </w:sdtPr>
          <w:sdtEndPr>
            <w:rPr>
              <w:rFonts w:hint="eastAsia" w:hAnsi="Arial" w:cs="Times New Roman"/>
              <w:bCs/>
              <w:kern w:val="2"/>
              <w:szCs w:val="21"/>
            </w:rPr>
          </w:sdtEndPr>
          <w:sdtContent>
            <w:p>
              <w:pPr>
                <w:rPr>
                  <w:u w:val="single"/>
                </w:rPr>
              </w:pPr>
              <w:r>
                <w:rPr>
                  <w:rFonts w:hint="eastAsia" w:cs="Times New Roman"/>
                  <w:kern w:val="2"/>
                </w:rPr>
                <w:t>报告期内债券受托管理人按约定履行职责。</w:t>
              </w:r>
            </w:p>
          </w:sdtContent>
        </w:sdt>
      </w:sdtContent>
    </w:sdt>
    <w:p>
      <w:pPr>
        <w:spacing w:line="360" w:lineRule="auto"/>
        <w:rPr>
          <w:rFonts w:ascii="Arial" w:hAnsi="Arial" w:cs="Times New Roman"/>
          <w:bCs/>
          <w:kern w:val="2"/>
          <w:szCs w:val="21"/>
        </w:rPr>
      </w:pPr>
    </w:p>
    <w:sdt>
      <w:sdtPr>
        <w:rPr>
          <w:rFonts w:hint="eastAsia" w:ascii="宋体" w:hAnsi="宋体" w:cs="宋体"/>
          <w:b w:val="0"/>
          <w:bCs w:val="0"/>
          <w:kern w:val="0"/>
          <w:szCs w:val="24"/>
        </w:rPr>
        <w:alias w:val="模块:截至报告期末公司近2年的会计数据和财务指标"/>
        <w:tag w:val="_SEC_1baf511e52ae45aca3071cdf1c8d6889"/>
        <w:id w:val="6773815"/>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53"/>
            </w:numPr>
            <w:rPr>
              <w:bCs w:val="0"/>
            </w:rPr>
          </w:pPr>
          <w:r>
            <w:rPr>
              <w:rFonts w:hint="eastAsia"/>
              <w:bCs w:val="0"/>
            </w:rPr>
            <w:t>截至报告期末公司近</w:t>
          </w:r>
          <w:r>
            <w:rPr>
              <w:bCs w:val="0"/>
            </w:rPr>
            <w:t>2年的会计数据和</w:t>
          </w:r>
          <w:r>
            <w:rPr>
              <w:rFonts w:hint="eastAsia"/>
              <w:bCs w:val="0"/>
            </w:rPr>
            <w:t>财务指标</w:t>
          </w:r>
        </w:p>
        <w:sdt>
          <w:sdtPr>
            <w:alias w:val="是否适用：截至报告期末公司近2年的会计数据和财务指标 [双击切换]"/>
            <w:tag w:val="_GBC_9d2e3e6ec7ce4a28bb2670635d7fa055"/>
            <w:id w:val="677379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color w:val="000000" w:themeColor="text1"/>
              <w:szCs w:val="21"/>
            </w:rPr>
          </w:pPr>
          <w:r>
            <w:rPr>
              <w:rFonts w:hint="eastAsia"/>
              <w:color w:val="000000" w:themeColor="text1"/>
              <w:szCs w:val="21"/>
            </w:rPr>
            <w:t>单位</w:t>
          </w:r>
          <w:r>
            <w:rPr>
              <w:color w:val="000000" w:themeColor="text1"/>
              <w:szCs w:val="21"/>
            </w:rPr>
            <w:t>:</w:t>
          </w:r>
          <w:sdt>
            <w:sdtPr>
              <w:rPr>
                <w:color w:val="000000" w:themeColor="text1"/>
                <w:szCs w:val="21"/>
              </w:rPr>
              <w:alias w:val="单位：财务附注：截至报告期末公司近2年的会计数据和财务指标"/>
              <w:tag w:val="_GBC_d1b00d7bc3024e3b9a201ac818fee5f1"/>
              <w:id w:val="677379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color w:val="000000" w:themeColor="text1"/>
                <w:szCs w:val="21"/>
              </w:rPr>
            </w:sdtEndPr>
            <w:sdtContent>
              <w:r>
                <w:rPr>
                  <w:color w:val="000000" w:themeColor="text1"/>
                  <w:szCs w:val="21"/>
                </w:rPr>
                <w:t>万元</w:t>
              </w:r>
            </w:sdtContent>
          </w:sdt>
          <w:r>
            <w:rPr>
              <w:rFonts w:hint="eastAsia"/>
              <w:color w:val="000000" w:themeColor="text1"/>
              <w:szCs w:val="21"/>
            </w:rPr>
            <w:t xml:space="preserve"> 币种</w:t>
          </w:r>
          <w:r>
            <w:rPr>
              <w:color w:val="000000" w:themeColor="text1"/>
              <w:szCs w:val="21"/>
            </w:rPr>
            <w:t>:</w:t>
          </w:r>
          <w:sdt>
            <w:sdtPr>
              <w:rPr>
                <w:color w:val="000000" w:themeColor="text1"/>
                <w:szCs w:val="21"/>
              </w:rPr>
              <w:alias w:val="币种：财务附注：截至报告期末公司近2年的会计数据和财务指标"/>
              <w:tag w:val="_GBC_48f2942a11ff459dbe700f63e54bd5c3"/>
              <w:id w:val="67737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color w:val="000000" w:themeColor="text1"/>
                <w:szCs w:val="21"/>
              </w:rPr>
            </w:sdtEndPr>
            <w:sdtContent>
              <w:r>
                <w:rPr>
                  <w:rFonts w:hint="eastAsia"/>
                  <w:color w:val="000000" w:themeColor="text1"/>
                  <w:szCs w:val="21"/>
                </w:rPr>
                <w:t>人民币</w:t>
              </w:r>
            </w:sdtContent>
          </w:sdt>
        </w:p>
        <w:tbl>
          <w:tblPr>
            <w:tblStyle w:val="40"/>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1274"/>
            <w:gridCol w:w="1278"/>
            <w:gridCol w:w="1278"/>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c4a92f21073e443f9446ff7111fb6224"/>
                <w:id w:val="2113312073"/>
                <w:lock w:val="sdtLocked"/>
              </w:sdtPr>
              <w:sdtEndPr>
                <w:rPr>
                  <w:color w:val="000000" w:themeColor="text1"/>
                </w:rPr>
              </w:sdtEndPr>
              <w:sdtContent>
                <w:tc>
                  <w:tcPr>
                    <w:tcW w:w="2233" w:type="dxa"/>
                    <w:vAlign w:val="center"/>
                  </w:tcPr>
                  <w:p>
                    <w:pPr>
                      <w:jc w:val="center"/>
                      <w:rPr>
                        <w:rFonts w:ascii="Arial" w:hAnsi="Arial" w:cs="Times New Roman"/>
                        <w:b/>
                        <w:bCs/>
                        <w:color w:val="000000" w:themeColor="text1"/>
                        <w:szCs w:val="21"/>
                      </w:rPr>
                    </w:pPr>
                    <w:r>
                      <w:rPr>
                        <w:rFonts w:hint="eastAsia"/>
                        <w:color w:val="000000" w:themeColor="text1"/>
                        <w:szCs w:val="21"/>
                      </w:rPr>
                      <w:t>主要指标</w:t>
                    </w:r>
                  </w:p>
                </w:tc>
              </w:sdtContent>
            </w:sdt>
            <w:sdt>
              <w:sdtPr>
                <w:rPr>
                  <w:color w:val="000000" w:themeColor="text1"/>
                </w:rPr>
                <w:tag w:val="_PLD_bf5e3f06dc4c4abe895553a22a037989"/>
                <w:id w:val="1600831078"/>
                <w:lock w:val="sdtLocked"/>
              </w:sdtPr>
              <w:sdtEndPr>
                <w:rPr>
                  <w:color w:val="000000" w:themeColor="text1"/>
                </w:rPr>
              </w:sdtEndPr>
              <w:sdtContent>
                <w:tc>
                  <w:tcPr>
                    <w:tcW w:w="1274" w:type="dxa"/>
                    <w:vAlign w:val="center"/>
                  </w:tcPr>
                  <w:p>
                    <w:pPr>
                      <w:jc w:val="center"/>
                      <w:rPr>
                        <w:color w:val="000000" w:themeColor="text1"/>
                        <w:szCs w:val="21"/>
                      </w:rPr>
                    </w:pPr>
                    <w:r>
                      <w:rPr>
                        <w:rFonts w:hint="eastAsia"/>
                        <w:color w:val="000000" w:themeColor="text1"/>
                        <w:szCs w:val="21"/>
                      </w:rPr>
                      <w:t>2017年</w:t>
                    </w:r>
                  </w:p>
                </w:tc>
              </w:sdtContent>
            </w:sdt>
            <w:sdt>
              <w:sdtPr>
                <w:rPr>
                  <w:color w:val="000000" w:themeColor="text1"/>
                </w:rPr>
                <w:tag w:val="_PLD_69413ee8ca194bb698daae7502cf06f5"/>
                <w:id w:val="-1499180697"/>
                <w:lock w:val="sdtLocked"/>
              </w:sdtPr>
              <w:sdtEndPr>
                <w:rPr>
                  <w:color w:val="000000" w:themeColor="text1"/>
                </w:rPr>
              </w:sdtEndPr>
              <w:sdtContent>
                <w:tc>
                  <w:tcPr>
                    <w:tcW w:w="1278" w:type="dxa"/>
                    <w:vAlign w:val="center"/>
                  </w:tcPr>
                  <w:p>
                    <w:pPr>
                      <w:jc w:val="center"/>
                      <w:rPr>
                        <w:color w:val="000000" w:themeColor="text1"/>
                        <w:szCs w:val="21"/>
                      </w:rPr>
                    </w:pPr>
                    <w:r>
                      <w:rPr>
                        <w:rFonts w:hint="eastAsia"/>
                        <w:color w:val="000000" w:themeColor="text1"/>
                        <w:szCs w:val="21"/>
                      </w:rPr>
                      <w:t>2016年</w:t>
                    </w:r>
                  </w:p>
                </w:tc>
              </w:sdtContent>
            </w:sdt>
            <w:sdt>
              <w:sdtPr>
                <w:rPr>
                  <w:color w:val="000000" w:themeColor="text1"/>
                </w:rPr>
                <w:tag w:val="_PLD_427de963d346444483f4ac9d33260078"/>
                <w:id w:val="1048733155"/>
                <w:lock w:val="sdtLocked"/>
              </w:sdtPr>
              <w:sdtEndPr>
                <w:rPr>
                  <w:color w:val="000000" w:themeColor="text1"/>
                </w:rPr>
              </w:sdtEndPr>
              <w:sdtContent>
                <w:tc>
                  <w:tcPr>
                    <w:tcW w:w="1278" w:type="dxa"/>
                    <w:vAlign w:val="center"/>
                  </w:tcPr>
                  <w:p>
                    <w:pPr>
                      <w:jc w:val="center"/>
                      <w:rPr>
                        <w:color w:val="000000" w:themeColor="text1"/>
                        <w:szCs w:val="21"/>
                      </w:rPr>
                    </w:pPr>
                    <w:r>
                      <w:rPr>
                        <w:rFonts w:hint="eastAsia"/>
                        <w:color w:val="000000" w:themeColor="text1"/>
                        <w:szCs w:val="21"/>
                      </w:rPr>
                      <w:t>本期比上年同期增减（%）</w:t>
                    </w:r>
                  </w:p>
                </w:tc>
              </w:sdtContent>
            </w:sdt>
            <w:sdt>
              <w:sdtPr>
                <w:rPr>
                  <w:color w:val="000000" w:themeColor="text1"/>
                </w:rPr>
                <w:tag w:val="_PLD_c6c57ba37010403daa0c6193d6d30b74"/>
                <w:id w:val="267060478"/>
                <w:lock w:val="sdtLocked"/>
              </w:sdtPr>
              <w:sdtEndPr>
                <w:rPr>
                  <w:color w:val="000000" w:themeColor="text1"/>
                </w:rPr>
              </w:sdtEndPr>
              <w:sdtContent>
                <w:tc>
                  <w:tcPr>
                    <w:tcW w:w="2986" w:type="dxa"/>
                    <w:vAlign w:val="center"/>
                  </w:tcPr>
                  <w:p>
                    <w:pPr>
                      <w:jc w:val="center"/>
                      <w:rPr>
                        <w:color w:val="000000" w:themeColor="text1"/>
                        <w:szCs w:val="21"/>
                      </w:rPr>
                    </w:pPr>
                    <w:r>
                      <w:rPr>
                        <w:rFonts w:hint="eastAsia"/>
                        <w:color w:val="000000" w:themeColor="text1"/>
                        <w:szCs w:val="21"/>
                      </w:rPr>
                      <w:t>变动原因</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585e846b25094c9aa37399e60de4912d"/>
                <w:id w:val="-1026399611"/>
                <w:lock w:val="sdtLocked"/>
              </w:sdtPr>
              <w:sdtEndPr>
                <w:rPr>
                  <w:color w:val="000000" w:themeColor="text1"/>
                </w:rPr>
              </w:sdtEndPr>
              <w:sdtContent>
                <w:tc>
                  <w:tcPr>
                    <w:tcW w:w="2233" w:type="dxa"/>
                    <w:vAlign w:val="center"/>
                  </w:tcPr>
                  <w:p>
                    <w:pPr>
                      <w:jc w:val="both"/>
                      <w:rPr>
                        <w:color w:val="000000" w:themeColor="text1"/>
                        <w:szCs w:val="21"/>
                      </w:rPr>
                    </w:pPr>
                    <w:r>
                      <w:rPr>
                        <w:rFonts w:hint="eastAsia"/>
                        <w:color w:val="000000" w:themeColor="text1"/>
                        <w:szCs w:val="21"/>
                      </w:rPr>
                      <w:t>息税折旧摊销前利润</w:t>
                    </w:r>
                  </w:p>
                </w:tc>
              </w:sdtContent>
            </w:sdt>
            <w:tc>
              <w:tcPr>
                <w:tcW w:w="1274" w:type="dxa"/>
                <w:vAlign w:val="center"/>
              </w:tcPr>
              <w:p>
                <w:pPr>
                  <w:jc w:val="right"/>
                  <w:rPr>
                    <w:color w:val="000000" w:themeColor="text1"/>
                    <w:szCs w:val="21"/>
                  </w:rPr>
                </w:pPr>
                <w:r>
                  <w:rPr>
                    <w:color w:val="000000" w:themeColor="text1"/>
                  </w:rPr>
                  <w:t>431,395.18</w:t>
                </w:r>
              </w:p>
            </w:tc>
            <w:tc>
              <w:tcPr>
                <w:tcW w:w="1278" w:type="dxa"/>
                <w:vAlign w:val="center"/>
              </w:tcPr>
              <w:p>
                <w:pPr>
                  <w:jc w:val="right"/>
                  <w:rPr>
                    <w:color w:val="000000" w:themeColor="text1"/>
                    <w:szCs w:val="21"/>
                  </w:rPr>
                </w:pPr>
                <w:r>
                  <w:rPr>
                    <w:color w:val="000000" w:themeColor="text1"/>
                  </w:rPr>
                  <w:t>153,356.50</w:t>
                </w:r>
              </w:p>
            </w:tc>
            <w:tc>
              <w:tcPr>
                <w:tcW w:w="1278" w:type="dxa"/>
                <w:vAlign w:val="center"/>
              </w:tcPr>
              <w:p>
                <w:pPr>
                  <w:jc w:val="right"/>
                  <w:rPr>
                    <w:color w:val="000000" w:themeColor="text1"/>
                    <w:szCs w:val="21"/>
                  </w:rPr>
                </w:pPr>
                <w:r>
                  <w:rPr>
                    <w:color w:val="000000" w:themeColor="text1"/>
                  </w:rPr>
                  <w:t>181.30</w:t>
                </w:r>
              </w:p>
            </w:tc>
            <w:tc>
              <w:tcPr>
                <w:tcW w:w="2986" w:type="dxa"/>
              </w:tcPr>
              <w:p>
                <w:pPr>
                  <w:rPr>
                    <w:color w:val="000000" w:themeColor="text1"/>
                    <w:szCs w:val="21"/>
                  </w:rPr>
                </w:pPr>
                <w:r>
                  <w:rPr>
                    <w:color w:val="000000" w:themeColor="text1"/>
                  </w:rPr>
                  <w:t>2017年公司利润总额同比增长1</w:t>
                </w:r>
                <w:r>
                  <w:rPr>
                    <w:rFonts w:hint="eastAsia"/>
                    <w:color w:val="000000" w:themeColor="text1"/>
                  </w:rPr>
                  <w:t>265</w:t>
                </w:r>
                <w:r>
                  <w:rPr>
                    <w:color w:val="000000" w:themeColor="text1"/>
                  </w:rPr>
                  <w:t>%，经营活动产生的现金净流入同比增加190%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c314bc37d4804621b88769e77263895f"/>
                <w:id w:val="-290365357"/>
                <w:lock w:val="sdtLocked"/>
              </w:sdtPr>
              <w:sdtEndPr>
                <w:rPr>
                  <w:color w:val="000000" w:themeColor="text1"/>
                </w:rPr>
              </w:sdtEndPr>
              <w:sdtContent>
                <w:tc>
                  <w:tcPr>
                    <w:tcW w:w="2233" w:type="dxa"/>
                  </w:tcPr>
                  <w:p>
                    <w:pPr>
                      <w:rPr>
                        <w:color w:val="000000" w:themeColor="text1"/>
                        <w:szCs w:val="21"/>
                      </w:rPr>
                    </w:pPr>
                    <w:r>
                      <w:rPr>
                        <w:rFonts w:hint="eastAsia"/>
                        <w:color w:val="000000" w:themeColor="text1"/>
                        <w:szCs w:val="21"/>
                      </w:rPr>
                      <w:t>流动比率</w:t>
                    </w:r>
                  </w:p>
                </w:tc>
              </w:sdtContent>
            </w:sdt>
            <w:tc>
              <w:tcPr>
                <w:tcW w:w="1274" w:type="dxa"/>
              </w:tcPr>
              <w:p>
                <w:pPr>
                  <w:jc w:val="right"/>
                  <w:rPr>
                    <w:color w:val="000000" w:themeColor="text1"/>
                    <w:szCs w:val="21"/>
                  </w:rPr>
                </w:pPr>
                <w:r>
                  <w:rPr>
                    <w:color w:val="000000" w:themeColor="text1"/>
                  </w:rPr>
                  <w:t>83.48%</w:t>
                </w:r>
              </w:p>
            </w:tc>
            <w:tc>
              <w:tcPr>
                <w:tcW w:w="1278" w:type="dxa"/>
              </w:tcPr>
              <w:p>
                <w:pPr>
                  <w:jc w:val="right"/>
                  <w:rPr>
                    <w:color w:val="000000" w:themeColor="text1"/>
                    <w:szCs w:val="21"/>
                  </w:rPr>
                </w:pPr>
                <w:r>
                  <w:rPr>
                    <w:color w:val="000000" w:themeColor="text1"/>
                  </w:rPr>
                  <w:t>70.79%</w:t>
                </w:r>
              </w:p>
            </w:tc>
            <w:tc>
              <w:tcPr>
                <w:tcW w:w="1278" w:type="dxa"/>
              </w:tcPr>
              <w:p>
                <w:pPr>
                  <w:jc w:val="right"/>
                  <w:rPr>
                    <w:color w:val="000000" w:themeColor="text1"/>
                    <w:szCs w:val="21"/>
                  </w:rPr>
                </w:pPr>
                <w:r>
                  <w:rPr>
                    <w:color w:val="000000" w:themeColor="text1"/>
                  </w:rPr>
                  <w:t>12.69</w:t>
                </w:r>
              </w:p>
            </w:tc>
            <w:tc>
              <w:tcPr>
                <w:tcW w:w="2986" w:type="dxa"/>
              </w:tcPr>
              <w:p>
                <w:pPr>
                  <w:rPr>
                    <w:color w:val="000000" w:themeColor="text1"/>
                    <w:szCs w:val="21"/>
                  </w:rPr>
                </w:pPr>
                <w:r>
                  <w:rPr>
                    <w:color w:val="000000" w:themeColor="text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6142b1c6418c4802a4ae5b8535df13b8"/>
                <w:id w:val="-1199852785"/>
                <w:lock w:val="sdtLocked"/>
              </w:sdtPr>
              <w:sdtEndPr>
                <w:rPr>
                  <w:color w:val="000000" w:themeColor="text1"/>
                </w:rPr>
              </w:sdtEndPr>
              <w:sdtContent>
                <w:tc>
                  <w:tcPr>
                    <w:tcW w:w="2233" w:type="dxa"/>
                  </w:tcPr>
                  <w:p>
                    <w:pPr>
                      <w:rPr>
                        <w:color w:val="000000" w:themeColor="text1"/>
                        <w:szCs w:val="21"/>
                      </w:rPr>
                    </w:pPr>
                    <w:r>
                      <w:rPr>
                        <w:rFonts w:hint="eastAsia"/>
                        <w:color w:val="000000" w:themeColor="text1"/>
                        <w:szCs w:val="21"/>
                      </w:rPr>
                      <w:t>速动比率</w:t>
                    </w:r>
                  </w:p>
                </w:tc>
              </w:sdtContent>
            </w:sdt>
            <w:tc>
              <w:tcPr>
                <w:tcW w:w="1274" w:type="dxa"/>
              </w:tcPr>
              <w:p>
                <w:pPr>
                  <w:jc w:val="right"/>
                  <w:rPr>
                    <w:color w:val="000000" w:themeColor="text1"/>
                    <w:szCs w:val="21"/>
                  </w:rPr>
                </w:pPr>
                <w:r>
                  <w:rPr>
                    <w:color w:val="000000" w:themeColor="text1"/>
                  </w:rPr>
                  <w:t>52.46%</w:t>
                </w:r>
              </w:p>
            </w:tc>
            <w:tc>
              <w:tcPr>
                <w:tcW w:w="1278" w:type="dxa"/>
              </w:tcPr>
              <w:p>
                <w:pPr>
                  <w:jc w:val="right"/>
                  <w:rPr>
                    <w:color w:val="000000" w:themeColor="text1"/>
                    <w:szCs w:val="21"/>
                  </w:rPr>
                </w:pPr>
                <w:r>
                  <w:rPr>
                    <w:color w:val="000000" w:themeColor="text1"/>
                  </w:rPr>
                  <w:t>34.33%</w:t>
                </w:r>
              </w:p>
            </w:tc>
            <w:tc>
              <w:tcPr>
                <w:tcW w:w="1278" w:type="dxa"/>
              </w:tcPr>
              <w:p>
                <w:pPr>
                  <w:jc w:val="right"/>
                  <w:rPr>
                    <w:color w:val="000000" w:themeColor="text1"/>
                    <w:szCs w:val="21"/>
                  </w:rPr>
                </w:pPr>
                <w:r>
                  <w:rPr>
                    <w:color w:val="000000" w:themeColor="text1"/>
                  </w:rPr>
                  <w:t>18.13</w:t>
                </w:r>
              </w:p>
            </w:tc>
            <w:tc>
              <w:tcPr>
                <w:tcW w:w="2986" w:type="dxa"/>
              </w:tcPr>
              <w:p>
                <w:pPr>
                  <w:rPr>
                    <w:color w:val="000000" w:themeColor="text1"/>
                    <w:szCs w:val="21"/>
                  </w:rPr>
                </w:pPr>
                <w:r>
                  <w:rPr>
                    <w:color w:val="000000" w:themeColor="text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616b082d67034889bca5076c965ea04e"/>
                <w:id w:val="-1281180109"/>
                <w:lock w:val="sdtLocked"/>
              </w:sdtPr>
              <w:sdtEndPr>
                <w:rPr>
                  <w:color w:val="000000" w:themeColor="text1"/>
                </w:rPr>
              </w:sdtEndPr>
              <w:sdtContent>
                <w:tc>
                  <w:tcPr>
                    <w:tcW w:w="2233" w:type="dxa"/>
                  </w:tcPr>
                  <w:p>
                    <w:pPr>
                      <w:rPr>
                        <w:color w:val="000000" w:themeColor="text1"/>
                        <w:szCs w:val="21"/>
                      </w:rPr>
                    </w:pPr>
                    <w:r>
                      <w:rPr>
                        <w:rFonts w:hint="eastAsia"/>
                        <w:color w:val="000000" w:themeColor="text1"/>
                        <w:szCs w:val="21"/>
                      </w:rPr>
                      <w:t>资产负债率（%）</w:t>
                    </w:r>
                  </w:p>
                </w:tc>
              </w:sdtContent>
            </w:sdt>
            <w:tc>
              <w:tcPr>
                <w:tcW w:w="1274" w:type="dxa"/>
              </w:tcPr>
              <w:p>
                <w:pPr>
                  <w:jc w:val="right"/>
                  <w:rPr>
                    <w:color w:val="000000" w:themeColor="text1"/>
                    <w:szCs w:val="21"/>
                  </w:rPr>
                </w:pPr>
                <w:r>
                  <w:rPr>
                    <w:color w:val="000000" w:themeColor="text1"/>
                  </w:rPr>
                  <w:t>68.80%</w:t>
                </w:r>
              </w:p>
            </w:tc>
            <w:tc>
              <w:tcPr>
                <w:tcW w:w="1278" w:type="dxa"/>
              </w:tcPr>
              <w:p>
                <w:pPr>
                  <w:jc w:val="right"/>
                  <w:rPr>
                    <w:color w:val="000000" w:themeColor="text1"/>
                    <w:szCs w:val="21"/>
                  </w:rPr>
                </w:pPr>
                <w:r>
                  <w:rPr>
                    <w:color w:val="000000" w:themeColor="text1"/>
                  </w:rPr>
                  <w:t>77.73%</w:t>
                </w:r>
              </w:p>
            </w:tc>
            <w:tc>
              <w:tcPr>
                <w:tcW w:w="1278" w:type="dxa"/>
              </w:tcPr>
              <w:p>
                <w:pPr>
                  <w:jc w:val="right"/>
                  <w:rPr>
                    <w:color w:val="000000" w:themeColor="text1"/>
                    <w:szCs w:val="21"/>
                  </w:rPr>
                </w:pPr>
                <w:r>
                  <w:rPr>
                    <w:color w:val="000000" w:themeColor="text1"/>
                  </w:rPr>
                  <w:t>-8.93</w:t>
                </w:r>
              </w:p>
            </w:tc>
            <w:tc>
              <w:tcPr>
                <w:tcW w:w="2986" w:type="dxa"/>
              </w:tcPr>
              <w:p>
                <w:pPr>
                  <w:rPr>
                    <w:color w:val="000000" w:themeColor="text1"/>
                    <w:szCs w:val="21"/>
                  </w:rPr>
                </w:pPr>
                <w:r>
                  <w:rPr>
                    <w:color w:val="000000" w:themeColor="text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3872231a178d4aeaa065826795a042e9"/>
                <w:id w:val="339364690"/>
                <w:lock w:val="sdtLocked"/>
              </w:sdtPr>
              <w:sdtEndPr>
                <w:rPr>
                  <w:color w:val="000000" w:themeColor="text1"/>
                </w:rPr>
              </w:sdtEndPr>
              <w:sdtContent>
                <w:tc>
                  <w:tcPr>
                    <w:tcW w:w="2233" w:type="dxa"/>
                  </w:tcPr>
                  <w:p>
                    <w:pPr>
                      <w:rPr>
                        <w:color w:val="000000" w:themeColor="text1"/>
                        <w:szCs w:val="21"/>
                      </w:rPr>
                    </w:pPr>
                    <w:r>
                      <w:rPr>
                        <w:color w:val="000000" w:themeColor="text1"/>
                        <w:szCs w:val="21"/>
                      </w:rPr>
                      <w:t>EBITDA全部债务比</w:t>
                    </w:r>
                  </w:p>
                </w:tc>
              </w:sdtContent>
            </w:sdt>
            <w:tc>
              <w:tcPr>
                <w:tcW w:w="1274" w:type="dxa"/>
              </w:tcPr>
              <w:p>
                <w:pPr>
                  <w:jc w:val="right"/>
                  <w:rPr>
                    <w:color w:val="000000" w:themeColor="text1"/>
                    <w:szCs w:val="21"/>
                  </w:rPr>
                </w:pPr>
                <w:r>
                  <w:rPr>
                    <w:color w:val="000000" w:themeColor="text1"/>
                  </w:rPr>
                  <w:t>0.41</w:t>
                </w:r>
              </w:p>
            </w:tc>
            <w:tc>
              <w:tcPr>
                <w:tcW w:w="1278" w:type="dxa"/>
              </w:tcPr>
              <w:p>
                <w:pPr>
                  <w:jc w:val="right"/>
                  <w:rPr>
                    <w:color w:val="000000" w:themeColor="text1"/>
                    <w:szCs w:val="21"/>
                  </w:rPr>
                </w:pPr>
                <w:r>
                  <w:rPr>
                    <w:color w:val="000000" w:themeColor="text1"/>
                  </w:rPr>
                  <w:t>0.13</w:t>
                </w:r>
              </w:p>
            </w:tc>
            <w:tc>
              <w:tcPr>
                <w:tcW w:w="1278" w:type="dxa"/>
              </w:tcPr>
              <w:p>
                <w:pPr>
                  <w:jc w:val="right"/>
                  <w:rPr>
                    <w:color w:val="000000" w:themeColor="text1"/>
                    <w:szCs w:val="21"/>
                  </w:rPr>
                </w:pPr>
                <w:r>
                  <w:rPr>
                    <w:color w:val="000000" w:themeColor="text1"/>
                  </w:rPr>
                  <w:t>215.38</w:t>
                </w:r>
              </w:p>
            </w:tc>
            <w:tc>
              <w:tcPr>
                <w:tcW w:w="2986" w:type="dxa"/>
              </w:tcPr>
              <w:p>
                <w:pPr>
                  <w:rPr>
                    <w:color w:val="000000" w:themeColor="text1"/>
                    <w:szCs w:val="21"/>
                  </w:rPr>
                </w:pPr>
                <w:r>
                  <w:rPr>
                    <w:color w:val="000000" w:themeColor="text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b7856c26a749435e9d60b8b17e18ccfc"/>
                <w:id w:val="-701563226"/>
                <w:lock w:val="sdtLocked"/>
              </w:sdtPr>
              <w:sdtEndPr>
                <w:rPr>
                  <w:color w:val="000000" w:themeColor="text1"/>
                </w:rPr>
              </w:sdtEndPr>
              <w:sdtContent>
                <w:tc>
                  <w:tcPr>
                    <w:tcW w:w="2233" w:type="dxa"/>
                  </w:tcPr>
                  <w:p>
                    <w:pPr>
                      <w:rPr>
                        <w:color w:val="000000" w:themeColor="text1"/>
                        <w:szCs w:val="21"/>
                      </w:rPr>
                    </w:pPr>
                    <w:r>
                      <w:rPr>
                        <w:rFonts w:hint="eastAsia"/>
                        <w:color w:val="000000" w:themeColor="text1"/>
                        <w:szCs w:val="21"/>
                      </w:rPr>
                      <w:t>利息保障倍数</w:t>
                    </w:r>
                  </w:p>
                </w:tc>
              </w:sdtContent>
            </w:sdt>
            <w:tc>
              <w:tcPr>
                <w:tcW w:w="1274" w:type="dxa"/>
              </w:tcPr>
              <w:p>
                <w:pPr>
                  <w:jc w:val="right"/>
                  <w:rPr>
                    <w:color w:val="000000" w:themeColor="text1"/>
                    <w:szCs w:val="21"/>
                  </w:rPr>
                </w:pPr>
                <w:r>
                  <w:rPr>
                    <w:color w:val="000000" w:themeColor="text1"/>
                  </w:rPr>
                  <w:t>8.83</w:t>
                </w:r>
              </w:p>
            </w:tc>
            <w:tc>
              <w:tcPr>
                <w:tcW w:w="1278" w:type="dxa"/>
              </w:tcPr>
              <w:p>
                <w:pPr>
                  <w:jc w:val="right"/>
                  <w:rPr>
                    <w:color w:val="000000" w:themeColor="text1"/>
                    <w:szCs w:val="21"/>
                  </w:rPr>
                </w:pPr>
                <w:r>
                  <w:rPr>
                    <w:color w:val="000000" w:themeColor="text1"/>
                  </w:rPr>
                  <w:t>1.48</w:t>
                </w:r>
              </w:p>
            </w:tc>
            <w:tc>
              <w:tcPr>
                <w:tcW w:w="1278" w:type="dxa"/>
              </w:tcPr>
              <w:p>
                <w:pPr>
                  <w:jc w:val="right"/>
                  <w:rPr>
                    <w:color w:val="000000" w:themeColor="text1"/>
                    <w:szCs w:val="21"/>
                  </w:rPr>
                </w:pPr>
                <w:r>
                  <w:rPr>
                    <w:color w:val="000000" w:themeColor="text1"/>
                  </w:rPr>
                  <w:t>496.62</w:t>
                </w:r>
              </w:p>
            </w:tc>
            <w:tc>
              <w:tcPr>
                <w:tcW w:w="2986" w:type="dxa"/>
                <w:vMerge w:val="restart"/>
                <w:vAlign w:val="center"/>
              </w:tcPr>
              <w:p>
                <w:pPr>
                  <w:jc w:val="both"/>
                  <w:rPr>
                    <w:color w:val="000000" w:themeColor="text1"/>
                    <w:szCs w:val="21"/>
                  </w:rPr>
                </w:pPr>
                <w:r>
                  <w:rPr>
                    <w:color w:val="000000" w:themeColor="text1"/>
                  </w:rPr>
                  <w:t>2017年公司利润总额同比增长1</w:t>
                </w:r>
                <w:r>
                  <w:rPr>
                    <w:rFonts w:hint="eastAsia"/>
                    <w:color w:val="000000" w:themeColor="text1"/>
                  </w:rPr>
                  <w:t>265</w:t>
                </w:r>
                <w:r>
                  <w:rPr>
                    <w:color w:val="000000" w:themeColor="text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4ce844e1fe6f42d8bbdffc1e1d471965"/>
                <w:id w:val="-2011438036"/>
                <w:lock w:val="sdtLocked"/>
              </w:sdtPr>
              <w:sdtEndPr>
                <w:rPr>
                  <w:color w:val="000000" w:themeColor="text1"/>
                </w:rPr>
              </w:sdtEndPr>
              <w:sdtContent>
                <w:tc>
                  <w:tcPr>
                    <w:tcW w:w="2233" w:type="dxa"/>
                  </w:tcPr>
                  <w:p>
                    <w:pPr>
                      <w:rPr>
                        <w:color w:val="000000" w:themeColor="text1"/>
                        <w:szCs w:val="21"/>
                      </w:rPr>
                    </w:pPr>
                    <w:r>
                      <w:rPr>
                        <w:rFonts w:hint="eastAsia"/>
                        <w:color w:val="000000" w:themeColor="text1"/>
                        <w:szCs w:val="21"/>
                      </w:rPr>
                      <w:t>现金利息保障倍数</w:t>
                    </w:r>
                  </w:p>
                </w:tc>
              </w:sdtContent>
            </w:sdt>
            <w:tc>
              <w:tcPr>
                <w:tcW w:w="1274" w:type="dxa"/>
              </w:tcPr>
              <w:p>
                <w:pPr>
                  <w:jc w:val="right"/>
                  <w:rPr>
                    <w:color w:val="000000" w:themeColor="text1"/>
                    <w:szCs w:val="21"/>
                  </w:rPr>
                </w:pPr>
                <w:r>
                  <w:rPr>
                    <w:color w:val="000000" w:themeColor="text1"/>
                  </w:rPr>
                  <w:t>11.</w:t>
                </w:r>
                <w:r>
                  <w:rPr>
                    <w:rFonts w:hint="eastAsia"/>
                    <w:color w:val="000000" w:themeColor="text1"/>
                  </w:rPr>
                  <w:t>89</w:t>
                </w:r>
              </w:p>
            </w:tc>
            <w:tc>
              <w:tcPr>
                <w:tcW w:w="1278" w:type="dxa"/>
              </w:tcPr>
              <w:p>
                <w:pPr>
                  <w:jc w:val="right"/>
                  <w:rPr>
                    <w:color w:val="000000" w:themeColor="text1"/>
                    <w:szCs w:val="21"/>
                  </w:rPr>
                </w:pPr>
                <w:r>
                  <w:rPr>
                    <w:rFonts w:hint="eastAsia"/>
                    <w:color w:val="000000" w:themeColor="text1"/>
                  </w:rPr>
                  <w:t>3.41</w:t>
                </w:r>
              </w:p>
            </w:tc>
            <w:tc>
              <w:tcPr>
                <w:tcW w:w="1278" w:type="dxa"/>
              </w:tcPr>
              <w:p>
                <w:pPr>
                  <w:jc w:val="right"/>
                  <w:rPr>
                    <w:color w:val="000000" w:themeColor="text1"/>
                    <w:szCs w:val="21"/>
                  </w:rPr>
                </w:pPr>
                <w:r>
                  <w:rPr>
                    <w:color w:val="000000" w:themeColor="text1"/>
                  </w:rPr>
                  <w:t>248.68</w:t>
                </w:r>
              </w:p>
            </w:tc>
            <w:tc>
              <w:tcPr>
                <w:tcW w:w="2986" w:type="dxa"/>
                <w:vMerge w:val="continue"/>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sdt>
              <w:sdtPr>
                <w:rPr>
                  <w:color w:val="000000" w:themeColor="text1"/>
                </w:rPr>
                <w:tag w:val="_PLD_fc10afc79048456bb3cd6abed5637697"/>
                <w:id w:val="-677585954"/>
                <w:lock w:val="sdtLocked"/>
              </w:sdtPr>
              <w:sdtEndPr>
                <w:rPr>
                  <w:color w:val="000000" w:themeColor="text1"/>
                </w:rPr>
              </w:sdtEndPr>
              <w:sdtContent>
                <w:tc>
                  <w:tcPr>
                    <w:tcW w:w="2233" w:type="dxa"/>
                  </w:tcPr>
                  <w:p>
                    <w:pPr>
                      <w:rPr>
                        <w:color w:val="000000" w:themeColor="text1"/>
                        <w:szCs w:val="21"/>
                      </w:rPr>
                    </w:pPr>
                    <w:r>
                      <w:rPr>
                        <w:color w:val="000000" w:themeColor="text1"/>
                        <w:szCs w:val="21"/>
                      </w:rPr>
                      <w:t>EBITDA利息保障倍数</w:t>
                    </w:r>
                  </w:p>
                </w:tc>
              </w:sdtContent>
            </w:sdt>
            <w:tc>
              <w:tcPr>
                <w:tcW w:w="1274" w:type="dxa"/>
              </w:tcPr>
              <w:p>
                <w:pPr>
                  <w:jc w:val="right"/>
                  <w:rPr>
                    <w:color w:val="000000" w:themeColor="text1"/>
                    <w:szCs w:val="21"/>
                  </w:rPr>
                </w:pPr>
                <w:r>
                  <w:rPr>
                    <w:color w:val="000000" w:themeColor="text1"/>
                  </w:rPr>
                  <w:t>11.12</w:t>
                </w:r>
              </w:p>
            </w:tc>
            <w:tc>
              <w:tcPr>
                <w:tcW w:w="1278" w:type="dxa"/>
              </w:tcPr>
              <w:p>
                <w:pPr>
                  <w:jc w:val="right"/>
                  <w:rPr>
                    <w:color w:val="000000" w:themeColor="text1"/>
                    <w:szCs w:val="21"/>
                  </w:rPr>
                </w:pPr>
                <w:r>
                  <w:rPr>
                    <w:color w:val="000000" w:themeColor="text1"/>
                  </w:rPr>
                  <w:t>3.29</w:t>
                </w:r>
              </w:p>
            </w:tc>
            <w:tc>
              <w:tcPr>
                <w:tcW w:w="1278" w:type="dxa"/>
              </w:tcPr>
              <w:p>
                <w:pPr>
                  <w:jc w:val="right"/>
                  <w:rPr>
                    <w:color w:val="000000" w:themeColor="text1"/>
                    <w:szCs w:val="21"/>
                  </w:rPr>
                </w:pPr>
                <w:r>
                  <w:rPr>
                    <w:color w:val="000000" w:themeColor="text1"/>
                  </w:rPr>
                  <w:t>237.99</w:t>
                </w:r>
              </w:p>
            </w:tc>
            <w:tc>
              <w:tcPr>
                <w:tcW w:w="2986" w:type="dxa"/>
                <w:vMerge w:val="continue"/>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8559eb5de8e0494e89ba59f603ad0e5f"/>
                <w:id w:val="1125112042"/>
                <w:lock w:val="sdtLocked"/>
              </w:sdtPr>
              <w:sdtEndPr>
                <w:rPr>
                  <w:color w:val="000000" w:themeColor="text1"/>
                </w:rPr>
              </w:sdtEndPr>
              <w:sdtContent>
                <w:tc>
                  <w:tcPr>
                    <w:tcW w:w="2233" w:type="dxa"/>
                  </w:tcPr>
                  <w:p>
                    <w:pPr>
                      <w:rPr>
                        <w:color w:val="000000" w:themeColor="text1"/>
                        <w:szCs w:val="21"/>
                      </w:rPr>
                    </w:pPr>
                    <w:r>
                      <w:rPr>
                        <w:rFonts w:hint="eastAsia"/>
                        <w:color w:val="000000" w:themeColor="text1"/>
                        <w:szCs w:val="21"/>
                      </w:rPr>
                      <w:t>贷款偿还率（%）</w:t>
                    </w:r>
                  </w:p>
                </w:tc>
              </w:sdtContent>
            </w:sdt>
            <w:tc>
              <w:tcPr>
                <w:tcW w:w="1274" w:type="dxa"/>
              </w:tcPr>
              <w:p>
                <w:pPr>
                  <w:jc w:val="right"/>
                  <w:rPr>
                    <w:color w:val="000000" w:themeColor="text1"/>
                    <w:szCs w:val="21"/>
                  </w:rPr>
                </w:pPr>
                <w:r>
                  <w:rPr>
                    <w:color w:val="000000" w:themeColor="text1"/>
                  </w:rPr>
                  <w:t>100.00%</w:t>
                </w:r>
              </w:p>
            </w:tc>
            <w:tc>
              <w:tcPr>
                <w:tcW w:w="1278" w:type="dxa"/>
              </w:tcPr>
              <w:p>
                <w:pPr>
                  <w:jc w:val="right"/>
                  <w:rPr>
                    <w:color w:val="000000" w:themeColor="text1"/>
                    <w:szCs w:val="21"/>
                  </w:rPr>
                </w:pPr>
                <w:r>
                  <w:rPr>
                    <w:color w:val="000000" w:themeColor="text1"/>
                  </w:rPr>
                  <w:t>100.00%</w:t>
                </w:r>
              </w:p>
            </w:tc>
            <w:tc>
              <w:tcPr>
                <w:tcW w:w="1278" w:type="dxa"/>
              </w:tcPr>
              <w:p>
                <w:pPr>
                  <w:jc w:val="right"/>
                  <w:rPr>
                    <w:color w:val="000000" w:themeColor="text1"/>
                    <w:szCs w:val="21"/>
                  </w:rPr>
                </w:pPr>
              </w:p>
            </w:tc>
            <w:tc>
              <w:tcPr>
                <w:tcW w:w="2986" w:type="dxa"/>
              </w:tcPr>
              <w:p>
                <w:pPr>
                  <w:rPr>
                    <w:color w:val="000000" w:themeColor="text1"/>
                    <w:szCs w:val="21"/>
                  </w:rPr>
                </w:pPr>
                <w:r>
                  <w:rPr>
                    <w:color w:val="000000" w:themeColor="text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4c46b9d0ac14e93a9cd78b1cafccbbf"/>
                <w:id w:val="-63723542"/>
                <w:lock w:val="sdtLocked"/>
              </w:sdtPr>
              <w:sdtContent>
                <w:tc>
                  <w:tcPr>
                    <w:tcW w:w="2233" w:type="dxa"/>
                  </w:tcPr>
                  <w:p>
                    <w:pPr>
                      <w:rPr>
                        <w:szCs w:val="21"/>
                      </w:rPr>
                    </w:pPr>
                    <w:r>
                      <w:rPr>
                        <w:rFonts w:hint="eastAsia"/>
                        <w:szCs w:val="21"/>
                      </w:rPr>
                      <w:t>利息偿付率（%）</w:t>
                    </w:r>
                  </w:p>
                </w:tc>
              </w:sdtContent>
            </w:sdt>
            <w:tc>
              <w:tcPr>
                <w:tcW w:w="1274" w:type="dxa"/>
              </w:tcPr>
              <w:p>
                <w:pPr>
                  <w:jc w:val="right"/>
                  <w:rPr>
                    <w:szCs w:val="21"/>
                  </w:rPr>
                </w:pPr>
                <w:r>
                  <w:t>100.00%</w:t>
                </w:r>
              </w:p>
            </w:tc>
            <w:tc>
              <w:tcPr>
                <w:tcW w:w="1278" w:type="dxa"/>
              </w:tcPr>
              <w:p>
                <w:pPr>
                  <w:jc w:val="right"/>
                  <w:rPr>
                    <w:szCs w:val="21"/>
                  </w:rPr>
                </w:pPr>
                <w:r>
                  <w:t>100.00%</w:t>
                </w:r>
              </w:p>
            </w:tc>
            <w:tc>
              <w:tcPr>
                <w:tcW w:w="1278" w:type="dxa"/>
              </w:tcPr>
              <w:p>
                <w:pPr>
                  <w:jc w:val="right"/>
                  <w:rPr>
                    <w:szCs w:val="21"/>
                  </w:rPr>
                </w:pPr>
              </w:p>
            </w:tc>
            <w:tc>
              <w:tcPr>
                <w:tcW w:w="2986" w:type="dxa"/>
              </w:tcPr>
              <w:p>
                <w:pPr>
                  <w:rPr>
                    <w:szCs w:val="21"/>
                  </w:rPr>
                </w:pPr>
                <w:r>
                  <w:t> </w:t>
                </w:r>
              </w:p>
            </w:tc>
          </w:tr>
        </w:tbl>
        <w:p/>
        <w:p/>
      </w:sdtContent>
    </w:sdt>
    <w:sdt>
      <w:sdtPr>
        <w:rPr>
          <w:rFonts w:hint="eastAsia" w:ascii="宋体" w:hAnsi="宋体" w:cs="宋体"/>
          <w:b w:val="0"/>
          <w:bCs w:val="0"/>
          <w:kern w:val="0"/>
          <w:szCs w:val="24"/>
        </w:rPr>
        <w:alias w:val="模块:公司其他债券和债务融资工具的付息兑付情况"/>
        <w:tag w:val="_SEC_91a7d013f8f34847918a4ff4531b7d17"/>
        <w:id w:val="6773818"/>
        <w:lock w:val="sdtLocked"/>
        <w:placeholder>
          <w:docPart w:val="GBC22222222222222222222222222222"/>
        </w:placeholder>
      </w:sdtPr>
      <w:sdtEndPr>
        <w:rPr>
          <w:rFonts w:hint="eastAsia" w:ascii="宋体" w:hAnsi="宋体" w:cs="宋体"/>
          <w:b w:val="0"/>
          <w:bCs w:val="0"/>
          <w:kern w:val="0"/>
          <w:szCs w:val="24"/>
          <w:u w:val="single"/>
        </w:rPr>
      </w:sdtEndPr>
      <w:sdtContent>
        <w:p>
          <w:pPr>
            <w:pStyle w:val="3"/>
            <w:numPr>
              <w:ilvl w:val="0"/>
              <w:numId w:val="53"/>
            </w:numPr>
            <w:rPr>
              <w:bCs w:val="0"/>
            </w:rPr>
          </w:pPr>
          <w:r>
            <w:rPr>
              <w:rFonts w:hint="eastAsia"/>
              <w:bCs w:val="0"/>
            </w:rPr>
            <w:t>公司其他债券和债务融资工具的付息兑付情况</w:t>
          </w:r>
        </w:p>
        <w:sdt>
          <w:sdtPr>
            <w:rPr>
              <w:rFonts w:hint="eastAsia" w:hAnsi="Arial" w:cs="Times New Roman"/>
              <w:bCs/>
              <w:kern w:val="2"/>
              <w:szCs w:val="21"/>
            </w:rPr>
            <w:alias w:val="是否适用：公司其他债券和债务融资工具的付息兑付情况[双击切换]"/>
            <w:tag w:val="_GBC_e4de0d063f0b4c49a9045987141ffe60"/>
            <w:id w:val="6773816"/>
            <w:lock w:val="sdtContentLocked"/>
            <w:placeholder>
              <w:docPart w:val="GBC22222222222222222222222222222"/>
            </w:placeholder>
          </w:sdtPr>
          <w:sdtEndPr>
            <w:rPr>
              <w:rFonts w:hint="eastAsia" w:hAnsi="Arial" w:cs="Times New Roman"/>
              <w:bCs/>
              <w:kern w:val="2"/>
              <w:szCs w:val="21"/>
            </w:rPr>
          </w:sdtEndPr>
          <w:sdtContent>
            <w:p>
              <w:pPr>
                <w:rPr>
                  <w:u w:val="single"/>
                </w:rPr>
              </w:pPr>
              <w:r>
                <w:rPr>
                  <w:rFonts w:cs="Times New Roman"/>
                  <w:bCs/>
                  <w:kern w:val="2"/>
                  <w:szCs w:val="21"/>
                </w:rPr>
                <w:fldChar w:fldCharType="begin"/>
              </w:r>
              <w:r>
                <w:rPr>
                  <w:rFonts w:cs="Times New Roman"/>
                  <w:bCs/>
                  <w:kern w:val="2"/>
                  <w:szCs w:val="21"/>
                </w:rPr>
                <w:instrText xml:space="preserve">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pPr>
        <w:rPr>
          <w:szCs w:val="21"/>
        </w:rPr>
      </w:pPr>
    </w:p>
    <w:sdt>
      <w:sdtPr>
        <w:rPr>
          <w:rFonts w:hint="eastAsia" w:ascii="宋体" w:hAnsi="宋体" w:cs="宋体"/>
          <w:b w:val="0"/>
          <w:bCs w:val="0"/>
          <w:kern w:val="0"/>
          <w:szCs w:val="24"/>
        </w:rPr>
        <w:alias w:val="模块:公司报告期内的银行授信情况"/>
        <w:tag w:val="_SEC_a7d94bbd67a84ea28cf2ec9a482251a5"/>
        <w:id w:val="6773821"/>
        <w:lock w:val="sdtLocked"/>
        <w:placeholder>
          <w:docPart w:val="GBC22222222222222222222222222222"/>
        </w:placeholder>
      </w:sdtPr>
      <w:sdtEndPr>
        <w:rPr>
          <w:rFonts w:hint="eastAsia" w:ascii="宋体" w:hAnsi="宋体" w:cs="宋体"/>
          <w:b w:val="0"/>
          <w:bCs w:val="0"/>
          <w:kern w:val="0"/>
          <w:szCs w:val="24"/>
          <w:u w:val="single"/>
        </w:rPr>
      </w:sdtEndPr>
      <w:sdtContent>
        <w:p>
          <w:pPr>
            <w:pStyle w:val="3"/>
            <w:numPr>
              <w:ilvl w:val="0"/>
              <w:numId w:val="53"/>
            </w:numPr>
            <w:rPr>
              <w:bCs w:val="0"/>
            </w:rPr>
          </w:pPr>
          <w:r>
            <w:rPr>
              <w:rFonts w:hint="eastAsia"/>
              <w:bCs w:val="0"/>
            </w:rPr>
            <w:t>公司报告期内的银行授信情况</w:t>
          </w:r>
        </w:p>
        <w:sdt>
          <w:sdtPr>
            <w:rPr>
              <w:rFonts w:hint="eastAsia" w:hAnsi="Arial" w:cs="Times New Roman"/>
              <w:bCs/>
              <w:kern w:val="2"/>
              <w:szCs w:val="21"/>
            </w:rPr>
            <w:alias w:val="是否适用：公司报告期内的银行授信情况[双击切换]"/>
            <w:tag w:val="_GBC_37e7f12496274b2899d3553baab80d55"/>
            <w:id w:val="6773819"/>
            <w:lock w:val="sdtContentLocked"/>
            <w:placeholder>
              <w:docPart w:val="GBC22222222222222222222222222222"/>
            </w:placeholder>
          </w:sdtPr>
          <w:sdtEndPr>
            <w:rPr>
              <w:rFonts w:hint="eastAsia" w:hAnsi="Arial" w:cs="Times New Roman"/>
              <w:bCs/>
              <w:kern w:val="2"/>
              <w:szCs w:val="21"/>
            </w:rPr>
          </w:sdtEndPr>
          <w:sdtContent>
            <w:p>
              <w:pPr>
                <w:rPr>
                  <w:rFonts w:hAnsi="Arial" w:cs="Times New Roman"/>
                  <w:bCs/>
                  <w:kern w:val="2"/>
                  <w:szCs w:val="21"/>
                </w:rPr>
              </w:pPr>
              <w:r>
                <w:rPr>
                  <w:rFonts w:cs="Times New Roman"/>
                  <w:bCs/>
                  <w:kern w:val="2"/>
                  <w:szCs w:val="21"/>
                </w:rPr>
                <w:fldChar w:fldCharType="begin"/>
              </w:r>
              <w:r>
                <w:rPr>
                  <w:rFonts w:cs="Times New Roman"/>
                  <w:bCs/>
                  <w:kern w:val="2"/>
                  <w:szCs w:val="21"/>
                </w:rPr>
                <w:instrText xml:space="preserve">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int="eastAsia" w:hAnsi="Arial" w:cs="Times New Roman"/>
              <w:bCs/>
              <w:kern w:val="2"/>
              <w:szCs w:val="21"/>
            </w:rPr>
            <w:alias w:val="公司报告期内的银行授信情况"/>
            <w:tag w:val="_GBC_f7460ab15d6a4d66b5f38896c1519046"/>
            <w:id w:val="6773820"/>
            <w:lock w:val="sdtLocked"/>
            <w:placeholder>
              <w:docPart w:val="GBC22222222222222222222222222222"/>
            </w:placeholder>
          </w:sdtPr>
          <w:sdtEndPr>
            <w:rPr>
              <w:rFonts w:hint="eastAsia" w:hAnsi="Arial" w:cs="Times New Roman"/>
              <w:bCs/>
              <w:kern w:val="2"/>
              <w:szCs w:val="21"/>
            </w:rPr>
          </w:sdtEndPr>
          <w:sdtContent>
            <w:p>
              <w:pPr>
                <w:rPr>
                  <w:rFonts w:hAnsi="Arial" w:cs="Times New Roman"/>
                  <w:bCs/>
                  <w:kern w:val="2"/>
                  <w:szCs w:val="21"/>
                </w:rPr>
              </w:pPr>
              <w:r>
                <w:rPr>
                  <w:rFonts w:hAnsi="Arial" w:cs="Times New Roman"/>
                  <w:bCs/>
                  <w:kern w:val="2"/>
                  <w:szCs w:val="21"/>
                </w:rPr>
                <w:t>2017年公司共向19家银行申请总额不超过285.8亿元人民币综合授信，实际使用情况如下：</w:t>
              </w:r>
            </w:p>
            <w:p>
              <w:pPr>
                <w:rPr>
                  <w:rFonts w:hAnsi="Arial" w:cs="Times New Roman"/>
                  <w:bCs/>
                  <w:kern w:val="2"/>
                  <w:szCs w:val="21"/>
                </w:rPr>
              </w:pPr>
              <w:r>
                <w:rPr>
                  <w:rFonts w:hAnsi="Arial" w:cs="Times New Roman"/>
                  <w:bCs/>
                  <w:kern w:val="2"/>
                  <w:szCs w:val="21"/>
                </w:rPr>
                <w:t>1、按类别分，其中：</w:t>
              </w:r>
            </w:p>
            <w:p>
              <w:pPr>
                <w:rPr>
                  <w:rFonts w:hAnsi="Arial" w:cs="Times New Roman"/>
                  <w:bCs/>
                  <w:kern w:val="2"/>
                  <w:szCs w:val="21"/>
                </w:rPr>
              </w:pPr>
              <w:r>
                <w:rPr>
                  <w:rFonts w:hint="eastAsia" w:hAnsi="Arial" w:cs="Times New Roman"/>
                  <w:bCs/>
                  <w:kern w:val="2"/>
                  <w:szCs w:val="21"/>
                </w:rPr>
                <w:t>①</w:t>
              </w:r>
              <w:r>
                <w:rPr>
                  <w:rFonts w:hAnsi="Arial" w:cs="Times New Roman"/>
                  <w:bCs/>
                  <w:kern w:val="2"/>
                  <w:szCs w:val="21"/>
                </w:rPr>
                <w:t xml:space="preserve"> 贷款 68.86 亿元，占比 24.09%；</w:t>
              </w:r>
            </w:p>
            <w:p>
              <w:pPr>
                <w:rPr>
                  <w:rFonts w:hAnsi="Arial" w:cs="Times New Roman"/>
                  <w:bCs/>
                  <w:kern w:val="2"/>
                  <w:szCs w:val="21"/>
                </w:rPr>
              </w:pPr>
              <w:r>
                <w:rPr>
                  <w:rFonts w:hint="eastAsia" w:hAnsi="Arial" w:cs="Times New Roman"/>
                  <w:bCs/>
                  <w:kern w:val="2"/>
                  <w:szCs w:val="21"/>
                </w:rPr>
                <w:t>②</w:t>
              </w:r>
              <w:r>
                <w:rPr>
                  <w:rFonts w:hAnsi="Arial" w:cs="Times New Roman"/>
                  <w:bCs/>
                  <w:kern w:val="2"/>
                  <w:szCs w:val="21"/>
                </w:rPr>
                <w:t xml:space="preserve"> 国内、国际贸易融资 9.25亿元，占比 3.24%；</w:t>
              </w:r>
            </w:p>
            <w:p>
              <w:pPr>
                <w:rPr>
                  <w:rFonts w:hAnsi="Arial" w:cs="Times New Roman"/>
                  <w:bCs/>
                  <w:kern w:val="2"/>
                  <w:szCs w:val="21"/>
                </w:rPr>
              </w:pPr>
              <w:r>
                <w:rPr>
                  <w:rFonts w:hint="eastAsia" w:hAnsi="Arial" w:cs="Times New Roman"/>
                  <w:bCs/>
                  <w:kern w:val="2"/>
                  <w:szCs w:val="21"/>
                </w:rPr>
                <w:t>③</w:t>
              </w:r>
              <w:r>
                <w:rPr>
                  <w:rFonts w:hAnsi="Arial" w:cs="Times New Roman"/>
                  <w:bCs/>
                  <w:kern w:val="2"/>
                  <w:szCs w:val="21"/>
                </w:rPr>
                <w:t xml:space="preserve"> 票据 23.26 亿元，占比8.14%；</w:t>
              </w:r>
            </w:p>
            <w:p>
              <w:pPr>
                <w:rPr>
                  <w:rFonts w:hAnsi="Arial" w:cs="Times New Roman"/>
                  <w:bCs/>
                  <w:kern w:val="2"/>
                  <w:szCs w:val="21"/>
                </w:rPr>
              </w:pPr>
              <w:r>
                <w:rPr>
                  <w:rFonts w:hint="eastAsia" w:hAnsi="Arial" w:cs="Times New Roman"/>
                  <w:bCs/>
                  <w:kern w:val="2"/>
                  <w:szCs w:val="21"/>
                </w:rPr>
                <w:t>④</w:t>
              </w:r>
              <w:r>
                <w:rPr>
                  <w:rFonts w:hAnsi="Arial" w:cs="Times New Roman"/>
                  <w:bCs/>
                  <w:kern w:val="2"/>
                  <w:szCs w:val="21"/>
                </w:rPr>
                <w:t xml:space="preserve"> 信用证 11.41 亿元，占比 3.99%；</w:t>
              </w:r>
            </w:p>
            <w:p>
              <w:pPr>
                <w:rPr>
                  <w:rFonts w:hAnsi="Arial" w:cs="Times New Roman"/>
                  <w:bCs/>
                  <w:kern w:val="2"/>
                  <w:szCs w:val="21"/>
                </w:rPr>
              </w:pPr>
              <w:r>
                <w:rPr>
                  <w:rFonts w:hint="eastAsia" w:hAnsi="Arial" w:cs="Times New Roman"/>
                  <w:bCs/>
                  <w:kern w:val="2"/>
                  <w:szCs w:val="21"/>
                </w:rPr>
                <w:t>⑤</w:t>
              </w:r>
              <w:r>
                <w:rPr>
                  <w:rFonts w:hAnsi="Arial" w:cs="Times New Roman"/>
                  <w:bCs/>
                  <w:kern w:val="2"/>
                  <w:szCs w:val="21"/>
                </w:rPr>
                <w:t xml:space="preserve"> 未用余额 173.02亿元，占比 60.54%。经银行同意，后续仍可滚动使用。</w:t>
              </w:r>
            </w:p>
            <w:p>
              <w:pPr>
                <w:rPr>
                  <w:rFonts w:hAnsi="Arial" w:cs="Times New Roman"/>
                  <w:bCs/>
                  <w:kern w:val="2"/>
                  <w:szCs w:val="21"/>
                </w:rPr>
              </w:pPr>
            </w:p>
            <w:p>
              <w:pPr>
                <w:rPr>
                  <w:rFonts w:hAnsi="Arial" w:cs="Times New Roman"/>
                  <w:bCs/>
                  <w:kern w:val="2"/>
                  <w:szCs w:val="21"/>
                </w:rPr>
              </w:pPr>
              <w:r>
                <w:rPr>
                  <w:rFonts w:hAnsi="Arial" w:cs="Times New Roman"/>
                  <w:bCs/>
                  <w:kern w:val="2"/>
                  <w:szCs w:val="21"/>
                </w:rPr>
                <w:t>2、按银行分，已用金额占比的前五家银行为：</w:t>
              </w:r>
            </w:p>
            <w:p>
              <w:pPr>
                <w:rPr>
                  <w:rFonts w:hAnsi="Arial" w:cs="Times New Roman"/>
                  <w:bCs/>
                  <w:kern w:val="2"/>
                  <w:szCs w:val="21"/>
                </w:rPr>
              </w:pPr>
              <w:r>
                <w:rPr>
                  <w:rFonts w:hint="eastAsia" w:hAnsi="Arial" w:cs="Times New Roman"/>
                  <w:bCs/>
                  <w:kern w:val="2"/>
                  <w:szCs w:val="21"/>
                </w:rPr>
                <w:t>①国家开发银行广西分行</w:t>
              </w:r>
              <w:r>
                <w:rPr>
                  <w:rFonts w:hAnsi="Arial" w:cs="Times New Roman"/>
                  <w:bCs/>
                  <w:kern w:val="2"/>
                  <w:szCs w:val="21"/>
                </w:rPr>
                <w:t>19.6 亿元，占比17.38%；</w:t>
              </w:r>
            </w:p>
            <w:p>
              <w:pPr>
                <w:rPr>
                  <w:rFonts w:hAnsi="Arial" w:cs="Times New Roman"/>
                  <w:bCs/>
                  <w:kern w:val="2"/>
                  <w:szCs w:val="21"/>
                </w:rPr>
              </w:pPr>
              <w:r>
                <w:rPr>
                  <w:rFonts w:hint="eastAsia" w:hAnsi="Arial" w:cs="Times New Roman"/>
                  <w:bCs/>
                  <w:kern w:val="2"/>
                  <w:szCs w:val="21"/>
                </w:rPr>
                <w:t>②中国银行</w:t>
              </w:r>
              <w:r>
                <w:rPr>
                  <w:rFonts w:hAnsi="Arial" w:cs="Times New Roman"/>
                  <w:bCs/>
                  <w:kern w:val="2"/>
                  <w:szCs w:val="21"/>
                </w:rPr>
                <w:t>16.58亿元，占比 14.7%；</w:t>
              </w:r>
            </w:p>
            <w:p>
              <w:pPr>
                <w:rPr>
                  <w:rFonts w:hAnsi="Arial" w:cs="Times New Roman"/>
                  <w:bCs/>
                  <w:kern w:val="2"/>
                  <w:szCs w:val="21"/>
                </w:rPr>
              </w:pPr>
              <w:r>
                <w:rPr>
                  <w:rFonts w:hint="eastAsia" w:hAnsi="Arial" w:cs="Times New Roman"/>
                  <w:bCs/>
                  <w:kern w:val="2"/>
                  <w:szCs w:val="21"/>
                </w:rPr>
                <w:t>③农业银行</w:t>
              </w:r>
              <w:r>
                <w:rPr>
                  <w:rFonts w:hAnsi="Arial" w:cs="Times New Roman"/>
                  <w:bCs/>
                  <w:kern w:val="2"/>
                  <w:szCs w:val="21"/>
                </w:rPr>
                <w:t>15.02  亿元，占比 13.32%；</w:t>
              </w:r>
            </w:p>
            <w:p>
              <w:pPr>
                <w:rPr>
                  <w:rFonts w:hAnsi="Arial" w:cs="Times New Roman"/>
                  <w:bCs/>
                  <w:kern w:val="2"/>
                  <w:szCs w:val="21"/>
                </w:rPr>
              </w:pPr>
              <w:r>
                <w:rPr>
                  <w:rFonts w:hint="eastAsia" w:hAnsi="Arial" w:cs="Times New Roman"/>
                  <w:bCs/>
                  <w:kern w:val="2"/>
                  <w:szCs w:val="21"/>
                </w:rPr>
                <w:t>④工商银行</w:t>
              </w:r>
              <w:r>
                <w:rPr>
                  <w:rFonts w:hAnsi="Arial" w:cs="Times New Roman"/>
                  <w:bCs/>
                  <w:kern w:val="2"/>
                  <w:szCs w:val="21"/>
                </w:rPr>
                <w:t>11.98 亿元，占比10.62%；</w:t>
              </w:r>
            </w:p>
            <w:p>
              <w:pPr>
                <w:rPr>
                  <w:u w:val="single"/>
                </w:rPr>
              </w:pPr>
              <w:r>
                <w:rPr>
                  <w:rFonts w:hint="eastAsia" w:hAnsi="Arial" w:cs="Times New Roman"/>
                  <w:bCs/>
                  <w:kern w:val="2"/>
                  <w:szCs w:val="21"/>
                </w:rPr>
                <w:t>⑤兴业银行</w:t>
              </w:r>
              <w:r>
                <w:rPr>
                  <w:rFonts w:hAnsi="Arial" w:cs="Times New Roman"/>
                  <w:bCs/>
                  <w:kern w:val="2"/>
                  <w:szCs w:val="21"/>
                </w:rPr>
                <w:t>9.88 亿元，占比 8.76%。</w:t>
              </w:r>
            </w:p>
          </w:sdtContent>
        </w:sdt>
      </w:sdtContent>
    </w:sdt>
    <w:p>
      <w:pPr>
        <w:rPr>
          <w:szCs w:val="21"/>
        </w:rPr>
      </w:pPr>
    </w:p>
    <w:sdt>
      <w:sdtPr>
        <w:rPr>
          <w:rFonts w:hint="eastAsia" w:ascii="宋体" w:hAnsi="宋体" w:cs="宋体"/>
          <w:b w:val="0"/>
          <w:bCs w:val="0"/>
          <w:kern w:val="0"/>
          <w:szCs w:val="24"/>
        </w:rPr>
        <w:alias w:val="模块:公司报告期内执行公司债券募集说明书相关约定或承诺的情况"/>
        <w:tag w:val="_SEC_719fa6395cb0487e8eae126739662543"/>
        <w:id w:val="6773824"/>
        <w:lock w:val="sdtLocked"/>
        <w:placeholder>
          <w:docPart w:val="GBC22222222222222222222222222222"/>
        </w:placeholder>
      </w:sdtPr>
      <w:sdtEndPr>
        <w:rPr>
          <w:rFonts w:hint="eastAsia" w:ascii="宋体" w:hAnsi="宋体" w:cs="宋体"/>
          <w:b w:val="0"/>
          <w:bCs w:val="0"/>
          <w:kern w:val="0"/>
          <w:szCs w:val="24"/>
          <w:u w:val="single"/>
        </w:rPr>
      </w:sdtEndPr>
      <w:sdtContent>
        <w:p>
          <w:pPr>
            <w:pStyle w:val="3"/>
            <w:numPr>
              <w:ilvl w:val="0"/>
              <w:numId w:val="53"/>
            </w:numPr>
            <w:rPr>
              <w:bCs w:val="0"/>
            </w:rPr>
          </w:pPr>
          <w:r>
            <w:rPr>
              <w:rFonts w:hint="eastAsia"/>
              <w:bCs w:val="0"/>
            </w:rPr>
            <w:t>公司报告期内执行公司债券募集说明书相关约定或承诺的情况</w:t>
          </w:r>
        </w:p>
        <w:sdt>
          <w:sdtPr>
            <w:rPr>
              <w:rFonts w:hint="eastAsia" w:hAnsi="Arial" w:cs="Times New Roman"/>
              <w:bCs/>
              <w:kern w:val="2"/>
              <w:szCs w:val="21"/>
            </w:rPr>
            <w:alias w:val="是否适用：公司报告期内执行公司债券募集说明书相关约定或承诺的情况[双击切换]"/>
            <w:tag w:val="_GBC_ad67e17c6c5c4d4ba60247374a3158a5"/>
            <w:id w:val="6773822"/>
            <w:lock w:val="sdtContentLocked"/>
            <w:placeholder>
              <w:docPart w:val="GBC22222222222222222222222222222"/>
            </w:placeholder>
          </w:sdtPr>
          <w:sdtEndPr>
            <w:rPr>
              <w:rFonts w:hint="eastAsia" w:hAnsi="Arial" w:cs="Times New Roman"/>
              <w:bCs/>
              <w:kern w:val="2"/>
              <w:szCs w:val="21"/>
            </w:rPr>
          </w:sdtEndPr>
          <w:sdtContent>
            <w:p>
              <w:pPr>
                <w:rPr>
                  <w:rFonts w:hAnsi="Arial" w:cs="Times New Roman"/>
                  <w:bCs/>
                  <w:kern w:val="2"/>
                  <w:szCs w:val="21"/>
                </w:rPr>
              </w:pPr>
              <w:r>
                <w:rPr>
                  <w:rFonts w:cs="Times New Roman"/>
                  <w:bCs/>
                  <w:kern w:val="2"/>
                  <w:szCs w:val="21"/>
                </w:rPr>
                <w:fldChar w:fldCharType="begin"/>
              </w:r>
              <w:r>
                <w:rPr>
                  <w:rFonts w:cs="Times New Roman"/>
                  <w:bCs/>
                  <w:kern w:val="2"/>
                  <w:szCs w:val="21"/>
                </w:rPr>
                <w:instrText xml:space="preserve">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int="eastAsia" w:hAnsi="Arial" w:cs="Times New Roman"/>
              <w:bCs/>
              <w:kern w:val="2"/>
              <w:szCs w:val="21"/>
            </w:rPr>
            <w:alias w:val="公司报告期内执行公司债券募集说明书相关约定或承诺的情况"/>
            <w:tag w:val="_GBC_67cbfa49108949888a343f5886e593ce"/>
            <w:id w:val="6773823"/>
            <w:lock w:val="sdtLocked"/>
            <w:placeholder>
              <w:docPart w:val="GBC22222222222222222222222222222"/>
            </w:placeholder>
          </w:sdtPr>
          <w:sdtEndPr>
            <w:rPr>
              <w:rFonts w:hint="eastAsia" w:hAnsi="Arial" w:cs="Times New Roman"/>
              <w:bCs/>
              <w:kern w:val="2"/>
              <w:szCs w:val="21"/>
            </w:rPr>
          </w:sdtEndPr>
          <w:sdtContent>
            <w:p>
              <w:pPr>
                <w:rPr>
                  <w:rFonts w:hAnsi="Arial" w:cs="Times New Roman"/>
                  <w:kern w:val="2"/>
                </w:rPr>
              </w:pPr>
              <w:r>
                <w:rPr>
                  <w:rFonts w:hint="eastAsia" w:cs="Times New Roman"/>
                  <w:kern w:val="2"/>
                </w:rPr>
                <w:t>报告期内，公司均严格履行公司债券募集说明书相关内容，未有损害债券投资者利益的情况</w:t>
              </w:r>
            </w:p>
            <w:p>
              <w:pPr>
                <w:rPr>
                  <w:u w:val="single"/>
                </w:rPr>
              </w:pPr>
              <w:r>
                <w:rPr>
                  <w:rFonts w:hint="eastAsia" w:cs="Times New Roman"/>
                  <w:kern w:val="2"/>
                </w:rPr>
                <w:t>发生。</w:t>
              </w:r>
            </w:p>
          </w:sdtContent>
        </w:sdt>
      </w:sdtContent>
    </w:sdt>
    <w:p/>
    <w:sdt>
      <w:sdtPr>
        <w:rPr>
          <w:rFonts w:hint="eastAsia" w:ascii="宋体" w:hAnsi="宋体" w:cs="宋体"/>
          <w:b w:val="0"/>
          <w:bCs w:val="0"/>
          <w:kern w:val="0"/>
          <w:szCs w:val="24"/>
        </w:rPr>
        <w:alias w:val="模块:公司发生重大事项及对公司经营情况和偿债能力的影响"/>
        <w:tag w:val="_SEC_997738f88bed4979a7ada9d944efc400"/>
        <w:id w:val="6773827"/>
        <w:lock w:val="sdtLocked"/>
        <w:placeholder>
          <w:docPart w:val="GBC22222222222222222222222222222"/>
        </w:placeholder>
      </w:sdtPr>
      <w:sdtEndPr>
        <w:rPr>
          <w:rFonts w:hint="eastAsia" w:ascii="宋体" w:hAnsi="宋体" w:cs="宋体"/>
          <w:b w:val="0"/>
          <w:bCs w:val="0"/>
          <w:kern w:val="0"/>
          <w:szCs w:val="24"/>
          <w:u w:val="single"/>
        </w:rPr>
      </w:sdtEndPr>
      <w:sdtContent>
        <w:p>
          <w:pPr>
            <w:pStyle w:val="3"/>
            <w:numPr>
              <w:ilvl w:val="0"/>
              <w:numId w:val="53"/>
            </w:numPr>
            <w:rPr>
              <w:bCs w:val="0"/>
            </w:rPr>
          </w:pPr>
          <w:r>
            <w:rPr>
              <w:rFonts w:hint="eastAsia"/>
              <w:bCs w:val="0"/>
            </w:rPr>
            <w:t>公司发生的重大</w:t>
          </w:r>
          <w:r>
            <w:rPr>
              <w:rFonts w:hint="eastAsia"/>
            </w:rPr>
            <w:t>事项</w:t>
          </w:r>
          <w:r>
            <w:rPr>
              <w:rFonts w:hint="eastAsia"/>
              <w:bCs w:val="0"/>
            </w:rPr>
            <w:t>及对公司经营情况和偿债能力的影响</w:t>
          </w:r>
        </w:p>
        <w:sdt>
          <w:sdtPr>
            <w:rPr>
              <w:rFonts w:hint="eastAsia" w:hAnsi="Arial" w:cs="Times New Roman"/>
              <w:bCs/>
              <w:kern w:val="2"/>
              <w:szCs w:val="21"/>
            </w:rPr>
            <w:alias w:val="是否适用：公司发生的重大事项及对公司经营情况和偿债能力的影响[双击切换]"/>
            <w:tag w:val="_GBC_4b9e8a2bc98a483f93242171f33af6de"/>
            <w:id w:val="6773825"/>
            <w:lock w:val="sdtContentLocked"/>
            <w:placeholder>
              <w:docPart w:val="GBC22222222222222222222222222222"/>
            </w:placeholder>
          </w:sdtPr>
          <w:sdtEndPr>
            <w:rPr>
              <w:rFonts w:hint="eastAsia" w:hAnsi="Arial" w:cs="Times New Roman"/>
              <w:bCs/>
              <w:kern w:val="2"/>
              <w:szCs w:val="21"/>
            </w:rPr>
          </w:sdtEndPr>
          <w:sdtContent>
            <w:p>
              <w:pPr>
                <w:rPr>
                  <w:rFonts w:hAnsi="Arial" w:cs="Times New Roman"/>
                  <w:bCs/>
                  <w:kern w:val="2"/>
                  <w:szCs w:val="21"/>
                </w:rPr>
              </w:pPr>
              <w:r>
                <w:rPr>
                  <w:rFonts w:cs="Times New Roman"/>
                  <w:bCs/>
                  <w:kern w:val="2"/>
                  <w:szCs w:val="21"/>
                </w:rPr>
                <w:fldChar w:fldCharType="begin"/>
              </w:r>
              <w:r>
                <w:rPr>
                  <w:rFonts w:cs="Times New Roman"/>
                  <w:bCs/>
                  <w:kern w:val="2"/>
                  <w:szCs w:val="21"/>
                </w:rPr>
                <w:instrText xml:space="preserve">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int="eastAsia" w:hAnsi="Arial" w:cs="Times New Roman"/>
              <w:bCs/>
              <w:kern w:val="2"/>
              <w:szCs w:val="21"/>
            </w:rPr>
            <w:alias w:val="公司发生重大事项及对公司经营情况和偿债能力的影响"/>
            <w:tag w:val="_GBC_f72bcfaeadfc4bf2b9fb64b497d2c7ad"/>
            <w:id w:val="6773826"/>
            <w:lock w:val="sdtLocked"/>
            <w:placeholder>
              <w:docPart w:val="GBC22222222222222222222222222222"/>
            </w:placeholder>
          </w:sdtPr>
          <w:sdtEndPr>
            <w:rPr>
              <w:rFonts w:hint="eastAsia" w:hAnsi="Arial" w:cs="Times New Roman"/>
              <w:bCs/>
              <w:kern w:val="2"/>
              <w:szCs w:val="21"/>
            </w:rPr>
          </w:sdtEndPr>
          <w:sdtContent>
            <w:p>
              <w:pPr>
                <w:rPr>
                  <w:u w:val="single"/>
                </w:rPr>
              </w:pPr>
              <w:r>
                <w:rPr>
                  <w:rFonts w:hint="eastAsia" w:cs="Times New Roman"/>
                  <w:kern w:val="2"/>
                </w:rPr>
                <w:t>报告期内，公司未发生《公司债券发行与交易管理办法》第四十五条列示的重大事项。</w:t>
              </w:r>
            </w:p>
          </w:sdtContent>
        </w:sdt>
      </w:sdtContent>
    </w:sdt>
    <w:p>
      <w:pPr>
        <w:rPr>
          <w:u w:val="single"/>
        </w:rPr>
      </w:pPr>
    </w:p>
    <w:p>
      <w:pPr>
        <w:rPr>
          <w:rFonts w:hAnsi="Arial" w:cs="Times New Roman"/>
          <w:bCs/>
          <w:kern w:val="2"/>
          <w:szCs w:val="21"/>
        </w:rPr>
        <w:sectPr>
          <w:pgSz w:w="11906" w:h="16838"/>
          <w:pgMar w:top="1525" w:right="1276" w:bottom="1440" w:left="1797" w:header="851" w:footer="992" w:gutter="0"/>
          <w:cols w:space="425" w:num="1"/>
          <w:docGrid w:linePitch="312" w:charSpace="0"/>
        </w:sectPr>
      </w:pPr>
    </w:p>
    <w:p>
      <w:pPr>
        <w:pStyle w:val="2"/>
        <w:numPr>
          <w:ilvl w:val="0"/>
          <w:numId w:val="2"/>
        </w:numPr>
        <w:rPr>
          <w:rFonts w:ascii="宋体" w:hAnsi="宋体" w:eastAsia="宋体"/>
          <w:bCs w:val="0"/>
          <w:szCs w:val="28"/>
        </w:rPr>
      </w:pPr>
      <w:bookmarkStart w:id="69" w:name="_Toc469563085"/>
      <w:bookmarkStart w:id="70" w:name="_Toc407111364"/>
      <w:r>
        <w:rPr>
          <w:rFonts w:ascii="宋体" w:hAnsi="宋体" w:eastAsia="宋体"/>
          <w:bCs w:val="0"/>
          <w:szCs w:val="28"/>
        </w:rPr>
        <w:t>财务报告</w:t>
      </w:r>
      <w:bookmarkEnd w:id="69"/>
      <w:bookmarkEnd w:id="70"/>
    </w:p>
    <w:sdt>
      <w:sdtPr>
        <w:rPr>
          <w:rFonts w:hint="eastAsia" w:ascii="宋体" w:hAnsi="宋体" w:cs="宋体"/>
          <w:b w:val="0"/>
          <w:bCs w:val="0"/>
          <w:kern w:val="0"/>
          <w:szCs w:val="24"/>
        </w:rPr>
        <w:alias w:val="模块:审计报告"/>
        <w:tag w:val="_GBC_3c4b7d00409449a2b71d41277e7bd042"/>
        <w:id w:val="6773830"/>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54"/>
            </w:numPr>
            <w:rPr>
              <w:rFonts w:ascii="宋体" w:hAnsi="宋体"/>
            </w:rPr>
          </w:pPr>
          <w:r>
            <w:rPr>
              <w:rFonts w:hint="eastAsia"/>
            </w:rPr>
            <w:t>审计</w:t>
          </w:r>
          <w:r>
            <w:rPr>
              <w:rFonts w:hint="eastAsia" w:ascii="宋体" w:hAnsi="宋体"/>
            </w:rPr>
            <w:t>报告</w:t>
          </w:r>
        </w:p>
        <w:sdt>
          <w:sdtPr>
            <w:alias w:val="是否适用：审计报告[双击切换]"/>
            <w:tag w:val="_GBC_8a37b9861aa34a8d89cae86ad0133ffb"/>
            <w:id w:val="677382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审计报告全文"/>
            <w:tag w:val="_GBC_08aaee8d8997491cb4fc7ef77b493e65"/>
            <w:id w:val="6773829"/>
            <w:lock w:val="sdtLocked"/>
            <w:placeholder>
              <w:docPart w:val="GBC22222222222222222222222222222"/>
            </w:placeholder>
          </w:sdtPr>
          <w:sdtEndPr>
            <w:rPr>
              <w:rFonts w:hint="eastAsia"/>
            </w:rPr>
          </w:sdtEndPr>
          <w:sdtContent>
            <w:p>
              <w:pPr>
                <w:jc w:val="right"/>
              </w:pPr>
              <w:r>
                <w:t>CAC证审字[2018]0091号</w:t>
              </w:r>
            </w:p>
            <w:p>
              <w:r>
                <w:rPr>
                  <w:rFonts w:hint="eastAsia"/>
                </w:rPr>
                <w:t>柳州钢铁股份有限公司全体股东：</w:t>
              </w:r>
            </w:p>
            <w:p>
              <w:r>
                <w:rPr>
                  <w:rFonts w:hint="eastAsia"/>
                </w:rPr>
                <w:t>一、审计意见</w:t>
              </w:r>
            </w:p>
            <w:p>
              <w:r>
                <w:rPr>
                  <w:rFonts w:hint="eastAsia"/>
                </w:rPr>
                <w:t>我们审计了柳州钢铁股份有限公司（以下简称柳钢股份）财务报表，包括</w:t>
              </w:r>
              <w:r>
                <w:t>2017年12月31日的资产负债表，2017年度的利润表、现金流量表、股东权益变动表以及相关财务报表附注。</w:t>
              </w:r>
            </w:p>
            <w:p>
              <w:r>
                <w:rPr>
                  <w:rFonts w:hint="eastAsia"/>
                </w:rPr>
                <w:t>我们认为，后附的财务报表在所有重大方面按照企业会计准则的规定编制，公允反映了柳钢股份</w:t>
              </w:r>
              <w:r>
                <w:t>2017年12月31日的财务状况以及2017年度的经营成果和现金流量。</w:t>
              </w:r>
            </w:p>
            <w:p>
              <w:r>
                <w:rPr>
                  <w:rFonts w:hint="eastAsia"/>
                </w:rPr>
                <w:t>二、形成审计意见的基础</w:t>
              </w:r>
            </w:p>
            <w:p>
              <w:r>
                <w:rPr>
                  <w:rFonts w:hint="eastAsia"/>
                </w:rPr>
                <w:t>我们按照中国注册会计师审计准则的规定执行了审计工作。审计报告的“注册会计师对财务报表审计的责任”部分进一步阐述了我们在这些准则下的责任。按照中国注册会计师职业道德守则，我们独立于柳钢股份，并履行了职业道德方面的其他责任。我们相信，我们获取的审计证据是充分、适当的，为发表审计意见提供了基础。</w:t>
              </w:r>
            </w:p>
            <w:p>
              <w:r>
                <w:rPr>
                  <w:rFonts w:hint="eastAsia"/>
                </w:rPr>
                <w:t>三、关键审计事项</w:t>
              </w:r>
            </w:p>
            <w:p>
              <w:r>
                <w:rPr>
                  <w:rFonts w:hint="eastAsia"/>
                </w:rPr>
                <w:t>关键审计事项是我们根据职业判断，认为对本期财务报表审计最为重要的事项。这些事项的应对以对财务报表整体进行审计并形成审计意见为背景，我们不对这些事项单独发表意见。</w:t>
              </w:r>
            </w:p>
            <w:p>
              <w:r>
                <w:rPr>
                  <w:rFonts w:hint="eastAsia"/>
                </w:rPr>
                <w:t>收入的确认</w:t>
              </w:r>
            </w:p>
            <w:p>
              <w:r>
                <w:t>1、事项描述</w:t>
              </w:r>
            </w:p>
            <w:p>
              <w:r>
                <w:rPr>
                  <w:rFonts w:hint="eastAsia"/>
                </w:rPr>
                <w:t>柳钢股份主要销售型材、板材、钢坯、化产品、煤气等。如财务报表附注七、61</w:t>
              </w:r>
              <w:r>
                <w:t>所述，2017年度营业收入为415.57亿元，较上年增长55.93%。由于收入是柳钢股份利润关键指标，管理层在收入确认方面可能存在重大错报风险，因此我们将收入确认作为关键审计事项。</w:t>
              </w:r>
            </w:p>
            <w:p>
              <w:r>
                <w:t>2、审计应对</w:t>
              </w:r>
            </w:p>
            <w:p>
              <w:r>
                <w:rPr>
                  <w:rFonts w:hint="eastAsia"/>
                </w:rPr>
                <w:t>我们针对柳钢股份收入确认所实施的重要审计程序包括：</w:t>
              </w:r>
            </w:p>
            <w:p>
              <w:r>
                <w:rPr>
                  <w:rFonts w:hint="eastAsia"/>
                </w:rPr>
                <w:t>（</w:t>
              </w:r>
              <w:r>
                <w:t>1）了解和评价管理层与收人确认相关的关键内部控制的设计和运行有效性；</w:t>
              </w:r>
            </w:p>
            <w:p>
              <w:r>
                <w:rPr>
                  <w:rFonts w:hint="eastAsia"/>
                </w:rPr>
                <w:t>（</w:t>
              </w:r>
              <w:r>
                <w:t>2）选取样本检查销售合同,识别与商品所有权上的主要风险和报酬转移相关的合同条款与条件,评价公司的收入确认时点是否符合企业会计准则的要求；</w:t>
              </w:r>
            </w:p>
            <w:p>
              <w:r>
                <w:rPr>
                  <w:rFonts w:hint="eastAsia"/>
                </w:rPr>
                <w:t>（</w:t>
              </w:r>
              <w:r>
                <w:t>3）获取本年度销售清单,对本年记录的收入交易选取样本,核对销售合同、发票、出库单等支持性文件进行核对,评价相关收入确认是否符合公司的会计政策；</w:t>
              </w:r>
            </w:p>
            <w:p>
              <w:r>
                <w:rPr>
                  <w:rFonts w:hint="eastAsia"/>
                </w:rPr>
                <w:t>（</w:t>
              </w:r>
              <w:r>
                <w:t>4）比较本期各月收入的波动情况,分析其变动趋势是否正常,查明异常现象和重大波动的原因；</w:t>
              </w:r>
            </w:p>
            <w:p>
              <w:r>
                <w:rPr>
                  <w:rFonts w:hint="eastAsia"/>
                </w:rPr>
                <w:t>（</w:t>
              </w:r>
              <w:r>
                <w:t>5）了解宏观经济和钢铁行业情况，将本期重要产品价格与行业价格对比,检查是否存在异常；</w:t>
              </w:r>
            </w:p>
            <w:p>
              <w:r>
                <w:rPr>
                  <w:rFonts w:hint="eastAsia"/>
                </w:rPr>
                <w:t>（</w:t>
              </w:r>
              <w:r>
                <w:t>6）对重大客户实施函证程序,函证客户应收账款、预收账款余额,同时函证重大客户的本年交易金额；</w:t>
              </w:r>
            </w:p>
            <w:p>
              <w:r>
                <w:rPr>
                  <w:rFonts w:hint="eastAsia"/>
                </w:rPr>
                <w:t>（</w:t>
              </w:r>
              <w:r>
                <w:t>7）调查向关联方销售的情况,记录其交易品种、价格、数量和金额,判断关联方交易价格的公允性；</w:t>
              </w:r>
            </w:p>
            <w:p>
              <w:r>
                <w:rPr>
                  <w:rFonts w:hint="eastAsia"/>
                </w:rPr>
                <w:t>（</w:t>
              </w:r>
              <w:r>
                <w:t>8）对资产负债表日前后记录的收入交易进行截止测试,确认收入是否记录在正确的会计期间。</w:t>
              </w:r>
            </w:p>
            <w:p>
              <w:r>
                <w:rPr>
                  <w:rFonts w:hint="eastAsia"/>
                </w:rPr>
                <w:t>四、其他信息</w:t>
              </w:r>
            </w:p>
            <w:p>
              <w:r>
                <w:rPr>
                  <w:rFonts w:hint="eastAsia"/>
                </w:rPr>
                <w:t>柳钢股份管理层（以下简称管理层）对其他信息负责。其他信息包括柳钢股份</w:t>
              </w:r>
              <w:r>
                <w:t>2017年度报告中涵盖的信息，但不包括财务报表和我们的审计报告。</w:t>
              </w:r>
            </w:p>
            <w:p>
              <w:r>
                <w:rPr>
                  <w:rFonts w:hint="eastAsia"/>
                </w:rPr>
                <w:t>我们对财务报表发表的审计意见并不涵盖其他信息，我们也不对其他信息发表任何形式的鉴证结论。</w:t>
              </w:r>
            </w:p>
            <w:p>
              <w:r>
                <w:rPr>
                  <w:rFonts w:hint="eastAsia"/>
                </w:rPr>
                <w:t>结合我们对财务报表的审计，我们的责任是阅读其他信息，在此过程中，考虑其他信息是否与财务报表或我们在审计过程中了解到的情况存在重大不一致或者似乎存在重大错报。</w:t>
              </w:r>
            </w:p>
            <w:p>
              <w:r>
                <w:rPr>
                  <w:rFonts w:hint="eastAsia"/>
                </w:rPr>
                <w:t>基于我们已经执行的工作，如果我们确定其他信息存在重大错报，我们应当报告该事项。在这方面，我们无任何事项需要报告。</w:t>
              </w:r>
            </w:p>
            <w:p>
              <w:r>
                <w:rPr>
                  <w:rFonts w:hint="eastAsia"/>
                </w:rPr>
                <w:t>五、管理层和治理层对财务报表的责任</w:t>
              </w:r>
            </w:p>
            <w:p>
              <w:r>
                <w:rPr>
                  <w:rFonts w:hint="eastAsia"/>
                </w:rPr>
                <w:t>管理层负责按照企业会计准则的规定编制财务报表，使其实现公允反映，并设计、执行和维护必要的内部控制，以使财务报表不存在由于舞弊或错误导致的重大错报。</w:t>
              </w:r>
            </w:p>
            <w:p>
              <w:r>
                <w:rPr>
                  <w:rFonts w:hint="eastAsia"/>
                </w:rPr>
                <w:t>在编制财务报表时，管理层负责评估柳钢股份的持续经营能力，披露与持续经营相关的事项（如适用），并运用持续经营假设，除非管理层计划进行清算、终止运营或别无其他现实的选择。</w:t>
              </w:r>
            </w:p>
            <w:p>
              <w:r>
                <w:rPr>
                  <w:rFonts w:hint="eastAsia"/>
                </w:rPr>
                <w:t>治理层负责监督柳钢股份的财务报告过程。</w:t>
              </w:r>
            </w:p>
            <w:p>
              <w:r>
                <w:rPr>
                  <w:rFonts w:hint="eastAsia"/>
                </w:rPr>
                <w:t>六、注册会计师对财务报表审计的责任</w:t>
              </w:r>
            </w:p>
            <w:p>
              <w:r>
                <w:rPr>
                  <w:rFonts w:hint="eastAsia"/>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
                <w:rPr>
                  <w:rFonts w:hint="eastAsia"/>
                </w:rPr>
                <w:t>在按照审计准则执行审计工作的过程中，我们运用职业判断，并保持职业怀疑。同时，我们也执行以下工作：</w:t>
              </w:r>
            </w:p>
            <w:p>
              <w:r>
                <w:rPr>
                  <w:rFonts w:hint="eastAsia"/>
                </w:rPr>
                <w:t>（</w:t>
              </w:r>
              <w:r>
                <w:t>1）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
                <w:rPr>
                  <w:rFonts w:hint="eastAsia"/>
                </w:rPr>
                <w:t>（</w:t>
              </w:r>
              <w:r>
                <w:t>2）了解与审计相关的内部控制，以设计恰当的审计程序。</w:t>
              </w:r>
            </w:p>
            <w:p>
              <w:r>
                <w:rPr>
                  <w:rFonts w:hint="eastAsia"/>
                </w:rPr>
                <w:t>（</w:t>
              </w:r>
              <w:r>
                <w:t>3）评价管理层选用会计政策的恰当性和作出会计估计及相关披露的合理性。</w:t>
              </w:r>
            </w:p>
            <w:p>
              <w:r>
                <w:rPr>
                  <w:rFonts w:hint="eastAsia"/>
                </w:rPr>
                <w:t>（</w:t>
              </w:r>
              <w:r>
                <w:t>4）对管理层使用持续经营假设的恰当性得出结论。同时，根据获取的审计证据，就可能导致对柳钢股份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柳钢股份不能持续经营。</w:t>
              </w:r>
            </w:p>
            <w:p>
              <w:r>
                <w:rPr>
                  <w:rFonts w:hint="eastAsia"/>
                </w:rPr>
                <w:t>（</w:t>
              </w:r>
              <w:r>
                <w:t>5）评价财务报表的总体列报、结构和内容（包括披露），并评价财务报表是否公允反映相关交易和事项。</w:t>
              </w:r>
            </w:p>
            <w:p>
              <w:r>
                <w:rPr>
                  <w:rFonts w:hint="eastAsia"/>
                </w:rPr>
                <w:t>我们与治理层就计划的审计范围、时间安排和重大审计发现等事项进行沟通，包括沟通我们在审计中识别出的值得关注的内部控制缺陷。</w:t>
              </w:r>
            </w:p>
            <w:p>
              <w:r>
                <w:rPr>
                  <w:rFonts w:hint="eastAsia"/>
                </w:rPr>
                <w:t>我们还就已遵守与独立性相关的职业道德要求向治理层提供声明，并与治理层沟通可能被合理认为影响我们独立性的所有关系和其他事项，以及相关的防范措施（如适用）。</w:t>
              </w:r>
            </w:p>
            <w:p>
              <w:r>
                <w:rPr>
                  <w:rFonts w:hint="eastAsia"/>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pPr>
                <w:jc w:val="right"/>
              </w:pPr>
              <w:r>
                <w:rPr>
                  <w:rFonts w:hint="eastAsia"/>
                </w:rPr>
                <w:t>中审华会计师事务所（特殊普通合伙）</w:t>
              </w:r>
              <w:r>
                <w:tab/>
              </w:r>
              <w:r>
                <w:tab/>
              </w:r>
              <w:r>
                <w:t xml:space="preserve">   中国注册会计师：</w:t>
              </w:r>
              <w:r>
                <w:rPr>
                  <w:rFonts w:hint="eastAsia"/>
                </w:rPr>
                <w:t>刘文俊</w:t>
              </w:r>
            </w:p>
            <w:p>
              <w:pPr>
                <w:jc w:val="right"/>
              </w:pPr>
              <w:r>
                <w:tab/>
              </w:r>
              <w:r>
                <w:tab/>
              </w:r>
              <w:r>
                <w:tab/>
              </w:r>
              <w:r>
                <w:tab/>
              </w:r>
              <w:r>
                <w:tab/>
              </w:r>
              <w:r>
                <w:t xml:space="preserve">       （项目合伙人）</w:t>
              </w:r>
            </w:p>
            <w:p>
              <w:pPr>
                <w:jc w:val="right"/>
              </w:pPr>
            </w:p>
            <w:p>
              <w:pPr>
                <w:jc w:val="right"/>
              </w:pPr>
              <w:r>
                <w:rPr>
                  <w:rFonts w:hint="eastAsia"/>
                </w:rPr>
                <w:t>中国注册会计师：宁昌华</w:t>
              </w:r>
            </w:p>
            <w:p>
              <w:pPr>
                <w:jc w:val="right"/>
              </w:pPr>
            </w:p>
            <w:p>
              <w:pPr>
                <w:jc w:val="right"/>
              </w:pPr>
              <w:r>
                <w:rPr>
                  <w:rFonts w:hint="eastAsia"/>
                </w:rPr>
                <w:t>中国</w:t>
              </w:r>
              <w:r>
                <w:t xml:space="preserve">  天津 </w:t>
              </w:r>
              <w:r>
                <w:tab/>
              </w:r>
              <w:r>
                <w:tab/>
              </w:r>
              <w:r>
                <w:tab/>
              </w:r>
              <w:r>
                <w:tab/>
              </w:r>
              <w:r>
                <w:tab/>
              </w:r>
              <w:r>
                <w:tab/>
              </w:r>
              <w:r>
                <w:t>二○一八年四月九日</w:t>
              </w:r>
            </w:p>
          </w:sdtContent>
        </w:sdt>
      </w:sdtContent>
    </w:sdt>
    <w:p/>
    <w:p>
      <w:pPr>
        <w:pStyle w:val="3"/>
        <w:numPr>
          <w:ilvl w:val="0"/>
          <w:numId w:val="54"/>
        </w:numPr>
        <w:rPr>
          <w:rFonts w:ascii="宋体" w:hAnsi="宋体"/>
        </w:rPr>
      </w:pPr>
      <w:r>
        <w:rPr>
          <w:rFonts w:hint="eastAsia" w:ascii="宋体" w:hAnsi="宋体"/>
        </w:rPr>
        <w:t>财务报表</w:t>
      </w:r>
    </w:p>
    <w:sdt>
      <w:sdtPr>
        <w:rPr>
          <w:szCs w:val="21"/>
        </w:rPr>
        <w:tag w:val="_GBC_1503eb297d3448c582e8e9dc7031b2c7"/>
        <w:id w:val="6773919"/>
        <w:lock w:val="sdtLocked"/>
        <w:placeholder>
          <w:docPart w:val="GBC22222222222222222222222222222"/>
        </w:placeholder>
      </w:sdtPr>
      <w:sdtEndPr>
        <w:rPr>
          <w:szCs w:val="21"/>
        </w:rPr>
      </w:sdtEndPr>
      <w:sdtContent>
        <w:p>
          <w:pPr>
            <w:snapToGrid w:val="0"/>
            <w:spacing w:line="240" w:lineRule="atLeast"/>
            <w:jc w:val="center"/>
            <w:outlineLvl w:val="2"/>
            <w:rPr>
              <w:b/>
              <w:szCs w:val="21"/>
            </w:rPr>
          </w:pPr>
          <w:r>
            <w:rPr>
              <w:rFonts w:hint="eastAsia"/>
              <w:b/>
              <w:szCs w:val="21"/>
            </w:rPr>
            <w:t>资产负债表</w:t>
          </w:r>
        </w:p>
        <w:p>
          <w:pPr>
            <w:snapToGrid w:val="0"/>
            <w:spacing w:line="240" w:lineRule="atLeast"/>
            <w:jc w:val="center"/>
            <w:rPr>
              <w:b/>
              <w:szCs w:val="21"/>
            </w:rPr>
          </w:pPr>
          <w:r>
            <w:rPr>
              <w:szCs w:val="21"/>
            </w:rPr>
            <w:t>201</w:t>
          </w:r>
          <w:r>
            <w:rPr>
              <w:rFonts w:hint="eastAsia"/>
              <w:szCs w:val="21"/>
            </w:rPr>
            <w:t>7</w:t>
          </w:r>
          <w:r>
            <w:rPr>
              <w:szCs w:val="21"/>
            </w:rPr>
            <w:t>年</w:t>
          </w:r>
          <w:r>
            <w:rPr>
              <w:rFonts w:hint="eastAsia"/>
              <w:szCs w:val="21"/>
            </w:rPr>
            <w:t>12</w:t>
          </w:r>
          <w:r>
            <w:rPr>
              <w:szCs w:val="21"/>
            </w:rPr>
            <w:t>月3</w:t>
          </w:r>
          <w:r>
            <w:rPr>
              <w:rFonts w:hint="eastAsia"/>
              <w:szCs w:val="21"/>
            </w:rPr>
            <w:t>1</w:t>
          </w:r>
          <w:r>
            <w:rPr>
              <w:szCs w:val="21"/>
            </w:rPr>
            <w:t>日</w:t>
          </w:r>
        </w:p>
        <w:p>
          <w:pPr>
            <w:rPr>
              <w:szCs w:val="21"/>
            </w:rPr>
          </w:pPr>
          <w:r>
            <w:rPr>
              <w:szCs w:val="21"/>
            </w:rPr>
            <w:t xml:space="preserve">编制单位: </w:t>
          </w:r>
          <w:sdt>
            <w:sdtPr>
              <w:rPr>
                <w:szCs w:val="21"/>
              </w:rPr>
              <w:alias w:val="公司法定中文名称"/>
              <w:tag w:val="_GBC_ca007c517fec4710928b9ee43c847e8b"/>
              <w:id w:val="6773831"/>
              <w:lock w:val="sdtLocked"/>
              <w:text/>
            </w:sdtPr>
            <w:sdtEndPr>
              <w:rPr>
                <w:szCs w:val="21"/>
              </w:rPr>
            </w:sdtEndPr>
            <w:sdtContent>
              <w:r>
                <w:rPr>
                  <w:rFonts w:hint="eastAsia"/>
                  <w:szCs w:val="21"/>
                </w:rPr>
                <w:t>柳州钢铁股份有限公司</w:t>
              </w:r>
            </w:sdtContent>
          </w:sdt>
        </w:p>
        <w:p>
          <w:pPr>
            <w:jc w:val="right"/>
            <w:rPr>
              <w:szCs w:val="21"/>
            </w:rPr>
          </w:pPr>
          <w:r>
            <w:rPr>
              <w:szCs w:val="21"/>
            </w:rPr>
            <w:t>单位:</w:t>
          </w:r>
          <w:sdt>
            <w:sdtPr>
              <w:rPr>
                <w:szCs w:val="21"/>
              </w:rPr>
              <w:alias w:val="单位：母公司资产负债表"/>
              <w:tag w:val="_GBC_93410f9f0f51403686d6c566dbb4be50"/>
              <w:id w:val="6773832"/>
              <w:lock w:val="sdtLocked"/>
              <w:comboBox>
                <w:listItem w:displayText="元" w:value="1"/>
                <w:listItem w:displayText="千元" w:value="1000"/>
                <w:listItem w:displayText="万元" w:value="10000"/>
                <w:listItem w:displayText="百万元" w:value="1000000"/>
                <w:listItem w:displayText="亿元" w:value="100000000"/>
              </w:comboBox>
            </w:sdtPr>
            <w:sdtEndPr>
              <w:rPr>
                <w:szCs w:val="21"/>
              </w:rPr>
            </w:sdtEndPr>
            <w:sdtContent>
              <w:r>
                <w:rPr>
                  <w:rFonts w:hint="eastAsia"/>
                  <w:szCs w:val="21"/>
                </w:rPr>
                <w:t>元</w:t>
              </w:r>
            </w:sdtContent>
          </w:sdt>
          <w:r>
            <w:rPr>
              <w:szCs w:val="21"/>
            </w:rPr>
            <w:t xml:space="preserve">  币种:</w:t>
          </w:r>
          <w:sdt>
            <w:sdtPr>
              <w:rPr>
                <w:szCs w:val="21"/>
              </w:rPr>
              <w:alias w:val="币种：母公司资产负债表"/>
              <w:tag w:val="_GBC_03019b8a6970478d9879831b9f35ad89"/>
              <w:id w:val="677383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994"/>
            <w:gridCol w:w="256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c1709b5e7202442ba9dd3a9bfb56b036"/>
                <w:id w:val="1774967027"/>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jc w:val="center"/>
                      <w:rPr>
                        <w:b/>
                        <w:szCs w:val="21"/>
                      </w:rPr>
                    </w:pPr>
                    <w:r>
                      <w:rPr>
                        <w:b/>
                        <w:szCs w:val="21"/>
                      </w:rPr>
                      <w:t>项目</w:t>
                    </w:r>
                  </w:p>
                </w:tc>
              </w:sdtContent>
            </w:sdt>
            <w:sdt>
              <w:sdtPr>
                <w:tag w:val="_PLD_c280f5b99d5f4ed38548b274be4e1fd6"/>
                <w:id w:val="1542168561"/>
                <w:lock w:val="sdtLocked"/>
              </w:sdtPr>
              <w:sdtContent>
                <w:tc>
                  <w:tcPr>
                    <w:tcW w:w="994" w:type="dxa"/>
                    <w:tcBorders>
                      <w:top w:val="outset" w:color="auto" w:sz="6" w:space="0"/>
                      <w:left w:val="outset" w:color="auto" w:sz="6" w:space="0"/>
                      <w:bottom w:val="outset" w:color="auto" w:sz="6" w:space="0"/>
                      <w:right w:val="outset" w:color="auto" w:sz="6" w:space="0"/>
                    </w:tcBorders>
                    <w:vAlign w:val="center"/>
                  </w:tcPr>
                  <w:p>
                    <w:pPr>
                      <w:jc w:val="center"/>
                      <w:rPr>
                        <w:b/>
                        <w:szCs w:val="21"/>
                      </w:rPr>
                    </w:pPr>
                    <w:r>
                      <w:rPr>
                        <w:rFonts w:hint="eastAsia"/>
                        <w:b/>
                        <w:szCs w:val="21"/>
                      </w:rPr>
                      <w:t>附注</w:t>
                    </w:r>
                  </w:p>
                </w:tc>
              </w:sdtContent>
            </w:sdt>
            <w:sdt>
              <w:sdtPr>
                <w:tag w:val="_PLD_10673f1dd17b433a9710c16e3ba886ed"/>
                <w:id w:val="1294415536"/>
                <w:lock w:val="sdtLocked"/>
              </w:sdtPr>
              <w:sdtContent>
                <w:tc>
                  <w:tcPr>
                    <w:tcW w:w="2561" w:type="dxa"/>
                    <w:tcBorders>
                      <w:top w:val="outset" w:color="auto" w:sz="6" w:space="0"/>
                      <w:left w:val="outset" w:color="auto" w:sz="6" w:space="0"/>
                      <w:bottom w:val="outset" w:color="auto" w:sz="6" w:space="0"/>
                      <w:right w:val="outset" w:color="auto" w:sz="6" w:space="0"/>
                    </w:tcBorders>
                    <w:vAlign w:val="center"/>
                  </w:tcPr>
                  <w:p>
                    <w:pPr>
                      <w:jc w:val="center"/>
                      <w:rPr>
                        <w:b/>
                        <w:szCs w:val="21"/>
                      </w:rPr>
                    </w:pPr>
                    <w:r>
                      <w:rPr>
                        <w:b/>
                        <w:szCs w:val="21"/>
                      </w:rPr>
                      <w:t>期末余额</w:t>
                    </w:r>
                  </w:p>
                </w:tc>
              </w:sdtContent>
            </w:sdt>
            <w:sdt>
              <w:sdtPr>
                <w:tag w:val="_PLD_10460fff6dd4415dae559f0f4c244c6f"/>
                <w:id w:val="1359393309"/>
                <w:lock w:val="sdtLocked"/>
              </w:sdtPr>
              <w:sdtContent>
                <w:tc>
                  <w:tcPr>
                    <w:tcW w:w="2409" w:type="dxa"/>
                    <w:tcBorders>
                      <w:top w:val="outset" w:color="auto" w:sz="6" w:space="0"/>
                      <w:left w:val="outset" w:color="auto" w:sz="6" w:space="0"/>
                      <w:bottom w:val="outset" w:color="auto" w:sz="6" w:space="0"/>
                      <w:right w:val="outset" w:color="auto" w:sz="6" w:space="0"/>
                    </w:tcBorders>
                    <w:vAlign w:val="center"/>
                  </w:tcPr>
                  <w:p>
                    <w:pPr>
                      <w:jc w:val="center"/>
                      <w:rPr>
                        <w:b/>
                        <w:szCs w:val="21"/>
                      </w:rPr>
                    </w:pPr>
                    <w:r>
                      <w:rPr>
                        <w:rFonts w:hint="eastAsia"/>
                        <w:b/>
                        <w:szCs w:val="21"/>
                      </w:rPr>
                      <w:t>期</w:t>
                    </w:r>
                    <w:r>
                      <w:rPr>
                        <w:b/>
                        <w:szCs w:val="21"/>
                      </w:rPr>
                      <w:t>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74b3c6e0ea94f0bb52857606283508f"/>
                <w:id w:val="1435088320"/>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rPr>
                        <w:szCs w:val="21"/>
                      </w:rPr>
                    </w:pPr>
                    <w:r>
                      <w:rPr>
                        <w:rFonts w:hint="eastAsia"/>
                        <w:b/>
                        <w:bCs/>
                        <w:szCs w:val="21"/>
                      </w:rPr>
                      <w:t>流动资产：</w:t>
                    </w:r>
                  </w:p>
                </w:tc>
              </w:sdtContent>
            </w:sdt>
            <w:tc>
              <w:tcPr>
                <w:tcW w:w="5964" w:type="dxa"/>
                <w:gridSpan w:val="3"/>
                <w:tcBorders>
                  <w:top w:val="outset" w:color="auto" w:sz="6" w:space="0"/>
                  <w:left w:val="outset" w:color="auto" w:sz="6" w:space="0"/>
                  <w:bottom w:val="outset" w:color="auto" w:sz="6" w:space="0"/>
                  <w:right w:val="outset" w:color="auto" w:sz="6"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e0ff79d14ad47d3a3b14a94a283f45a"/>
                <w:id w:val="-461808260"/>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货币资金</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七</w:t>
                </w:r>
                <w:r>
                  <w:t>(1)</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3,114,641,377.27</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1,297,008,843.73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974f253bc324029bd63e64a9704d51f"/>
                <w:id w:val="-1499573472"/>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以公允价值计量且其变动计入当期损益的金融资产</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七</w:t>
                </w:r>
                <w:r>
                  <w:t>(2)</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27,568,000.00</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26,562,400.00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763971decce4ed1b220d82cdf9a022b"/>
                <w:id w:val="1138303183"/>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衍生金融资产</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7a4a0cda9534ef5abf4a2da1cd5a355"/>
                <w:id w:val="918963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应收票据</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七</w:t>
                </w:r>
                <w:r>
                  <w:t>(4)</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3,929,185,370.91</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2,121,826,982.14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f711ca8d63c406cac931a98df050ba4"/>
                <w:id w:val="1579097168"/>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应收账款</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七</w:t>
                </w:r>
                <w:r>
                  <w:t>(5)</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238,631,759.70</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179,488,775.83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e5eda12f96046339bacef99815bc038"/>
                <w:id w:val="172123548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预付款项</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七</w:t>
                </w:r>
                <w:r>
                  <w:t>(6)</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745,043,260.62</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1,321,622,253.81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37b026d7e6b43fdb1edce594255777a"/>
                <w:id w:val="-2096082755"/>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应收利息</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          </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cd84caad4e546c799f856241c919257"/>
                <w:id w:val="-1284955746"/>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应收股利</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14fccd16999481cbb7322b297019e98"/>
                <w:id w:val="63155057"/>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其他应收款</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七</w:t>
                </w:r>
                <w:r>
                  <w:t>(9)</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10,414,095.60</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23,552,424.16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0bd4022355947cfa3a06e31496e4f08"/>
                <w:id w:val="1612470300"/>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存货</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七</w:t>
                </w:r>
                <w:r>
                  <w:t>(10)</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4,769,405,443.91</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5,308,084,718.09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203d849f3634c08ada32897101fce72"/>
                <w:id w:val="-2039802320"/>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持有待售资产</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5c922ddd8db4ea6a7cc8e60ec33b8a1"/>
                <w:id w:val="-193041890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一年内到期的非流动资产</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483136e9d6b4b83aaf862131859447e"/>
                <w:id w:val="-81904060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其他流动资产</w:t>
                    </w:r>
                  </w:p>
                </w:tc>
              </w:sdtContent>
            </w:sdt>
            <w:tc>
              <w:tcPr>
                <w:tcW w:w="994" w:type="dxa"/>
                <w:tcBorders>
                  <w:top w:val="outset" w:color="auto" w:sz="6" w:space="0"/>
                  <w:left w:val="outset" w:color="auto" w:sz="6" w:space="0"/>
                  <w:bottom w:val="outset" w:color="auto" w:sz="6" w:space="0"/>
                  <w:right w:val="outset" w:color="auto" w:sz="6" w:space="0"/>
                </w:tcBorders>
              </w:tcPr>
              <w:p>
                <w:r>
                  <w:rPr>
                    <w:rFonts w:hint="eastAsia"/>
                  </w:rPr>
                  <w:t>七</w:t>
                </w:r>
                <w:r>
                  <w:t>(13)</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205,029.12</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26,885,658.11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fe315932f584921a0889bae04b4420a"/>
                <w:id w:val="-395356861"/>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420" w:firstLineChars="200"/>
                      <w:rPr>
                        <w:szCs w:val="21"/>
                      </w:rPr>
                    </w:pPr>
                    <w:r>
                      <w:rPr>
                        <w:rFonts w:hint="eastAsia"/>
                        <w:szCs w:val="21"/>
                      </w:rPr>
                      <w:t>流动资产合计</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12,835,094,337.13</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10,305,032,055.87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70f24e311d34d0bad691793ec4775b7"/>
                <w:id w:val="123003041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rPr>
                        <w:szCs w:val="21"/>
                      </w:rPr>
                    </w:pPr>
                    <w:r>
                      <w:rPr>
                        <w:rFonts w:hint="eastAsia"/>
                        <w:b/>
                        <w:bCs/>
                        <w:szCs w:val="21"/>
                      </w:rPr>
                      <w:t>非流动资产：</w:t>
                    </w:r>
                  </w:p>
                </w:tc>
              </w:sdtContent>
            </w:sdt>
            <w:tc>
              <w:tcPr>
                <w:tcW w:w="5964" w:type="dxa"/>
                <w:gridSpan w:val="3"/>
                <w:tcBorders>
                  <w:top w:val="outset" w:color="auto" w:sz="6" w:space="0"/>
                  <w:left w:val="outset" w:color="auto" w:sz="6" w:space="0"/>
                  <w:bottom w:val="outset" w:color="auto" w:sz="6" w:space="0"/>
                  <w:right w:val="outset" w:color="auto" w:sz="6" w:space="0"/>
                </w:tcBorders>
              </w:tcPr>
              <w:p>
                <w:pPr>
                  <w:rPr>
                    <w:color w:val="008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6cf3612790e4f9b864e620f676169f0"/>
                <w:id w:val="-936059162"/>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可供出售金融资产</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f346047c09648d692b03ad9bf00fd22"/>
                <w:id w:val="-194189694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持有至到期投资</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6c4cae684e44be7b4f0dfadca7b353b"/>
                <w:id w:val="1281606761"/>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长期应收款</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af7ceda25b4417bd50d128b2de27f9"/>
                <w:id w:val="1597745820"/>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长期股权投资</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rPr>
                    <w:rFonts w:hint="eastAsia"/>
                    <w:szCs w:val="21"/>
                  </w:rPr>
                  <w:t>七</w:t>
                </w:r>
                <w:r>
                  <w:rPr>
                    <w:szCs w:val="21"/>
                  </w:rPr>
                  <w:t>(1</w:t>
                </w:r>
                <w:r>
                  <w:rPr>
                    <w:rFonts w:hint="eastAsia"/>
                    <w:szCs w:val="21"/>
                  </w:rPr>
                  <w:t>7</w:t>
                </w:r>
                <w:r>
                  <w:rPr>
                    <w:szCs w:val="21"/>
                  </w:rPr>
                  <w:t>)</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400,186.44</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8ced7cefc50413db1a41f6f5bc6b64a"/>
                <w:id w:val="2041698006"/>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投资性房地产</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817033e114f478e80f290965c72efc4"/>
                <w:id w:val="792412948"/>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固定资产</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七(19)</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9,775,048,627.82</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10,089,641,805.84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2863effe70d4ca7a131a875a8a9352f"/>
                <w:id w:val="-1456174465"/>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在建工程</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七(20)</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382,873,336.34</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244,644,201.03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eca713acb384146b0b48c3f3721f70b"/>
                <w:id w:val="-169191266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工程物资</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七(21)</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15,861,244.81</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27,873,329.70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e5aed3626a442ee96e515688bd1497a"/>
                <w:id w:val="121014767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固定资产清理</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a046b8ecbcd4a66abfb4c689d05442b"/>
                <w:id w:val="-181370046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生产性生物资产</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958284da1f541ab953d8f08f326daab"/>
                <w:id w:val="2133289275"/>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油气资产</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6a5c6cea70b47b5a693e7b8007043ff"/>
                <w:id w:val="126542094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无形资产</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11,245,209.38</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6857a3557f74158b45a5b94a3744dfe"/>
                <w:id w:val="272523112"/>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开发支出</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35fb30d7aef4d05bcecd2b03396c51c"/>
                <w:id w:val="187680784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商誉</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b71a9330b46400992c507a61b218dca"/>
                <w:id w:val="-1798596391"/>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长期待摊费用</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12a6a8c5d9d45e68cb2f1401f091803"/>
                <w:id w:val="227433083"/>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递延所得税资产</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rPr>
                    <w:rFonts w:hint="eastAsia"/>
                    <w:szCs w:val="21"/>
                  </w:rPr>
                  <w:t>七（29.1）</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53,394,303.31</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144,711,486.50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cc2cfd4832246f2a9b87f0a2c45e37f"/>
                <w:id w:val="1911189336"/>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其他非流动资产</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8701538fa284138b751d266f06b6ff5"/>
                <w:id w:val="-409465237"/>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420" w:firstLineChars="200"/>
                      <w:rPr>
                        <w:szCs w:val="21"/>
                      </w:rPr>
                    </w:pPr>
                    <w:r>
                      <w:rPr>
                        <w:rFonts w:hint="eastAsia"/>
                        <w:szCs w:val="21"/>
                      </w:rPr>
                      <w:t>非流动资产合计</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10,238,822,908.10</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10,506,870,823.07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c35a83490ec40e3be40b54172764778"/>
                <w:id w:val="1848743301"/>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资产总计</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23,073,917,245.23</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20,811,902,878.94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0fdb1496c1644e8815384acb1dad11d"/>
                <w:id w:val="2070301992"/>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rPr>
                        <w:szCs w:val="21"/>
                      </w:rPr>
                    </w:pPr>
                    <w:r>
                      <w:rPr>
                        <w:rFonts w:hint="eastAsia"/>
                        <w:b/>
                        <w:bCs/>
                        <w:szCs w:val="21"/>
                      </w:rPr>
                      <w:t>流动负债：</w:t>
                    </w:r>
                  </w:p>
                </w:tc>
              </w:sdtContent>
            </w:sdt>
            <w:tc>
              <w:tcPr>
                <w:tcW w:w="5964" w:type="dxa"/>
                <w:gridSpan w:val="3"/>
                <w:tcBorders>
                  <w:top w:val="outset" w:color="auto" w:sz="6" w:space="0"/>
                  <w:left w:val="outset" w:color="auto" w:sz="6" w:space="0"/>
                  <w:bottom w:val="outset" w:color="auto" w:sz="6" w:space="0"/>
                  <w:right w:val="outset" w:color="auto" w:sz="6" w:space="0"/>
                </w:tcBorders>
              </w:tcPr>
              <w:p>
                <w:pPr>
                  <w:rPr>
                    <w:color w:val="008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sdt>
              <w:sdtPr>
                <w:tag w:val="_PLD_e0ee054921b245408109d0e2454a9551"/>
                <w:id w:val="128153488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短期借款</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rPr>
                    <w:rFonts w:hint="eastAsia"/>
                    <w:szCs w:val="21"/>
                  </w:rPr>
                  <w:t>七</w:t>
                </w:r>
                <w:r>
                  <w:rPr>
                    <w:szCs w:val="21"/>
                  </w:rPr>
                  <w:t>(31)</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6,720,875,922.89</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8,831,544,830.79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04ab0518a9e417f9b112cd925dbd5b8"/>
                <w:id w:val="447753241"/>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以公允价值计量且其变动计入当期损益的金融负债</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beb756e5c6c4109af145438b21a7347"/>
                <w:id w:val="337968018"/>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衍生金融负债</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a675eb055a34bf5aeaf6b0151a48d5d"/>
                <w:id w:val="183078961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应付票据</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七(34)</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2,376,200,000.00</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1,170,790,000.00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018a42561e7482ca3f52f2ef47e9bf6"/>
                <w:id w:val="-210170617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应付账款</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七(35)</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3,251,525,630.78</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3,586,818,425.26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a32179613024460a4072fa2d4ea3ca8"/>
                <w:id w:val="-1433506246"/>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预收款项</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七(36)</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1,117,601,244.18</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499,328,466.87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c0498e2d2a04a5dbd6b36cb80f5726b"/>
                <w:id w:val="140770955"/>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应付职工薪酬</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七(37)</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82,850,795.71</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77,595,316.04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7b3d059cbb54a49b5b98bd62f8b463b"/>
                <w:id w:val="-1772700545"/>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应交税费</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七(38)</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510,324,260.62</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132,485,416.45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c1e8b84b695478fa647447187c24447"/>
                <w:id w:val="-939758785"/>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应付利息</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七(39)</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26,954,804.80</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29,079,648.59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e0fbd22eeee4b4a92a4d4f88d2aa2a8"/>
                <w:id w:val="-176953279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应付股利</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                         -  </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3377bcb397c47008231ba5d22ba0543"/>
                <w:id w:val="100863456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其他应付款</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七(41)</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196,886,335.22</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162,423,283.99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fb7817499274491a7733530aaa0c0dd"/>
                <w:id w:val="-649973591"/>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持有待售负债</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0df2ab2a5a8415b86887accbd2ca7db"/>
                <w:id w:val="646256498"/>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一年内到期的非流动负债</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七(43)</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1,091,004,800.00</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67,000,000.00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5223c4205e9459fb17448b336b64ba3"/>
                <w:id w:val="-1348249820"/>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其他流动负债</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f2e03d196c341cbaeb151ee1828dec2"/>
                <w:id w:val="126287515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420" w:firstLineChars="200"/>
                      <w:rPr>
                        <w:szCs w:val="21"/>
                      </w:rPr>
                    </w:pPr>
                    <w:r>
                      <w:rPr>
                        <w:rFonts w:hint="eastAsia"/>
                        <w:szCs w:val="21"/>
                      </w:rPr>
                      <w:t>流动负债合计</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vAlign w:val="center"/>
              </w:tcPr>
              <w:p>
                <w:pPr>
                  <w:jc w:val="right"/>
                  <w:rPr>
                    <w:szCs w:val="21"/>
                  </w:rPr>
                </w:pPr>
                <w:r>
                  <w:t>15,374,223,794.2</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14,557,065,387.99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9182755c34e4d338ecdc95f1a89b654"/>
                <w:id w:val="121810856"/>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rPr>
                        <w:szCs w:val="21"/>
                      </w:rPr>
                    </w:pPr>
                    <w:r>
                      <w:rPr>
                        <w:rFonts w:hint="eastAsia"/>
                        <w:b/>
                        <w:bCs/>
                        <w:szCs w:val="21"/>
                      </w:rPr>
                      <w:t>非流动负债：</w:t>
                    </w:r>
                  </w:p>
                </w:tc>
              </w:sdtContent>
            </w:sdt>
            <w:tc>
              <w:tcPr>
                <w:tcW w:w="5964" w:type="dxa"/>
                <w:gridSpan w:val="3"/>
                <w:tcBorders>
                  <w:top w:val="outset" w:color="auto" w:sz="6" w:space="0"/>
                  <w:left w:val="outset" w:color="auto" w:sz="6" w:space="0"/>
                  <w:bottom w:val="outset" w:color="auto" w:sz="6" w:space="0"/>
                  <w:right w:val="outset" w:color="auto" w:sz="6" w:space="0"/>
                </w:tcBorders>
              </w:tcPr>
              <w:p>
                <w:pPr>
                  <w:rPr>
                    <w:color w:val="008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ac0bf1d4e39419f809b6a2b91900dc9"/>
                <w:id w:val="85993398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长期借款</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七(45)</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        </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1,116,728,000.00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680d5ca4e134504bf319efa84d1d5e0"/>
                <w:id w:val="550585625"/>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应付债券</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七(46)</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424,057,411.28</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423,075,398.24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f19e761a11a45c3952e8558f6a58d4f"/>
                <w:id w:val="33912780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其中：优先股</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7950e051bfd4adead13098a30ae2cbc"/>
                <w:id w:val="-1095091598"/>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840" w:firstLineChars="400"/>
                      <w:rPr>
                        <w:szCs w:val="21"/>
                      </w:rPr>
                    </w:pPr>
                    <w:r>
                      <w:rPr>
                        <w:rFonts w:hint="eastAsia"/>
                        <w:szCs w:val="21"/>
                      </w:rPr>
                      <w:t>永续债</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f699f1af06c4009912d032ca263c4d3"/>
                <w:id w:val="1786618750"/>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长期应付款</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vAlign w:val="center"/>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8c93a2a2e4641cf889f5f2de4893aaa"/>
                <w:id w:val="-214372065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长期应付职工薪酬</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56a3919094547248127bebfd1580993"/>
                <w:id w:val="-1457555292"/>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专项应付款</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3052db6596345b99932b81b419088be"/>
                <w:id w:val="-2012672555"/>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预计负债</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25453d4ca604cfb96088aba6efd41da"/>
                <w:id w:val="-360984986"/>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递延收益</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七(51)</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76,438,107.61</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79,949,845.21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4b8ffb1cebf411dbb31c01cc1002012"/>
                <w:id w:val="2082943828"/>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递延所得税负债</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七(29.2)</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          </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179,669.51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07be4938a384666a9ac4a3978a271ab"/>
                <w:id w:val="2038078017"/>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其他非流动负债</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57c22a39f7f44e4894456bbd56d663f"/>
                <w:id w:val="287551811"/>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420" w:firstLineChars="200"/>
                      <w:rPr>
                        <w:szCs w:val="21"/>
                      </w:rPr>
                    </w:pPr>
                    <w:r>
                      <w:rPr>
                        <w:rFonts w:hint="eastAsia"/>
                        <w:szCs w:val="21"/>
                      </w:rPr>
                      <w:t>非流动负债合计</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500,495,518.89</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1,619,932,912.96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a7bb371328e463ea04320dbde6be1af"/>
                <w:id w:val="-1364126540"/>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负债合计</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rPr>
                    <w:rFonts w:hint="eastAsia"/>
                  </w:rPr>
                  <w:t>15,874,719,313.09</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16,176,998,300.95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8d86d21041c4c7d89fe0ba721303d03"/>
                <w:id w:val="-1707100565"/>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rPr>
                        <w:szCs w:val="21"/>
                      </w:rPr>
                    </w:pPr>
                    <w:r>
                      <w:rPr>
                        <w:rFonts w:hint="eastAsia"/>
                        <w:b/>
                        <w:bCs/>
                        <w:szCs w:val="21"/>
                      </w:rPr>
                      <w:t>所有者权益：</w:t>
                    </w:r>
                  </w:p>
                </w:tc>
              </w:sdtContent>
            </w:sdt>
            <w:tc>
              <w:tcPr>
                <w:tcW w:w="5964" w:type="dxa"/>
                <w:gridSpan w:val="3"/>
                <w:tcBorders>
                  <w:top w:val="outset" w:color="auto" w:sz="6" w:space="0"/>
                  <w:left w:val="outset" w:color="auto" w:sz="6" w:space="0"/>
                  <w:bottom w:val="outset" w:color="auto" w:sz="6" w:space="0"/>
                  <w:right w:val="outset" w:color="auto" w:sz="6" w:space="0"/>
                </w:tcBorders>
              </w:tcPr>
              <w:p>
                <w:pPr>
                  <w:rPr>
                    <w:color w:val="008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1791862588f472193e6d288a8ee77e1"/>
                <w:id w:val="2076007405"/>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股本</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七(53)</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2,562,793,200.00</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2,562,793,200.00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de65fef26ad401b9029b5f37f10a47b"/>
                <w:id w:val="-49496028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其他权益工具</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56e46e07464793ab98c50981c49729"/>
                <w:id w:val="1113864395"/>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其中：优先股</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550afaf47764c3fb14f2d03d4d926fe"/>
                <w:id w:val="11217366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left="630" w:leftChars="300" w:firstLine="210" w:firstLineChars="100"/>
                      <w:rPr>
                        <w:szCs w:val="21"/>
                      </w:rPr>
                    </w:pPr>
                    <w:r>
                      <w:rPr>
                        <w:rFonts w:hint="eastAsia"/>
                        <w:szCs w:val="21"/>
                      </w:rPr>
                      <w:t>永续债</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675c682ef3b44a9bdb90028c9a0ee01"/>
                <w:id w:val="1426761556"/>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资本公积</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七(55)</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208,436,169.08</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208,436,169.08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744e584b10a4293b14d3782739e468d"/>
                <w:id w:val="-185170621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减：库存股</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c47b59a833b476194ce3b4e0932f8ff"/>
                <w:id w:val="-1725675610"/>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其他综合收益</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　</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75f781909084600b833bbd6ea4f2777"/>
                <w:id w:val="201908954"/>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专项储备</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七(58)</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1,103,989.99</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6,103,133.51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4bc16fbfa604f958ed6fc675de0e260"/>
                <w:id w:val="771908259"/>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盈余公积</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七(59)</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1,237,059,322.55</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972,441,693.18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f9adecc0688440ba0923c0dc83dd97d"/>
                <w:id w:val="1333805316"/>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未分配利润</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r>
                  <w:t>七(60)</w:t>
                </w: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3,189,805,250.5</w:t>
                </w:r>
                <w:r>
                  <w:rPr>
                    <w:rFonts w:hint="eastAsia"/>
                  </w:rPr>
                  <w:t>2</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885,130,382.22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17928a465440d48563338a16d7e921"/>
                <w:id w:val="-1763066340"/>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420" w:firstLineChars="200"/>
                      <w:rPr>
                        <w:szCs w:val="21"/>
                      </w:rPr>
                    </w:pPr>
                    <w:r>
                      <w:rPr>
                        <w:rFonts w:hint="eastAsia"/>
                        <w:szCs w:val="21"/>
                      </w:rPr>
                      <w:t>所有者权益合计</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7,199,197,932.14</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4,634,904,577.99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997964f8c1f4adbae644c0126297619"/>
                <w:id w:val="-1416928942"/>
                <w:lock w:val="sdtLocked"/>
              </w:sdtPr>
              <w:sdtContent>
                <w:tc>
                  <w:tcPr>
                    <w:tcW w:w="3085"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负债和所有者权益总计</w:t>
                    </w:r>
                  </w:p>
                </w:tc>
              </w:sdtContent>
            </w:sdt>
            <w:tc>
              <w:tcPr>
                <w:tcW w:w="994" w:type="dxa"/>
                <w:tcBorders>
                  <w:top w:val="outset" w:color="auto" w:sz="6" w:space="0"/>
                  <w:left w:val="outset" w:color="auto" w:sz="6" w:space="0"/>
                  <w:bottom w:val="outset" w:color="auto" w:sz="6" w:space="0"/>
                  <w:right w:val="outset" w:color="auto" w:sz="6" w:space="0"/>
                </w:tcBorders>
              </w:tcPr>
              <w:p>
                <w:pPr>
                  <w:rPr>
                    <w:szCs w:val="21"/>
                  </w:rPr>
                </w:pPr>
              </w:p>
            </w:tc>
            <w:tc>
              <w:tcPr>
                <w:tcW w:w="2561" w:type="dxa"/>
                <w:tcBorders>
                  <w:top w:val="outset" w:color="auto" w:sz="6" w:space="0"/>
                  <w:left w:val="outset" w:color="auto" w:sz="6" w:space="0"/>
                  <w:bottom w:val="outset" w:color="auto" w:sz="6" w:space="0"/>
                  <w:right w:val="outset" w:color="auto" w:sz="6" w:space="0"/>
                </w:tcBorders>
              </w:tcPr>
              <w:p>
                <w:pPr>
                  <w:jc w:val="right"/>
                  <w:rPr>
                    <w:szCs w:val="21"/>
                  </w:rPr>
                </w:pPr>
                <w:r>
                  <w:t>23,073,917,245.23</w:t>
                </w:r>
              </w:p>
            </w:tc>
            <w:tc>
              <w:tcPr>
                <w:tcW w:w="2409" w:type="dxa"/>
                <w:tcBorders>
                  <w:top w:val="outset" w:color="auto" w:sz="6" w:space="0"/>
                  <w:left w:val="outset" w:color="auto" w:sz="6" w:space="0"/>
                  <w:bottom w:val="outset" w:color="auto" w:sz="6" w:space="0"/>
                  <w:right w:val="outset" w:color="auto" w:sz="6" w:space="0"/>
                </w:tcBorders>
              </w:tcPr>
              <w:p>
                <w:pPr>
                  <w:jc w:val="right"/>
                  <w:rPr>
                    <w:szCs w:val="21"/>
                  </w:rPr>
                </w:pPr>
                <w:r>
                  <w:t>20,811,902,878.94</w:t>
                </w:r>
              </w:p>
            </w:tc>
          </w:tr>
        </w:tbl>
        <w:p/>
        <w:p>
          <w:pPr>
            <w:ind w:right="-153" w:rightChars="-73"/>
            <w:rPr>
              <w:szCs w:val="21"/>
            </w:rPr>
          </w:pPr>
          <w:r>
            <w:rPr>
              <w:szCs w:val="21"/>
            </w:rPr>
            <w:t>法定代表人</w:t>
          </w:r>
          <w:r>
            <w:rPr>
              <w:rFonts w:hint="eastAsia"/>
              <w:szCs w:val="21"/>
            </w:rPr>
            <w:t>：</w:t>
          </w:r>
          <w:sdt>
            <w:sdtPr>
              <w:rPr>
                <w:rFonts w:hint="eastAsia"/>
                <w:szCs w:val="21"/>
              </w:rPr>
              <w:alias w:val="公司法定代表人"/>
              <w:tag w:val="_GBC_a8870336d3c140dbad30113f0782c9fe"/>
              <w:id w:val="6773916"/>
              <w:lock w:val="sdtLocked"/>
              <w:text/>
            </w:sdtPr>
            <w:sdtEndPr>
              <w:rPr>
                <w:rFonts w:hint="eastAsia"/>
                <w:szCs w:val="21"/>
              </w:rPr>
            </w:sdtEndPr>
            <w:sdtContent>
              <w:r>
                <w:rPr>
                  <w:rFonts w:hint="eastAsia"/>
                  <w:szCs w:val="21"/>
                </w:rPr>
                <w:t>陈有升</w:t>
              </w:r>
            </w:sdtContent>
          </w:sdt>
          <w:r>
            <w:rPr>
              <w:szCs w:val="21"/>
            </w:rPr>
            <w:t>主管会计工作负责人</w:t>
          </w:r>
          <w:r>
            <w:rPr>
              <w:rFonts w:hint="eastAsia"/>
              <w:szCs w:val="21"/>
            </w:rPr>
            <w:t>：</w:t>
          </w:r>
          <w:sdt>
            <w:sdtPr>
              <w:rPr>
                <w:rFonts w:hint="eastAsia"/>
                <w:szCs w:val="21"/>
              </w:rPr>
              <w:alias w:val="主管会计工作负责人姓名"/>
              <w:tag w:val="_GBC_9437e30593f649668dfd65b9a8ea89d5"/>
              <w:id w:val="6773917"/>
              <w:lock w:val="sdtLocked"/>
              <w:text/>
            </w:sdtPr>
            <w:sdtEndPr>
              <w:rPr>
                <w:rFonts w:hint="eastAsia"/>
                <w:szCs w:val="21"/>
              </w:rPr>
            </w:sdtEndPr>
            <w:sdtContent>
              <w:r>
                <w:rPr>
                  <w:rFonts w:hint="eastAsia"/>
                  <w:szCs w:val="21"/>
                </w:rPr>
                <w:t>杜忠军</w:t>
              </w:r>
            </w:sdtContent>
          </w:sdt>
          <w:r>
            <w:rPr>
              <w:szCs w:val="21"/>
            </w:rPr>
            <w:t>会计机构负责人</w:t>
          </w:r>
          <w:r>
            <w:rPr>
              <w:rFonts w:hint="eastAsia"/>
              <w:szCs w:val="21"/>
            </w:rPr>
            <w:t>：</w:t>
          </w:r>
          <w:sdt>
            <w:sdtPr>
              <w:rPr>
                <w:rFonts w:hint="eastAsia"/>
                <w:szCs w:val="21"/>
              </w:rPr>
              <w:alias w:val="会计机构负责人姓名"/>
              <w:tag w:val="_GBC_8aa686c1e59046a6873a3e16ede05e4b"/>
              <w:id w:val="6773918"/>
              <w:lock w:val="sdtLocked"/>
              <w:text/>
            </w:sdtPr>
            <w:sdtEndPr>
              <w:rPr>
                <w:rFonts w:hint="eastAsia"/>
                <w:szCs w:val="21"/>
              </w:rPr>
            </w:sdtEndPr>
            <w:sdtContent>
              <w:r>
                <w:rPr>
                  <w:rFonts w:hint="eastAsia"/>
                  <w:szCs w:val="21"/>
                </w:rPr>
                <w:t>唐皓烨</w:t>
              </w:r>
            </w:sdtContent>
          </w:sdt>
        </w:p>
        <w:p>
          <w:pPr>
            <w:ind w:right="-153" w:rightChars="-73"/>
            <w:rPr>
              <w:szCs w:val="21"/>
            </w:rPr>
          </w:pPr>
        </w:p>
      </w:sdtContent>
    </w:sdt>
    <w:p>
      <w:pPr>
        <w:ind w:right="-153" w:rightChars="-73"/>
        <w:rPr>
          <w:b/>
          <w:bCs/>
          <w:color w:val="008000"/>
          <w:szCs w:val="21"/>
          <w:u w:val="single"/>
        </w:rPr>
      </w:pPr>
    </w:p>
    <w:sdt>
      <w:sdtPr>
        <w:rPr>
          <w:rFonts w:hint="eastAsia"/>
          <w:b/>
          <w:szCs w:val="21"/>
        </w:rPr>
        <w:tag w:val="_GBC_3ad209fb8b5d433d8d91b39c5a1a6fe2"/>
        <w:id w:val="6773964"/>
        <w:lock w:val="sdtLocked"/>
        <w:placeholder>
          <w:docPart w:val="GBC22222222222222222222222222222"/>
        </w:placeholder>
      </w:sdtPr>
      <w:sdtEndPr>
        <w:rPr>
          <w:rFonts w:hint="eastAsia" w:cs="宋体-方正超大字符集"/>
          <w:b w:val="0"/>
          <w:szCs w:val="21"/>
        </w:rPr>
      </w:sdtEndPr>
      <w:sdtContent>
        <w:p>
          <w:pPr>
            <w:jc w:val="center"/>
            <w:outlineLvl w:val="2"/>
            <w:rPr>
              <w:b/>
              <w:bCs/>
              <w:szCs w:val="21"/>
            </w:rPr>
          </w:pPr>
          <w:r>
            <w:rPr>
              <w:b/>
              <w:bCs/>
              <w:szCs w:val="21"/>
            </w:rPr>
            <w:t>利润表</w:t>
          </w:r>
        </w:p>
        <w:p>
          <w:pPr>
            <w:jc w:val="center"/>
            <w:rPr>
              <w:b/>
              <w:bCs/>
              <w:szCs w:val="21"/>
            </w:rPr>
          </w:pPr>
          <w:r>
            <w:rPr>
              <w:szCs w:val="21"/>
            </w:rPr>
            <w:t>201</w:t>
          </w:r>
          <w:r>
            <w:rPr>
              <w:rFonts w:hint="eastAsia"/>
              <w:szCs w:val="21"/>
            </w:rPr>
            <w:t>7</w:t>
          </w:r>
          <w:r>
            <w:rPr>
              <w:szCs w:val="21"/>
            </w:rPr>
            <w:t>年</w:t>
          </w:r>
          <w:r>
            <w:rPr>
              <w:rFonts w:hint="eastAsia"/>
              <w:szCs w:val="21"/>
            </w:rPr>
            <w:t>1—12</w:t>
          </w:r>
          <w:r>
            <w:rPr>
              <w:szCs w:val="21"/>
            </w:rPr>
            <w:t>月</w:t>
          </w:r>
        </w:p>
        <w:p>
          <w:pPr>
            <w:snapToGrid w:val="0"/>
            <w:spacing w:line="240" w:lineRule="atLeast"/>
            <w:ind w:right="105" w:rightChars="50"/>
            <w:jc w:val="right"/>
            <w:rPr>
              <w:szCs w:val="21"/>
            </w:rPr>
          </w:pPr>
          <w:r>
            <w:rPr>
              <w:szCs w:val="21"/>
            </w:rPr>
            <w:t>单位:</w:t>
          </w:r>
          <w:sdt>
            <w:sdtPr>
              <w:rPr>
                <w:szCs w:val="21"/>
              </w:rPr>
              <w:alias w:val="单位：母公司利润表"/>
              <w:tag w:val="_GBC_34e415c837e84eed8e46839f812af522"/>
              <w:id w:val="6773920"/>
              <w:lock w:val="sdtLocked"/>
              <w:comboBox>
                <w:listItem w:displayText="元" w:value="1"/>
                <w:listItem w:displayText="千元" w:value="1000"/>
                <w:listItem w:displayText="万元" w:value="10000"/>
                <w:listItem w:displayText="百万元" w:value="1000000"/>
                <w:listItem w:displayText="亿元" w:value="100000000"/>
              </w:comboBox>
            </w:sdtPr>
            <w:sdtEndPr>
              <w:rPr>
                <w:szCs w:val="21"/>
              </w:rPr>
            </w:sdtEndPr>
            <w:sdtContent>
              <w:r>
                <w:rPr>
                  <w:rFonts w:hint="eastAsia"/>
                  <w:szCs w:val="21"/>
                </w:rPr>
                <w:t>元</w:t>
              </w:r>
            </w:sdtContent>
          </w:sdt>
          <w:r>
            <w:rPr>
              <w:szCs w:val="21"/>
            </w:rPr>
            <w:t xml:space="preserve">  币种:</w:t>
          </w:r>
          <w:sdt>
            <w:sdtPr>
              <w:rPr>
                <w:szCs w:val="21"/>
              </w:rPr>
              <w:alias w:val="币种：母公司利润表"/>
              <w:tag w:val="_GBC_f2660c2586654164b26a3e8fde13a87d"/>
              <w:id w:val="677392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szCs w:val="21"/>
              </w:rPr>
            </w:sdtEndPr>
            <w:sdtContent>
              <w:r>
                <w:rPr>
                  <w:rFonts w:hint="eastAsia"/>
                  <w:szCs w:val="21"/>
                </w:rPr>
                <w:t>人民币</w:t>
              </w:r>
            </w:sdtContent>
          </w:sdt>
        </w:p>
        <w:tbl>
          <w:tblPr>
            <w:tblStyle w:val="83"/>
            <w:tblW w:w="90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945"/>
            <w:gridCol w:w="2002"/>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806e79f2160c4a7f8c60f4640982389e"/>
                <w:id w:val="-419571020"/>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Chars="-19" w:hanging="39" w:hangingChars="19"/>
                      <w:jc w:val="center"/>
                      <w:rPr>
                        <w:b/>
                        <w:szCs w:val="21"/>
                      </w:rPr>
                    </w:pPr>
                    <w:r>
                      <w:rPr>
                        <w:b/>
                        <w:szCs w:val="21"/>
                      </w:rPr>
                      <w:t>项目</w:t>
                    </w:r>
                  </w:p>
                </w:tc>
              </w:sdtContent>
            </w:sdt>
            <w:sdt>
              <w:sdtPr>
                <w:tag w:val="_PLD_cce0322410644125a4487be27106aa59"/>
                <w:id w:val="-1681184247"/>
                <w:lock w:val="sdtLocked"/>
              </w:sdtPr>
              <w:sdtContent>
                <w:tc>
                  <w:tcPr>
                    <w:tcW w:w="945" w:type="dxa"/>
                    <w:tcBorders>
                      <w:top w:val="outset" w:color="auto" w:sz="6" w:space="0"/>
                      <w:left w:val="outset" w:color="auto" w:sz="6" w:space="0"/>
                      <w:bottom w:val="outset" w:color="auto" w:sz="6" w:space="0"/>
                      <w:right w:val="outset" w:color="auto" w:sz="6" w:space="0"/>
                    </w:tcBorders>
                  </w:tcPr>
                  <w:p>
                    <w:pPr>
                      <w:jc w:val="center"/>
                      <w:rPr>
                        <w:b/>
                        <w:szCs w:val="21"/>
                      </w:rPr>
                    </w:pPr>
                    <w:r>
                      <w:rPr>
                        <w:rFonts w:hint="eastAsia"/>
                        <w:b/>
                        <w:szCs w:val="21"/>
                      </w:rPr>
                      <w:t>附注</w:t>
                    </w:r>
                  </w:p>
                </w:tc>
              </w:sdtContent>
            </w:sdt>
            <w:sdt>
              <w:sdtPr>
                <w:tag w:val="_PLD_a8c19de7ccaa4a598602a5e21498c971"/>
                <w:id w:val="-670794870"/>
                <w:lock w:val="sdtLocked"/>
              </w:sdtPr>
              <w:sdtContent>
                <w:tc>
                  <w:tcPr>
                    <w:tcW w:w="2002" w:type="dxa"/>
                    <w:tcBorders>
                      <w:top w:val="outset" w:color="auto" w:sz="6" w:space="0"/>
                      <w:left w:val="outset" w:color="auto" w:sz="6" w:space="0"/>
                      <w:bottom w:val="outset" w:color="auto" w:sz="6" w:space="0"/>
                      <w:right w:val="outset" w:color="auto" w:sz="6" w:space="0"/>
                    </w:tcBorders>
                    <w:vAlign w:val="center"/>
                  </w:tcPr>
                  <w:p>
                    <w:pPr>
                      <w:jc w:val="center"/>
                      <w:rPr>
                        <w:b/>
                        <w:szCs w:val="21"/>
                      </w:rPr>
                    </w:pPr>
                    <w:r>
                      <w:rPr>
                        <w:b/>
                        <w:szCs w:val="21"/>
                      </w:rPr>
                      <w:t>本期</w:t>
                    </w:r>
                    <w:r>
                      <w:rPr>
                        <w:rFonts w:hint="eastAsia"/>
                        <w:b/>
                        <w:szCs w:val="21"/>
                      </w:rPr>
                      <w:t>发生</w:t>
                    </w:r>
                    <w:r>
                      <w:rPr>
                        <w:b/>
                        <w:szCs w:val="21"/>
                      </w:rPr>
                      <w:t>额</w:t>
                    </w:r>
                  </w:p>
                </w:tc>
              </w:sdtContent>
            </w:sdt>
            <w:sdt>
              <w:sdtPr>
                <w:tag w:val="_PLD_1e767f88e556461e85b1f9b2c24df2c3"/>
                <w:id w:val="-1040433160"/>
                <w:lock w:val="sdtLocked"/>
              </w:sdtPr>
              <w:sdtContent>
                <w:tc>
                  <w:tcPr>
                    <w:tcW w:w="2001" w:type="dxa"/>
                    <w:tcBorders>
                      <w:top w:val="outset" w:color="auto" w:sz="6" w:space="0"/>
                      <w:left w:val="outset" w:color="auto" w:sz="6" w:space="0"/>
                      <w:bottom w:val="outset" w:color="auto" w:sz="6" w:space="0"/>
                      <w:right w:val="outset" w:color="auto" w:sz="6" w:space="0"/>
                    </w:tcBorders>
                    <w:vAlign w:val="center"/>
                  </w:tcPr>
                  <w:p>
                    <w:pPr>
                      <w:jc w:val="center"/>
                      <w:rPr>
                        <w:b/>
                        <w:szCs w:val="21"/>
                      </w:rPr>
                    </w:pPr>
                    <w:r>
                      <w:rPr>
                        <w:b/>
                        <w:szCs w:val="21"/>
                      </w:rPr>
                      <w:t>上期</w:t>
                    </w:r>
                    <w:r>
                      <w:rPr>
                        <w:rFonts w:hint="eastAsia"/>
                        <w:b/>
                        <w:szCs w:val="21"/>
                      </w:rPr>
                      <w:t>发生</w:t>
                    </w:r>
                    <w:r>
                      <w:rPr>
                        <w:b/>
                        <w:szCs w:val="21"/>
                      </w:rPr>
                      <w:t>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3f57546610a41b2adec770146d42a23"/>
                <w:id w:val="1870418951"/>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rPr>
                        <w:color w:val="000000"/>
                        <w:szCs w:val="21"/>
                      </w:rPr>
                    </w:pPr>
                    <w:r>
                      <w:rPr>
                        <w:rFonts w:hint="eastAsia"/>
                        <w:szCs w:val="21"/>
                      </w:rPr>
                      <w:t>一、营业收入</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t>七(61)</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41,557,169,054.26</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26,650,401,296.14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614a36f39384f5ba85d79ef69621041"/>
                <w:id w:val="-661860362"/>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7" w:firstLine="210" w:firstLineChars="100"/>
                      <w:rPr>
                        <w:color w:val="000000"/>
                        <w:szCs w:val="21"/>
                      </w:rPr>
                    </w:pPr>
                    <w:r>
                      <w:rPr>
                        <w:rFonts w:hint="eastAsia"/>
                        <w:szCs w:val="21"/>
                      </w:rPr>
                      <w:t>减：营业成本</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t>七(61)</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37,830,797,693.94</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25,235,699,484.82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89cbbc341474f4996dcda42e65d188a"/>
                <w:id w:val="-1996483623"/>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630" w:firstLineChars="300"/>
                      <w:rPr>
                        <w:color w:val="000000"/>
                        <w:szCs w:val="21"/>
                      </w:rPr>
                    </w:pPr>
                    <w:r>
                      <w:rPr>
                        <w:rFonts w:hint="eastAsia"/>
                        <w:szCs w:val="21"/>
                      </w:rPr>
                      <w:t>税金及附加</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t>七(62)</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170,863,230.89</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126,627,350.11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1aea4cd55a141e49510360180c2226a"/>
                <w:id w:val="-960334482"/>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630" w:firstLineChars="300"/>
                      <w:rPr>
                        <w:color w:val="000000"/>
                        <w:szCs w:val="21"/>
                      </w:rPr>
                    </w:pPr>
                    <w:r>
                      <w:rPr>
                        <w:rFonts w:hint="eastAsia"/>
                        <w:szCs w:val="21"/>
                      </w:rPr>
                      <w:t>销售费用</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t>七(63)</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43,146,653.01</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40,995,602.72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ec1b3372bab479f84563ca5f5ef2a9e"/>
                <w:id w:val="1461690400"/>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630" w:firstLineChars="300"/>
                      <w:rPr>
                        <w:color w:val="000000"/>
                        <w:szCs w:val="21"/>
                      </w:rPr>
                    </w:pPr>
                    <w:r>
                      <w:rPr>
                        <w:rFonts w:hint="eastAsia"/>
                        <w:szCs w:val="21"/>
                      </w:rPr>
                      <w:t>管理费用</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t>七(64)</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405,066,845.23</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350,388,759.46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e9f748c61694de4a139252d4ceb5da6"/>
                <w:id w:val="1006093027"/>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630" w:firstLineChars="300"/>
                      <w:rPr>
                        <w:color w:val="000000"/>
                        <w:szCs w:val="21"/>
                      </w:rPr>
                    </w:pPr>
                    <w:r>
                      <w:rPr>
                        <w:rFonts w:hint="eastAsia"/>
                        <w:szCs w:val="21"/>
                      </w:rPr>
                      <w:t>财务费用</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t>七(65)</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119,797,663.72</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642,074,245.15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0041c4e763d4869918eacae3722d8d2"/>
                <w:id w:val="-594468523"/>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630" w:firstLineChars="300"/>
                      <w:rPr>
                        <w:color w:val="000000"/>
                        <w:szCs w:val="21"/>
                      </w:rPr>
                    </w:pPr>
                    <w:r>
                      <w:rPr>
                        <w:rFonts w:hint="eastAsia"/>
                        <w:szCs w:val="21"/>
                      </w:rPr>
                      <w:t>资产减值损失</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t>七(66)</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-15,290,007.17</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25,695,591.43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e80ebf7b4164237adc8e09492ce3027"/>
                <w:id w:val="342209679"/>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7" w:firstLine="210" w:firstLineChars="100"/>
                      <w:rPr>
                        <w:color w:val="000000"/>
                        <w:szCs w:val="21"/>
                      </w:rPr>
                    </w:pPr>
                    <w:r>
                      <w:rPr>
                        <w:rFonts w:hint="eastAsia"/>
                        <w:szCs w:val="21"/>
                      </w:rPr>
                      <w:t>加：公允价值变动收益（损失以“－”号填列）</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t>七(67)</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-1,197,796.73</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-5,187,631.49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b773c05ec26442f89421de9123ad66c"/>
                <w:id w:val="732425169"/>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投资收益（损失以“－”号填列）</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t>七(68)</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-1,757,983.94</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-200,047.13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bfeb795fe7e4be482b9b2cca2fb3bb7"/>
                <w:id w:val="728047251"/>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其中：对联营企业和合营企业的投资收益</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-299,813.56</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hint="eastAsia"/>
                </w:rPr>
                <w:tag w:val="_PLD_11d0a4b73a7841ebb3084479109f0197"/>
                <w:id w:val="989144331"/>
                <w:lock w:val="sdtLocked"/>
              </w:sdtPr>
              <w:sdtEndPr>
                <w:rPr>
                  <w:rFonts w:hint="eastAsia"/>
                </w:rPr>
              </w:sdtEnd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630" w:firstLineChars="300"/>
                    </w:pPr>
                    <w:r>
                      <w:rPr>
                        <w:rFonts w:hint="eastAsia"/>
                      </w:rPr>
                      <w:t>资产处置收益（损失以“－”号填列）</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0.00</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a1627c9fb1449dbb1e6b06c4b489fae"/>
                <w:id w:val="1546409013"/>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630" w:firstLineChars="300"/>
                      <w:rPr>
                        <w:szCs w:val="21"/>
                      </w:rPr>
                    </w:pPr>
                    <w:r>
                      <w:rPr>
                        <w:rFonts w:hint="eastAsia"/>
                        <w:szCs w:val="21"/>
                      </w:rPr>
                      <w:t>其他收益</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rPr>
                    <w:rFonts w:hint="eastAsia"/>
                    <w:szCs w:val="21"/>
                  </w:rPr>
                  <w:t>七（79）</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33,597,557.96</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623741af05c4fe2bdbaaa2a02c86055"/>
                <w:id w:val="-979538599"/>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rPr>
                        <w:color w:val="000000"/>
                        <w:szCs w:val="21"/>
                      </w:rPr>
                    </w:pPr>
                    <w:r>
                      <w:rPr>
                        <w:rFonts w:hint="eastAsia"/>
                        <w:szCs w:val="21"/>
                      </w:rPr>
                      <w:t>二、营业利润（亏损以“－”号填列）</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3,033,428,751.93</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223,532,583.83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fadb127567c43d983464b182f5ac0d8"/>
                <w:id w:val="905418938"/>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7" w:firstLine="210" w:firstLineChars="100"/>
                      <w:rPr>
                        <w:color w:val="000000"/>
                        <w:szCs w:val="21"/>
                      </w:rPr>
                    </w:pPr>
                    <w:r>
                      <w:rPr>
                        <w:rFonts w:hint="eastAsia"/>
                        <w:szCs w:val="21"/>
                      </w:rPr>
                      <w:t>加：营业外收入</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rPr>
                    <w:rFonts w:hint="eastAsia"/>
                    <w:szCs w:val="21"/>
                  </w:rPr>
                  <w:t>七（69）</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8,194,942.01</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59,326,515.77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be4e3fd569343f48dda5c424fda6f66"/>
                <w:id w:val="1765566953"/>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7" w:firstLine="210" w:firstLineChars="100"/>
                      <w:rPr>
                        <w:color w:val="000000"/>
                        <w:szCs w:val="21"/>
                      </w:rPr>
                    </w:pPr>
                    <w:r>
                      <w:rPr>
                        <w:rFonts w:hint="eastAsia"/>
                        <w:szCs w:val="21"/>
                      </w:rPr>
                      <w:t>减：营业外支出</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rPr>
                    <w:rFonts w:hint="eastAsia"/>
                    <w:szCs w:val="21"/>
                  </w:rPr>
                  <w:t>七（70）</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5,714,770.45</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60,492,516.11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02aab6b166b4e408b6ec273b819fec4"/>
                <w:id w:val="1548179754"/>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rPr>
                        <w:color w:val="000000"/>
                        <w:szCs w:val="21"/>
                      </w:rPr>
                    </w:pPr>
                    <w:r>
                      <w:rPr>
                        <w:rFonts w:hint="eastAsia"/>
                        <w:szCs w:val="21"/>
                      </w:rPr>
                      <w:t>三、利润总额（亏损总额以“－”号填列）</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3,035,908,923.49</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222,366,583.49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84d838c1189465aa73bb2fe49fc005f"/>
                <w:id w:val="-11529843"/>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7" w:firstLine="210" w:firstLineChars="100"/>
                      <w:rPr>
                        <w:color w:val="000000"/>
                        <w:szCs w:val="21"/>
                      </w:rPr>
                    </w:pPr>
                    <w:r>
                      <w:rPr>
                        <w:rFonts w:hint="eastAsia"/>
                        <w:szCs w:val="21"/>
                      </w:rPr>
                      <w:t>减：所得税费用</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r>
                  <w:rPr>
                    <w:rFonts w:hint="eastAsia"/>
                    <w:szCs w:val="21"/>
                  </w:rPr>
                  <w:t>七（71）</w:t>
                </w: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389,732,629.82</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25,928,515.36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d67dfd9c60a4479b43e016cfa6b1a75"/>
                <w:id w:val="-1451391396"/>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rPr>
                        <w:color w:val="000000"/>
                        <w:szCs w:val="21"/>
                      </w:rPr>
                    </w:pPr>
                    <w:r>
                      <w:rPr>
                        <w:rFonts w:hint="eastAsia"/>
                        <w:szCs w:val="21"/>
                      </w:rPr>
                      <w:t>四、净利润（净亏损以“－”号填列）</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2,646,176,293.67</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196,438,068.13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09e541d92e640e099cff8f6d462fba9"/>
                <w:id w:val="-770086427"/>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210" w:firstLineChars="100"/>
                    </w:pPr>
                    <w:r>
                      <w:t>(一)持续经营净利润（净亏损以“－”号填列）</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2,646,176,293.67</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196,438,068.13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hint="eastAsia"/>
                </w:rPr>
                <w:tag w:val="_PLD_22e2379e33914a318718857c01346df4"/>
                <w:id w:val="-561404825"/>
                <w:lock w:val="sdtLocked"/>
              </w:sdtPr>
              <w:sdtEndPr>
                <w:rPr>
                  <w:rFonts w:hint="eastAsia"/>
                </w:rPr>
              </w:sdtEnd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210" w:firstLineChars="100"/>
                    </w:pPr>
                    <w:r>
                      <w:rPr>
                        <w:rFonts w:hint="eastAsia"/>
                      </w:rPr>
                      <w:t>（二）终止经营净利润（净亏损以“－”号填列）</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5968771234e48998be3546c1db2c077"/>
                <w:id w:val="1975722670"/>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Chars="-19" w:hanging="39" w:hangingChars="19"/>
                      <w:rPr>
                        <w:szCs w:val="21"/>
                      </w:rPr>
                    </w:pPr>
                    <w:r>
                      <w:rPr>
                        <w:rFonts w:hint="eastAsia"/>
                        <w:szCs w:val="21"/>
                      </w:rPr>
                      <w:t>五、其他综合收益的税后净额</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9d74b5de2e5407ea46010520312837d"/>
                <w:id w:val="-1462879570"/>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（一）以后不能重分类进损益的其他综合收益</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b82cd84459240ddbd778d823668006a"/>
                <w:id w:val="-2030556099"/>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1.重新计量设定受益计划净负债</w:t>
                    </w:r>
                    <w:r>
                      <w:rPr>
                        <w:rFonts w:hint="eastAsia"/>
                        <w:szCs w:val="21"/>
                      </w:rPr>
                      <w:t>或</w:t>
                    </w:r>
                    <w:r>
                      <w:rPr>
                        <w:szCs w:val="21"/>
                      </w:rPr>
                      <w:t>净资产的变动</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6b22db3802e4a0f8665744337b0d313"/>
                <w:id w:val="1865787720"/>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2.权益法下在被投资单位不能重分类进损益的其他综合收益中享有的份额</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20b170df7bf4ff499eae9ea6018254a"/>
                <w:id w:val="-2011588676"/>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rFonts w:hint="eastAsia"/>
                        <w:szCs w:val="21"/>
                      </w:rPr>
                      <w:t>（二）以后将重分类进损益的其他综合收益</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41e6f7e46294720b2b68303381d27a3"/>
                <w:id w:val="1634588790"/>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1.权益法下在被投资单位以后将重分类进损益的其他综合收益中享有的份额</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0194dbd2c6e42cd926c331b2dc7acaa"/>
                <w:id w:val="-1665847159"/>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2.可供出售金融资产公允价值变动损益</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01e07f2cd9344cfae66e10a255d86cc"/>
                <w:id w:val="1130361947"/>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3.持有至到期投资重分类为可供出售金融资产损益</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562e635dfa0447fa08b7820212b50a4"/>
                <w:id w:val="-1439359628"/>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4.现金流量套期损益的有效部分</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6c817d109a74740bbe978588a0233fa"/>
                <w:id w:val="1171529353"/>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5.外币财务报表折算差额</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c595169d4314616b8e6df708f621dc4"/>
                <w:id w:val="-1240018067"/>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firstLine="420" w:firstLineChars="200"/>
                      <w:rPr>
                        <w:szCs w:val="21"/>
                      </w:rPr>
                    </w:pPr>
                    <w:r>
                      <w:rPr>
                        <w:szCs w:val="21"/>
                      </w:rPr>
                      <w:t>6.其他</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f91ffefae4d409fbc7d1608eb4a1767"/>
                <w:id w:val="1397633547"/>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19"/>
                      <w:rPr>
                        <w:szCs w:val="21"/>
                      </w:rPr>
                    </w:pPr>
                    <w:r>
                      <w:rPr>
                        <w:rFonts w:hint="eastAsia"/>
                        <w:szCs w:val="21"/>
                      </w:rPr>
                      <w:t>六、综合收益总额</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2,646,176,293.67</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196,438,068.13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8fbdb2a981b4771a8f5c56658cc0121"/>
                <w:id w:val="389308902"/>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leftChars="-19" w:hanging="39" w:hangingChars="19"/>
                      <w:rPr>
                        <w:szCs w:val="21"/>
                      </w:rPr>
                    </w:pPr>
                    <w:r>
                      <w:rPr>
                        <w:rFonts w:hint="eastAsia"/>
                        <w:szCs w:val="21"/>
                      </w:rPr>
                      <w:t>七</w:t>
                    </w:r>
                    <w:r>
                      <w:rPr>
                        <w:szCs w:val="21"/>
                      </w:rPr>
                      <w:t>、每股收益：</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　</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a2bcb319dc04f22aafacf86e227ebf6"/>
                <w:id w:val="334728609"/>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szCs w:val="21"/>
                      </w:rPr>
                      <w:t>（一）基本每股收益</w:t>
                    </w:r>
                    <w:r>
                      <w:rPr>
                        <w:rFonts w:hint="eastAsia"/>
                        <w:szCs w:val="21"/>
                      </w:rPr>
                      <w:t>(元/股)</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1.03</w:t>
                </w:r>
                <w:r>
                  <w:rPr>
                    <w:rFonts w:hint="eastAsia"/>
                  </w:rPr>
                  <w:t>25</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0.0766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a0bd68542a64c369e545c3b3b7ffead"/>
                <w:id w:val="-1114977972"/>
                <w:lock w:val="sdtLocked"/>
              </w:sdtPr>
              <w:sdtContent>
                <w:tc>
                  <w:tcPr>
                    <w:tcW w:w="4137" w:type="dxa"/>
                    <w:tcBorders>
                      <w:top w:val="outset" w:color="auto" w:sz="6" w:space="0"/>
                      <w:left w:val="outset" w:color="auto" w:sz="6" w:space="0"/>
                      <w:bottom w:val="outset" w:color="auto" w:sz="6" w:space="0"/>
                      <w:right w:val="outset" w:color="auto" w:sz="6" w:space="0"/>
                    </w:tcBorders>
                    <w:vAlign w:val="center"/>
                  </w:tcPr>
                  <w:p>
                    <w:pPr>
                      <w:ind w:firstLine="210" w:firstLineChars="100"/>
                      <w:rPr>
                        <w:szCs w:val="21"/>
                      </w:rPr>
                    </w:pPr>
                    <w:r>
                      <w:rPr>
                        <w:szCs w:val="21"/>
                      </w:rPr>
                      <w:t>（二）稀释每股收益</w:t>
                    </w:r>
                    <w:r>
                      <w:rPr>
                        <w:rFonts w:hint="eastAsia"/>
                        <w:szCs w:val="21"/>
                      </w:rPr>
                      <w:t>(元/股)</w:t>
                    </w:r>
                  </w:p>
                </w:tc>
              </w:sdtContent>
            </w:sdt>
            <w:tc>
              <w:tcPr>
                <w:tcW w:w="945" w:type="dxa"/>
                <w:tcBorders>
                  <w:top w:val="outset" w:color="auto" w:sz="6" w:space="0"/>
                  <w:left w:val="outset" w:color="auto" w:sz="6" w:space="0"/>
                  <w:bottom w:val="outset" w:color="auto" w:sz="6" w:space="0"/>
                  <w:right w:val="outset" w:color="auto" w:sz="6" w:space="0"/>
                </w:tcBorders>
              </w:tcPr>
              <w:p>
                <w:pPr>
                  <w:rPr>
                    <w:szCs w:val="21"/>
                  </w:rPr>
                </w:pPr>
              </w:p>
            </w:tc>
            <w:tc>
              <w:tcPr>
                <w:tcW w:w="2002" w:type="dxa"/>
                <w:tcBorders>
                  <w:top w:val="outset" w:color="auto" w:sz="6" w:space="0"/>
                  <w:left w:val="outset" w:color="auto" w:sz="6" w:space="0"/>
                  <w:bottom w:val="outset" w:color="auto" w:sz="6" w:space="0"/>
                  <w:right w:val="outset" w:color="auto" w:sz="6" w:space="0"/>
                </w:tcBorders>
              </w:tcPr>
              <w:p>
                <w:pPr>
                  <w:jc w:val="right"/>
                  <w:rPr>
                    <w:szCs w:val="21"/>
                  </w:rPr>
                </w:pPr>
                <w:r>
                  <w:t>1.03</w:t>
                </w:r>
                <w:r>
                  <w:rPr>
                    <w:rFonts w:hint="eastAsia"/>
                  </w:rPr>
                  <w:t>25</w:t>
                </w:r>
              </w:p>
            </w:tc>
            <w:tc>
              <w:tcPr>
                <w:tcW w:w="2001" w:type="dxa"/>
                <w:tcBorders>
                  <w:top w:val="outset" w:color="auto" w:sz="6" w:space="0"/>
                  <w:left w:val="outset" w:color="auto" w:sz="6" w:space="0"/>
                  <w:bottom w:val="outset" w:color="auto" w:sz="6" w:space="0"/>
                  <w:right w:val="outset" w:color="auto" w:sz="6" w:space="0"/>
                </w:tcBorders>
              </w:tcPr>
              <w:p>
                <w:pPr>
                  <w:jc w:val="right"/>
                  <w:rPr>
                    <w:szCs w:val="21"/>
                  </w:rPr>
                </w:pPr>
                <w:r>
                  <w:t>0.0766</w:t>
                </w:r>
              </w:p>
            </w:tc>
          </w:tr>
        </w:tbl>
        <w:p/>
        <w:p>
          <w:pPr>
            <w:snapToGrid w:val="0"/>
            <w:spacing w:line="240" w:lineRule="atLeast"/>
            <w:ind w:right="-153" w:rightChars="-73"/>
            <w:rPr>
              <w:rFonts w:cs="宋体-方正超大字符集"/>
              <w:szCs w:val="21"/>
            </w:rPr>
          </w:pPr>
          <w:r>
            <w:rPr>
              <w:szCs w:val="21"/>
            </w:rPr>
            <w:t>法定代表人</w:t>
          </w:r>
          <w:r>
            <w:rPr>
              <w:rFonts w:hint="eastAsia"/>
              <w:szCs w:val="21"/>
            </w:rPr>
            <w:t>：</w:t>
          </w:r>
          <w:sdt>
            <w:sdtPr>
              <w:rPr>
                <w:rFonts w:hint="eastAsia"/>
                <w:szCs w:val="21"/>
              </w:rPr>
              <w:alias w:val="公司法定代表人"/>
              <w:tag w:val="_GBC_9d6caf56e21745d3978217539d3945c2"/>
              <w:id w:val="6773961"/>
              <w:lock w:val="sdtLocked"/>
              <w:text/>
            </w:sdtPr>
            <w:sdtEndPr>
              <w:rPr>
                <w:rFonts w:hint="eastAsia"/>
                <w:szCs w:val="21"/>
              </w:rPr>
            </w:sdtEndPr>
            <w:sdtContent>
              <w:r>
                <w:rPr>
                  <w:rFonts w:hint="eastAsia"/>
                  <w:szCs w:val="21"/>
                </w:rPr>
                <w:t>陈有升</w:t>
              </w:r>
            </w:sdtContent>
          </w:sdt>
          <w:r>
            <w:rPr>
              <w:szCs w:val="21"/>
            </w:rPr>
            <w:t>主管会计工作负责人</w:t>
          </w:r>
          <w:r>
            <w:rPr>
              <w:rFonts w:hint="eastAsia"/>
              <w:szCs w:val="21"/>
            </w:rPr>
            <w:t>：</w:t>
          </w:r>
          <w:sdt>
            <w:sdtPr>
              <w:rPr>
                <w:rFonts w:hint="eastAsia"/>
                <w:szCs w:val="21"/>
              </w:rPr>
              <w:alias w:val="主管会计工作负责人姓名"/>
              <w:tag w:val="_GBC_f6ea3ac8976c47519c0433d2c66ed20f"/>
              <w:id w:val="6773962"/>
              <w:lock w:val="sdtLocked"/>
              <w:text/>
            </w:sdtPr>
            <w:sdtEndPr>
              <w:rPr>
                <w:rFonts w:hint="eastAsia"/>
                <w:szCs w:val="21"/>
              </w:rPr>
            </w:sdtEndPr>
            <w:sdtContent>
              <w:r>
                <w:rPr>
                  <w:rFonts w:hint="eastAsia"/>
                  <w:szCs w:val="21"/>
                </w:rPr>
                <w:t>杜忠军</w:t>
              </w:r>
            </w:sdtContent>
          </w:sdt>
          <w:r>
            <w:rPr>
              <w:szCs w:val="21"/>
            </w:rPr>
            <w:t>会计机构负责人</w:t>
          </w:r>
          <w:r>
            <w:rPr>
              <w:rFonts w:hint="eastAsia"/>
              <w:szCs w:val="21"/>
            </w:rPr>
            <w:t>：</w:t>
          </w:r>
          <w:sdt>
            <w:sdtPr>
              <w:rPr>
                <w:rFonts w:hint="eastAsia"/>
                <w:szCs w:val="21"/>
              </w:rPr>
              <w:alias w:val="会计机构负责人姓名"/>
              <w:tag w:val="_GBC_014f49147db6456caf4538fd5d691051"/>
              <w:id w:val="6773963"/>
              <w:lock w:val="sdtLocked"/>
              <w:text/>
            </w:sdtPr>
            <w:sdtEndPr>
              <w:rPr>
                <w:rFonts w:hint="eastAsia"/>
                <w:szCs w:val="21"/>
              </w:rPr>
            </w:sdtEndPr>
            <w:sdtContent>
              <w:r>
                <w:rPr>
                  <w:rFonts w:hint="eastAsia"/>
                  <w:szCs w:val="21"/>
                </w:rPr>
                <w:t>唐皓烨</w:t>
              </w:r>
            </w:sdtContent>
          </w:sdt>
        </w:p>
      </w:sdtContent>
    </w:sdt>
    <w:p>
      <w:pPr>
        <w:rPr>
          <w:color w:val="FF0000"/>
          <w:szCs w:val="21"/>
        </w:rPr>
      </w:pPr>
    </w:p>
    <w:p>
      <w:pPr>
        <w:rPr>
          <w:color w:val="FF0000"/>
          <w:szCs w:val="21"/>
        </w:rPr>
      </w:pPr>
    </w:p>
    <w:sdt>
      <w:sdtPr>
        <w:rPr>
          <w:rFonts w:hint="eastAsia"/>
          <w:b/>
          <w:bCs/>
          <w:szCs w:val="21"/>
        </w:rPr>
        <w:tag w:val="_GBC_de8d3cfcf111414a940cf01324ef9389"/>
        <w:id w:val="6774013"/>
        <w:lock w:val="sdtLocked"/>
        <w:placeholder>
          <w:docPart w:val="GBC22222222222222222222222222222"/>
        </w:placeholder>
      </w:sdtPr>
      <w:sdtEndPr>
        <w:rPr>
          <w:rFonts w:hint="eastAsia"/>
          <w:b/>
          <w:bCs/>
          <w:szCs w:val="21"/>
        </w:rPr>
      </w:sdtEndPr>
      <w:sdtContent>
        <w:p>
          <w:pPr>
            <w:jc w:val="center"/>
            <w:outlineLvl w:val="2"/>
            <w:rPr>
              <w:b/>
              <w:bCs/>
              <w:szCs w:val="21"/>
            </w:rPr>
          </w:pPr>
          <w:r>
            <w:rPr>
              <w:b/>
              <w:bCs/>
              <w:szCs w:val="21"/>
            </w:rPr>
            <w:t>现金流量表</w:t>
          </w:r>
        </w:p>
        <w:p>
          <w:pPr>
            <w:jc w:val="center"/>
            <w:rPr>
              <w:b/>
              <w:bCs/>
              <w:szCs w:val="21"/>
            </w:rPr>
          </w:pPr>
          <w:r>
            <w:rPr>
              <w:szCs w:val="21"/>
            </w:rPr>
            <w:t>201</w:t>
          </w:r>
          <w:r>
            <w:rPr>
              <w:rFonts w:hint="eastAsia"/>
              <w:szCs w:val="21"/>
            </w:rPr>
            <w:t>7</w:t>
          </w:r>
          <w:r>
            <w:rPr>
              <w:szCs w:val="21"/>
            </w:rPr>
            <w:t>年</w:t>
          </w:r>
          <w:r>
            <w:rPr>
              <w:rFonts w:hint="eastAsia"/>
              <w:szCs w:val="21"/>
            </w:rPr>
            <w:t>1—12</w:t>
          </w:r>
          <w:r>
            <w:rPr>
              <w:szCs w:val="21"/>
            </w:rPr>
            <w:t>月</w:t>
          </w:r>
        </w:p>
        <w:p>
          <w:pPr>
            <w:ind w:right="105" w:rightChars="50"/>
            <w:jc w:val="right"/>
            <w:rPr>
              <w:szCs w:val="21"/>
            </w:rPr>
          </w:pPr>
          <w:r>
            <w:rPr>
              <w:szCs w:val="21"/>
            </w:rPr>
            <w:t>单位:</w:t>
          </w:r>
          <w:sdt>
            <w:sdtPr>
              <w:rPr>
                <w:szCs w:val="21"/>
              </w:rPr>
              <w:alias w:val="单位：母公司现金流量表"/>
              <w:tag w:val="_GBC_72a5fd28efa142459207d964e7abe8be"/>
              <w:id w:val="6773965"/>
              <w:lock w:val="sdtLocked"/>
              <w:comboBox>
                <w:listItem w:displayText="元" w:value="1"/>
                <w:listItem w:displayText="千元" w:value="1000"/>
                <w:listItem w:displayText="万元" w:value="10000"/>
                <w:listItem w:displayText="百万元" w:value="1000000"/>
                <w:listItem w:displayText="亿元" w:value="100000000"/>
              </w:comboBox>
            </w:sdtPr>
            <w:sdtEndPr>
              <w:rPr>
                <w:szCs w:val="21"/>
              </w:rPr>
            </w:sdtEndPr>
            <w:sdtContent>
              <w:r>
                <w:rPr>
                  <w:rFonts w:hint="eastAsia"/>
                  <w:szCs w:val="21"/>
                </w:rPr>
                <w:t>元</w:t>
              </w:r>
            </w:sdtContent>
          </w:sdt>
          <w:r>
            <w:rPr>
              <w:szCs w:val="21"/>
            </w:rPr>
            <w:t xml:space="preserve">  币种:</w:t>
          </w:r>
          <w:sdt>
            <w:sdtPr>
              <w:rPr>
                <w:szCs w:val="21"/>
              </w:rPr>
              <w:alias w:val="币种：母公司现金流量表"/>
              <w:tag w:val="_GBC_7e7d8c5ee26d4ee886fa73f729cc8f8d"/>
              <w:id w:val="677396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1056"/>
            <w:gridCol w:w="2161"/>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cf911daba8447f6a948e8c622a365f6"/>
                <w:id w:val="948502315"/>
                <w:lock w:val="sdtLocked"/>
              </w:sdtPr>
              <w:sdtContent>
                <w:tc>
                  <w:tcPr>
                    <w:tcW w:w="3640" w:type="dxa"/>
                    <w:tcBorders>
                      <w:top w:val="outset" w:color="auto" w:sz="6" w:space="0"/>
                      <w:left w:val="outset" w:color="auto" w:sz="6" w:space="0"/>
                      <w:bottom w:val="outset" w:color="auto" w:sz="6" w:space="0"/>
                      <w:right w:val="outset" w:color="auto" w:sz="6" w:space="0"/>
                    </w:tcBorders>
                  </w:tcPr>
                  <w:p>
                    <w:pPr>
                      <w:jc w:val="center"/>
                      <w:rPr>
                        <w:b/>
                        <w:bCs/>
                        <w:szCs w:val="21"/>
                      </w:rPr>
                    </w:pPr>
                    <w:r>
                      <w:rPr>
                        <w:b/>
                        <w:bCs/>
                        <w:szCs w:val="21"/>
                      </w:rPr>
                      <w:t>项目</w:t>
                    </w:r>
                  </w:p>
                </w:tc>
              </w:sdtContent>
            </w:sdt>
            <w:sdt>
              <w:sdtPr>
                <w:tag w:val="_PLD_c29b1252ed324ac4a8f8700abcf9a90e"/>
                <w:id w:val="1949966829"/>
                <w:lock w:val="sdtLocked"/>
              </w:sdtPr>
              <w:sdtContent>
                <w:tc>
                  <w:tcPr>
                    <w:tcW w:w="1056" w:type="dxa"/>
                    <w:tcBorders>
                      <w:top w:val="outset" w:color="auto" w:sz="6" w:space="0"/>
                      <w:left w:val="outset" w:color="auto" w:sz="6" w:space="0"/>
                      <w:bottom w:val="outset" w:color="auto" w:sz="6" w:space="0"/>
                      <w:right w:val="outset" w:color="auto" w:sz="6" w:space="0"/>
                    </w:tcBorders>
                  </w:tcPr>
                  <w:p>
                    <w:pPr>
                      <w:autoSpaceDE w:val="0"/>
                      <w:autoSpaceDN w:val="0"/>
                      <w:adjustRightInd w:val="0"/>
                      <w:jc w:val="center"/>
                      <w:rPr>
                        <w:b/>
                        <w:szCs w:val="21"/>
                      </w:rPr>
                    </w:pPr>
                    <w:r>
                      <w:rPr>
                        <w:b/>
                        <w:szCs w:val="21"/>
                      </w:rPr>
                      <w:t>附注</w:t>
                    </w:r>
                  </w:p>
                </w:tc>
              </w:sdtContent>
            </w:sdt>
            <w:sdt>
              <w:sdtPr>
                <w:tag w:val="_PLD_36f42f4cadfa4e0c937b184be0fc1d9b"/>
                <w:id w:val="-898128789"/>
                <w:lock w:val="sdtLocked"/>
              </w:sdtPr>
              <w:sdtContent>
                <w:tc>
                  <w:tcPr>
                    <w:tcW w:w="2161" w:type="dxa"/>
                    <w:tcBorders>
                      <w:top w:val="outset" w:color="auto" w:sz="6" w:space="0"/>
                      <w:left w:val="outset" w:color="auto" w:sz="6" w:space="0"/>
                      <w:bottom w:val="outset" w:color="auto" w:sz="6" w:space="0"/>
                      <w:right w:val="outset" w:color="auto" w:sz="6" w:space="0"/>
                    </w:tcBorders>
                  </w:tcPr>
                  <w:p>
                    <w:pPr>
                      <w:autoSpaceDE w:val="0"/>
                      <w:autoSpaceDN w:val="0"/>
                      <w:adjustRightInd w:val="0"/>
                      <w:jc w:val="center"/>
                      <w:rPr>
                        <w:b/>
                        <w:szCs w:val="21"/>
                      </w:rPr>
                    </w:pPr>
                    <w:r>
                      <w:rPr>
                        <w:b/>
                        <w:szCs w:val="21"/>
                      </w:rPr>
                      <w:t>本期</w:t>
                    </w:r>
                    <w:r>
                      <w:rPr>
                        <w:rFonts w:hint="eastAsia"/>
                        <w:b/>
                        <w:szCs w:val="21"/>
                      </w:rPr>
                      <w:t>发生</w:t>
                    </w:r>
                    <w:r>
                      <w:rPr>
                        <w:b/>
                        <w:szCs w:val="21"/>
                      </w:rPr>
                      <w:t>额</w:t>
                    </w:r>
                  </w:p>
                </w:tc>
              </w:sdtContent>
            </w:sdt>
            <w:sdt>
              <w:sdtPr>
                <w:tag w:val="_PLD_a1446bb876c64c7d817f947f5bc65274"/>
                <w:id w:val="138085048"/>
                <w:lock w:val="sdtLocked"/>
              </w:sdtPr>
              <w:sdtContent>
                <w:tc>
                  <w:tcPr>
                    <w:tcW w:w="2192" w:type="dxa"/>
                    <w:tcBorders>
                      <w:top w:val="outset" w:color="auto" w:sz="6" w:space="0"/>
                      <w:left w:val="outset" w:color="auto" w:sz="6" w:space="0"/>
                      <w:bottom w:val="outset" w:color="auto" w:sz="6" w:space="0"/>
                      <w:right w:val="outset" w:color="auto" w:sz="6" w:space="0"/>
                    </w:tcBorders>
                  </w:tcPr>
                  <w:p>
                    <w:pPr>
                      <w:autoSpaceDE w:val="0"/>
                      <w:autoSpaceDN w:val="0"/>
                      <w:adjustRightInd w:val="0"/>
                      <w:jc w:val="center"/>
                      <w:rPr>
                        <w:b/>
                        <w:szCs w:val="21"/>
                      </w:rPr>
                    </w:pPr>
                    <w:r>
                      <w:rPr>
                        <w:b/>
                        <w:szCs w:val="21"/>
                      </w:rPr>
                      <w:t>上期</w:t>
                    </w:r>
                    <w:r>
                      <w:rPr>
                        <w:rFonts w:hint="eastAsia"/>
                        <w:b/>
                        <w:szCs w:val="21"/>
                      </w:rPr>
                      <w:t>发生</w:t>
                    </w:r>
                    <w:r>
                      <w:rPr>
                        <w:b/>
                        <w:szCs w:val="21"/>
                      </w:rPr>
                      <w:t>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c4fa282072a48809ac6f49e9d42db6d"/>
                <w:id w:val="-1993485126"/>
                <w:lock w:val="sdtLocked"/>
              </w:sdtPr>
              <w:sdtContent>
                <w:tc>
                  <w:tcPr>
                    <w:tcW w:w="3640" w:type="dxa"/>
                    <w:tcBorders>
                      <w:top w:val="outset" w:color="auto" w:sz="6" w:space="0"/>
                      <w:left w:val="outset" w:color="auto" w:sz="6" w:space="0"/>
                      <w:bottom w:val="outset" w:color="auto" w:sz="6" w:space="0"/>
                      <w:right w:val="outset" w:color="auto" w:sz="6" w:space="0"/>
                    </w:tcBorders>
                  </w:tcPr>
                  <w:p>
                    <w:pPr>
                      <w:rPr>
                        <w:color w:val="000000"/>
                        <w:szCs w:val="21"/>
                      </w:rPr>
                    </w:pPr>
                    <w:r>
                      <w:rPr>
                        <w:rFonts w:hint="eastAsia"/>
                        <w:b/>
                        <w:bCs/>
                        <w:szCs w:val="21"/>
                      </w:rPr>
                      <w:t>一、经营活动产生的现金流量：</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p>
            </w:tc>
            <w:tc>
              <w:tcPr>
                <w:tcW w:w="2161" w:type="dxa"/>
                <w:tcBorders>
                  <w:top w:val="outset" w:color="auto" w:sz="6" w:space="0"/>
                  <w:left w:val="outset" w:color="auto" w:sz="6" w:space="0"/>
                  <w:bottom w:val="outset" w:color="auto" w:sz="6" w:space="0"/>
                  <w:right w:val="outset" w:color="auto" w:sz="6" w:space="0"/>
                </w:tcBorders>
              </w:tcPr>
              <w:p>
                <w:pPr>
                  <w:rPr>
                    <w:szCs w:val="21"/>
                  </w:rPr>
                </w:pPr>
              </w:p>
            </w:tc>
            <w:tc>
              <w:tcPr>
                <w:tcW w:w="2192" w:type="dxa"/>
                <w:tcBorders>
                  <w:top w:val="outset" w:color="auto" w:sz="6" w:space="0"/>
                  <w:left w:val="outset" w:color="auto" w:sz="6" w:space="0"/>
                  <w:bottom w:val="outset" w:color="auto" w:sz="6" w:space="0"/>
                  <w:right w:val="outset" w:color="auto" w:sz="6"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82403be5f65423e983b1fb0a359af57"/>
                <w:id w:val="1258255354"/>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color w:val="000000"/>
                        <w:szCs w:val="21"/>
                      </w:rPr>
                    </w:pPr>
                    <w:r>
                      <w:rPr>
                        <w:rFonts w:hint="eastAsia"/>
                        <w:szCs w:val="21"/>
                      </w:rPr>
                      <w:t>销售商品、提供劳务收到的现金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32,386,647,048.56</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20,690,422,125.39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34303aa415e4283b2fe82cad4887023"/>
                <w:id w:val="-1766142702"/>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color w:val="000000"/>
                        <w:szCs w:val="21"/>
                      </w:rPr>
                    </w:pPr>
                    <w:r>
                      <w:rPr>
                        <w:rFonts w:hint="eastAsia"/>
                        <w:szCs w:val="21"/>
                      </w:rPr>
                      <w:t>收到的税费返还</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32,640,765.07</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44,093,010.17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aba68c8cb714b4a9a053df7be6d8e6b"/>
                <w:id w:val="-1997178665"/>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color w:val="000000"/>
                        <w:szCs w:val="21"/>
                      </w:rPr>
                    </w:pPr>
                    <w:r>
                      <w:rPr>
                        <w:rFonts w:hint="eastAsia"/>
                        <w:szCs w:val="21"/>
                      </w:rPr>
                      <w:t>收到其他与经营活动有关的现金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七（73</w:t>
                </w:r>
                <w:r>
                  <w:rPr>
                    <w:rFonts w:hint="eastAsia"/>
                  </w:rPr>
                  <w:t>.1</w:t>
                </w:r>
                <w:r>
                  <w:t>）</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529,311,797.82</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109,004,990.37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f67bad4d744491c97b1b6a5d7bc8db0"/>
                <w:id w:val="731666387"/>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420" w:firstLineChars="200"/>
                      <w:rPr>
                        <w:color w:val="000000"/>
                        <w:szCs w:val="21"/>
                      </w:rPr>
                    </w:pPr>
                    <w:r>
                      <w:rPr>
                        <w:rFonts w:hint="eastAsia"/>
                        <w:szCs w:val="21"/>
                      </w:rPr>
                      <w:t>经营活动现金流入小计</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32,948,599,611.45</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20,843,520,125.93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7f7dddf017548728aaf571c2d59b2d0"/>
                <w:id w:val="-1590774628"/>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购买商品、接受劳务支付的现金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24,956,141,016.34</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16,727,892,014.65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fcda8d7bbcd4c33943e8085b0c8b2be"/>
                <w:id w:val="820618246"/>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支付给职工以及为职工支付的现金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1,646,270,819.16</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1,316,442,340.22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6ef978002a04ddba5bf4203e8fcbe05"/>
                <w:id w:val="-829520236"/>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支付的各项税费</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1,240,987,815.25</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1,012,265,595.73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40cea8fca1a4a418626af5a1e15ad2a"/>
                <w:id w:val="925541349"/>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支付其他与经营活动有关的现金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七（73</w:t>
                </w:r>
                <w:r>
                  <w:rPr>
                    <w:rFonts w:hint="eastAsia"/>
                  </w:rPr>
                  <w:t>.2</w:t>
                </w:r>
                <w:r>
                  <w:t>）</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492,607,316.54</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198,999,374.15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cd5b5d6998649f9800043cb05be3b38"/>
                <w:id w:val="-688140963"/>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420" w:firstLineChars="200"/>
                      <w:rPr>
                        <w:color w:val="000000"/>
                        <w:szCs w:val="21"/>
                      </w:rPr>
                    </w:pPr>
                    <w:r>
                      <w:rPr>
                        <w:rFonts w:hint="eastAsia"/>
                        <w:szCs w:val="21"/>
                      </w:rPr>
                      <w:t>经营活动现金流出小计</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28,336,006,967.29</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19,255,599,324.75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abce4872917465481357c9cc962157a"/>
                <w:id w:val="-514466515"/>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630" w:firstLineChars="300"/>
                      <w:rPr>
                        <w:color w:val="000000"/>
                        <w:szCs w:val="21"/>
                      </w:rPr>
                    </w:pPr>
                    <w:r>
                      <w:rPr>
                        <w:rFonts w:hint="eastAsia"/>
                        <w:szCs w:val="21"/>
                      </w:rPr>
                      <w:t>经营活动产生的现金流量净额</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4,612,592,644.16</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1,587,920,801.18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d39944fd84c44e784ef10a7eb0d7a73"/>
                <w:id w:val="1682235330"/>
                <w:lock w:val="sdtLocked"/>
              </w:sdtPr>
              <w:sdtContent>
                <w:tc>
                  <w:tcPr>
                    <w:tcW w:w="3640" w:type="dxa"/>
                    <w:tcBorders>
                      <w:top w:val="outset" w:color="auto" w:sz="6" w:space="0"/>
                      <w:left w:val="outset" w:color="auto" w:sz="6" w:space="0"/>
                      <w:bottom w:val="outset" w:color="auto" w:sz="6" w:space="0"/>
                      <w:right w:val="outset" w:color="auto" w:sz="6" w:space="0"/>
                    </w:tcBorders>
                  </w:tcPr>
                  <w:p>
                    <w:pPr>
                      <w:rPr>
                        <w:color w:val="000000"/>
                        <w:szCs w:val="21"/>
                      </w:rPr>
                    </w:pPr>
                    <w:r>
                      <w:rPr>
                        <w:rFonts w:hint="eastAsia"/>
                        <w:b/>
                        <w:bCs/>
                        <w:szCs w:val="21"/>
                      </w:rPr>
                      <w:t>二、投资活动产生的现金流量：</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　</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8362eb4230943458bf4c84696e3fab7"/>
                <w:id w:val="-1837532709"/>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收回投资收到的现金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728,512,174.73</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130,413,159.33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bb9d981e1864b85846a2be2a74642ed"/>
                <w:id w:val="469109478"/>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取得投资收益收到的现金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3ad7ae83fe04082a16846a7ce8eb44e"/>
                <w:id w:val="1501319015"/>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处置固定资产、无形资产和其他长期资产收回的现金净额</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1,535,831.60</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1c7761d541347b790f76e232cddd6da"/>
                <w:id w:val="-2008287586"/>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处置子公司及其他营业单位收到的现金净额</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84faa85411341e1aaac49fc6ada3c28"/>
                <w:id w:val="1952283231"/>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收到其他与投资活动有关的现金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七（73</w:t>
                </w:r>
                <w:r>
                  <w:rPr>
                    <w:rFonts w:hint="eastAsia"/>
                  </w:rPr>
                  <w:t>.3</w:t>
                </w:r>
                <w:r>
                  <w:t>）</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2,880,000.00</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a74c8ef775640a29a11236b6eb24ed1"/>
                <w:id w:val="-604195937"/>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420" w:firstLineChars="200"/>
                      <w:rPr>
                        <w:color w:val="000000"/>
                        <w:szCs w:val="21"/>
                      </w:rPr>
                    </w:pPr>
                    <w:r>
                      <w:rPr>
                        <w:rFonts w:hint="eastAsia"/>
                        <w:szCs w:val="21"/>
                      </w:rPr>
                      <w:t>投资活动现金流入小计</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732,928,006.33</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145,413,159.33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5135a2fde314abd9b149054e35209bc"/>
                <w:id w:val="870106964"/>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color w:val="000000"/>
                        <w:szCs w:val="21"/>
                      </w:rPr>
                    </w:pPr>
                    <w:r>
                      <w:rPr>
                        <w:rFonts w:hint="eastAsia"/>
                        <w:szCs w:val="21"/>
                      </w:rPr>
                      <w:t>购建固定资产、无形资产和其他长期资产支付的现金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181,105,017.12</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19,978,387.37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1b56c4bda594a3aaee21599a65bd73b"/>
                <w:id w:val="1496762746"/>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color w:val="000000"/>
                        <w:szCs w:val="21"/>
                      </w:rPr>
                    </w:pPr>
                    <w:r>
                      <w:rPr>
                        <w:rFonts w:hint="eastAsia"/>
                        <w:szCs w:val="21"/>
                      </w:rPr>
                      <w:t>投资支付的现金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732,873,741.84</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131,582,331.61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dceebbcb16b4030afdc5c3659f9b4d4"/>
                <w:id w:val="-1080669451"/>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color w:val="000000"/>
                        <w:szCs w:val="21"/>
                      </w:rPr>
                    </w:pPr>
                    <w:r>
                      <w:rPr>
                        <w:rFonts w:hint="eastAsia"/>
                        <w:szCs w:val="21"/>
                      </w:rPr>
                      <w:t>取得子公司及其他营业单位支付的现金净额</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97c4292519247df9131febd1c223918"/>
                <w:id w:val="-527557293"/>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color w:val="000000"/>
                        <w:szCs w:val="21"/>
                      </w:rPr>
                    </w:pPr>
                    <w:r>
                      <w:rPr>
                        <w:rFonts w:hint="eastAsia"/>
                        <w:szCs w:val="21"/>
                      </w:rPr>
                      <w:t>支付其他与投资活动有关的现金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七（73</w:t>
                </w:r>
                <w:r>
                  <w:rPr>
                    <w:rFonts w:hint="eastAsia"/>
                  </w:rPr>
                  <w:t>.4</w:t>
                </w:r>
                <w:r>
                  <w:t>）</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1,080,947.08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9ef061f54ab4a3ab10dc345a376cad0"/>
                <w:id w:val="1012645856"/>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420" w:firstLineChars="200"/>
                      <w:rPr>
                        <w:color w:val="000000"/>
                        <w:szCs w:val="21"/>
                      </w:rPr>
                    </w:pPr>
                    <w:r>
                      <w:rPr>
                        <w:rFonts w:hint="eastAsia"/>
                        <w:szCs w:val="21"/>
                      </w:rPr>
                      <w:t>投资活动现金流出小计</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913,978,758.96</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152,641,666.06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3a0ae430c114f5090a08e0746177f15"/>
                <w:id w:val="1700746068"/>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630" w:firstLineChars="300"/>
                      <w:rPr>
                        <w:color w:val="000000"/>
                        <w:szCs w:val="21"/>
                      </w:rPr>
                    </w:pPr>
                    <w:r>
                      <w:rPr>
                        <w:rFonts w:hint="eastAsia"/>
                        <w:szCs w:val="21"/>
                      </w:rPr>
                      <w:t>投资活动产生的现金流量净额</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-181,050,752.63</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-7,228,506.73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dded893533e40b0829436cfaa58fc02"/>
                <w:id w:val="595139117"/>
                <w:lock w:val="sdtLocked"/>
              </w:sdtPr>
              <w:sdtContent>
                <w:tc>
                  <w:tcPr>
                    <w:tcW w:w="3640" w:type="dxa"/>
                    <w:tcBorders>
                      <w:top w:val="outset" w:color="auto" w:sz="6" w:space="0"/>
                      <w:left w:val="outset" w:color="auto" w:sz="6" w:space="0"/>
                      <w:bottom w:val="outset" w:color="auto" w:sz="6" w:space="0"/>
                      <w:right w:val="outset" w:color="auto" w:sz="6" w:space="0"/>
                    </w:tcBorders>
                  </w:tcPr>
                  <w:p>
                    <w:pPr>
                      <w:rPr>
                        <w:color w:val="000000"/>
                        <w:szCs w:val="21"/>
                      </w:rPr>
                    </w:pPr>
                    <w:r>
                      <w:rPr>
                        <w:rFonts w:hint="eastAsia"/>
                        <w:b/>
                        <w:bCs/>
                        <w:szCs w:val="21"/>
                      </w:rPr>
                      <w:t>三、筹资活动产生的现金流量：</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　</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eee66d1171a4bfe814c3a0b3e280b4b"/>
                <w:id w:val="-1895965905"/>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吸收投资收到的现金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c413988c14a4c7db66fd7a1c9427102"/>
                <w:id w:val="-46986320"/>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取得借款收到的现金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10,463,439,769.56</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12,650,412,344.07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e45a9f8a378453fbee3d80fb3611328"/>
                <w:id w:val="-1368291538"/>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发行债券收到的现金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f3b94448ae644588672feb45d722e5a"/>
                <w:id w:val="1018882898"/>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szCs w:val="21"/>
                      </w:rPr>
                    </w:pPr>
                    <w:r>
                      <w:rPr>
                        <w:rFonts w:hint="eastAsia"/>
                        <w:szCs w:val="21"/>
                      </w:rPr>
                      <w:t>收到其他与筹资活动有关的现金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七（73</w:t>
                </w:r>
                <w:r>
                  <w:rPr>
                    <w:rFonts w:hint="eastAsia"/>
                  </w:rPr>
                  <w:t>.5</w:t>
                </w:r>
                <w:r>
                  <w:t>）</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38,501,776.64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47f385083ee4e72b8d6e9317c1df14a"/>
                <w:id w:val="154424304"/>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420" w:firstLineChars="200"/>
                      <w:rPr>
                        <w:color w:val="000000"/>
                        <w:szCs w:val="21"/>
                      </w:rPr>
                    </w:pPr>
                    <w:r>
                      <w:rPr>
                        <w:rFonts w:hint="eastAsia"/>
                        <w:szCs w:val="21"/>
                      </w:rPr>
                      <w:t>筹资活动现金流入小计</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10,463,439,769.56</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12,688,914,120.71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8ed22b28d804faab8488a5ff197167d"/>
                <w:id w:val="2133360064"/>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color w:val="000000"/>
                        <w:szCs w:val="21"/>
                      </w:rPr>
                    </w:pPr>
                    <w:r>
                      <w:rPr>
                        <w:rFonts w:hint="eastAsia"/>
                        <w:szCs w:val="21"/>
                      </w:rPr>
                      <w:t>偿还债务支付的现金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12,638,436,254.24</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15,796,562,600.83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2a9cd00b08e4eb6bd6612c3a73b78cc"/>
                <w:id w:val="-1838303049"/>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color w:val="000000"/>
                        <w:szCs w:val="21"/>
                      </w:rPr>
                    </w:pPr>
                    <w:r>
                      <w:rPr>
                        <w:rFonts w:hint="eastAsia"/>
                        <w:szCs w:val="21"/>
                      </w:rPr>
                      <w:t>分配股利、利润或偿付利息支付的现金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　</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435,386,161.90</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665,591,250.22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ce4fc955d444111a18d3340e26d9aaf"/>
                <w:id w:val="-1136027912"/>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color w:val="000000"/>
                        <w:szCs w:val="21"/>
                      </w:rPr>
                    </w:pPr>
                    <w:r>
                      <w:rPr>
                        <w:rFonts w:hint="eastAsia"/>
                        <w:szCs w:val="21"/>
                      </w:rPr>
                      <w:t>支付其他与筹资活动有关的现金</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r>
                  <w:t>七（73</w:t>
                </w:r>
                <w:r>
                  <w:rPr>
                    <w:rFonts w:hint="eastAsia"/>
                  </w:rPr>
                  <w:t>.6</w:t>
                </w:r>
                <w:r>
                  <w:t>）</w:t>
                </w: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23,866,257.58</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513,105,438.20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bccda6e192e4d35a1c8bb392e82ba99"/>
                <w:id w:val="140240207"/>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420" w:firstLineChars="200"/>
                      <w:rPr>
                        <w:color w:val="000000"/>
                        <w:szCs w:val="21"/>
                      </w:rPr>
                    </w:pPr>
                    <w:r>
                      <w:rPr>
                        <w:rFonts w:hint="eastAsia"/>
                        <w:szCs w:val="21"/>
                      </w:rPr>
                      <w:t>筹资活动现金流出小计</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13,097,688,673.72</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16,975,259,289.25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1f23751dc784ac792f9f3bb0eb0f945"/>
                <w:id w:val="1797414988"/>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630" w:firstLineChars="300"/>
                      <w:rPr>
                        <w:color w:val="000000"/>
                        <w:szCs w:val="21"/>
                      </w:rPr>
                    </w:pPr>
                    <w:r>
                      <w:rPr>
                        <w:rFonts w:hint="eastAsia"/>
                        <w:szCs w:val="21"/>
                      </w:rPr>
                      <w:t>筹资活动产生的现金流量净额</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-2,634,248,904.16</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-4,286,345,168.54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892e4d45c214e479f746b20ae16d717"/>
                <w:id w:val="-1923102268"/>
                <w:lock w:val="sdtLocked"/>
              </w:sdtPr>
              <w:sdtContent>
                <w:tc>
                  <w:tcPr>
                    <w:tcW w:w="3640" w:type="dxa"/>
                    <w:tcBorders>
                      <w:top w:val="outset" w:color="auto" w:sz="6" w:space="0"/>
                      <w:left w:val="outset" w:color="auto" w:sz="6" w:space="0"/>
                      <w:bottom w:val="outset" w:color="auto" w:sz="6" w:space="0"/>
                      <w:right w:val="outset" w:color="auto" w:sz="6" w:space="0"/>
                    </w:tcBorders>
                  </w:tcPr>
                  <w:p>
                    <w:pPr>
                      <w:rPr>
                        <w:color w:val="000000"/>
                        <w:szCs w:val="21"/>
                      </w:rPr>
                    </w:pPr>
                    <w:r>
                      <w:rPr>
                        <w:rFonts w:hint="eastAsia"/>
                        <w:b/>
                        <w:bCs/>
                        <w:szCs w:val="21"/>
                      </w:rPr>
                      <w:t>四、汇率变动对现金及现金等价物的影响</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-954,753.83</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10,187,624.11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4f79e1b0fd04f90b0dedccd47e536a4"/>
                <w:id w:val="-943834052"/>
                <w:lock w:val="sdtLocked"/>
              </w:sdtPr>
              <w:sdtContent>
                <w:tc>
                  <w:tcPr>
                    <w:tcW w:w="3640" w:type="dxa"/>
                    <w:tcBorders>
                      <w:top w:val="outset" w:color="auto" w:sz="6" w:space="0"/>
                      <w:left w:val="outset" w:color="auto" w:sz="6" w:space="0"/>
                      <w:bottom w:val="outset" w:color="auto" w:sz="6" w:space="0"/>
                      <w:right w:val="outset" w:color="auto" w:sz="6" w:space="0"/>
                    </w:tcBorders>
                  </w:tcPr>
                  <w:p>
                    <w:pPr>
                      <w:rPr>
                        <w:color w:val="000000"/>
                        <w:szCs w:val="21"/>
                      </w:rPr>
                    </w:pPr>
                    <w:r>
                      <w:rPr>
                        <w:rFonts w:hint="eastAsia"/>
                        <w:b/>
                        <w:bCs/>
                        <w:szCs w:val="21"/>
                      </w:rPr>
                      <w:t>五、现金及现金等价物净增加额</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1,796,338,233.54</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-2,695,465,249.98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121a5fa4245464182ca44534620413d"/>
                <w:id w:val="785930424"/>
                <w:lock w:val="sdtLocked"/>
              </w:sdtPr>
              <w:sdtContent>
                <w:tc>
                  <w:tcPr>
                    <w:tcW w:w="3640" w:type="dxa"/>
                    <w:tcBorders>
                      <w:top w:val="outset" w:color="auto" w:sz="6" w:space="0"/>
                      <w:left w:val="outset" w:color="auto" w:sz="6" w:space="0"/>
                      <w:bottom w:val="outset" w:color="auto" w:sz="6" w:space="0"/>
                      <w:right w:val="outset" w:color="auto" w:sz="6" w:space="0"/>
                    </w:tcBorders>
                  </w:tcPr>
                  <w:p>
                    <w:pPr>
                      <w:ind w:firstLine="210" w:firstLineChars="100"/>
                      <w:rPr>
                        <w:color w:val="000000"/>
                        <w:szCs w:val="21"/>
                      </w:rPr>
                    </w:pPr>
                    <w:r>
                      <w:rPr>
                        <w:rFonts w:hint="eastAsia"/>
                        <w:szCs w:val="21"/>
                      </w:rPr>
                      <w:t>加：期初现金及现金等价物余额</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1,040,679,800.32</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3,736,145,050.30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a86201c3aab4dbfbe78d8d0db476c55"/>
                <w:id w:val="-525407190"/>
                <w:lock w:val="sdtLocked"/>
              </w:sdtPr>
              <w:sdtContent>
                <w:tc>
                  <w:tcPr>
                    <w:tcW w:w="3640" w:type="dxa"/>
                    <w:tcBorders>
                      <w:top w:val="outset" w:color="auto" w:sz="6" w:space="0"/>
                      <w:left w:val="outset" w:color="auto" w:sz="6" w:space="0"/>
                      <w:bottom w:val="outset" w:color="auto" w:sz="6" w:space="0"/>
                      <w:right w:val="outset" w:color="auto" w:sz="6" w:space="0"/>
                    </w:tcBorders>
                  </w:tcPr>
                  <w:p>
                    <w:pPr>
                      <w:rPr>
                        <w:color w:val="000000"/>
                        <w:szCs w:val="21"/>
                      </w:rPr>
                    </w:pPr>
                    <w:r>
                      <w:rPr>
                        <w:rFonts w:hint="eastAsia"/>
                        <w:b/>
                        <w:bCs/>
                        <w:szCs w:val="21"/>
                      </w:rPr>
                      <w:t>六、期末现金及现金等价物余额</w:t>
                    </w:r>
                  </w:p>
                </w:tc>
              </w:sdtContent>
            </w:sdt>
            <w:tc>
              <w:tcPr>
                <w:tcW w:w="1056" w:type="dxa"/>
                <w:tcBorders>
                  <w:top w:val="outset" w:color="auto" w:sz="6" w:space="0"/>
                  <w:left w:val="outset" w:color="auto" w:sz="6" w:space="0"/>
                  <w:bottom w:val="outset" w:color="auto" w:sz="6" w:space="0"/>
                  <w:right w:val="outset" w:color="auto" w:sz="6" w:space="0"/>
                </w:tcBorders>
              </w:tcPr>
              <w:p>
                <w:pPr>
                  <w:rPr>
                    <w:szCs w:val="21"/>
                  </w:rPr>
                </w:pPr>
              </w:p>
            </w:tc>
            <w:tc>
              <w:tcPr>
                <w:tcW w:w="2161" w:type="dxa"/>
                <w:tcBorders>
                  <w:top w:val="outset" w:color="auto" w:sz="6" w:space="0"/>
                  <w:left w:val="outset" w:color="auto" w:sz="6" w:space="0"/>
                  <w:bottom w:val="outset" w:color="auto" w:sz="6" w:space="0"/>
                  <w:right w:val="outset" w:color="auto" w:sz="6" w:space="0"/>
                </w:tcBorders>
              </w:tcPr>
              <w:p>
                <w:pPr>
                  <w:jc w:val="right"/>
                  <w:rPr>
                    <w:szCs w:val="21"/>
                  </w:rPr>
                </w:pPr>
                <w:r>
                  <w:t>2,837,018,033.86</w:t>
                </w:r>
              </w:p>
            </w:tc>
            <w:tc>
              <w:tcPr>
                <w:tcW w:w="2192" w:type="dxa"/>
                <w:tcBorders>
                  <w:top w:val="outset" w:color="auto" w:sz="6" w:space="0"/>
                  <w:left w:val="outset" w:color="auto" w:sz="6" w:space="0"/>
                  <w:bottom w:val="outset" w:color="auto" w:sz="6" w:space="0"/>
                  <w:right w:val="outset" w:color="auto" w:sz="6" w:space="0"/>
                </w:tcBorders>
              </w:tcPr>
              <w:p>
                <w:pPr>
                  <w:jc w:val="right"/>
                  <w:rPr>
                    <w:szCs w:val="21"/>
                  </w:rPr>
                </w:pPr>
                <w:r>
                  <w:t>1,040,679,800.32</w:t>
                </w:r>
              </w:p>
            </w:tc>
          </w:tr>
        </w:tbl>
        <w:p/>
        <w:p>
          <w:pPr>
            <w:snapToGrid w:val="0"/>
            <w:spacing w:line="240" w:lineRule="atLeast"/>
            <w:ind w:right="-153" w:rightChars="-73"/>
            <w:rPr>
              <w:szCs w:val="21"/>
            </w:rPr>
          </w:pPr>
          <w:r>
            <w:rPr>
              <w:szCs w:val="21"/>
            </w:rPr>
            <w:t>法定代表人</w:t>
          </w:r>
          <w:r>
            <w:rPr>
              <w:rFonts w:hint="eastAsia"/>
              <w:szCs w:val="21"/>
            </w:rPr>
            <w:t>：</w:t>
          </w:r>
          <w:sdt>
            <w:sdtPr>
              <w:rPr>
                <w:rFonts w:hint="eastAsia"/>
                <w:szCs w:val="21"/>
              </w:rPr>
              <w:alias w:val="公司法定代表人"/>
              <w:tag w:val="_GBC_9bcd12ca2dba4274a8524b6947572f4f"/>
              <w:id w:val="6774010"/>
              <w:lock w:val="sdtLocked"/>
              <w:text/>
            </w:sdtPr>
            <w:sdtEndPr>
              <w:rPr>
                <w:rFonts w:hint="eastAsia"/>
                <w:szCs w:val="21"/>
              </w:rPr>
            </w:sdtEndPr>
            <w:sdtContent>
              <w:r>
                <w:rPr>
                  <w:rFonts w:hint="eastAsia"/>
                  <w:szCs w:val="21"/>
                </w:rPr>
                <w:t>陈有升</w:t>
              </w:r>
            </w:sdtContent>
          </w:sdt>
          <w:r>
            <w:rPr>
              <w:szCs w:val="21"/>
            </w:rPr>
            <w:t>主管会计工作负责人</w:t>
          </w:r>
          <w:r>
            <w:rPr>
              <w:rFonts w:hint="eastAsia"/>
              <w:szCs w:val="21"/>
            </w:rPr>
            <w:t>：</w:t>
          </w:r>
          <w:sdt>
            <w:sdtPr>
              <w:rPr>
                <w:rFonts w:hint="eastAsia"/>
                <w:szCs w:val="21"/>
              </w:rPr>
              <w:alias w:val="主管会计工作负责人姓名"/>
              <w:tag w:val="_GBC_022a142fd48d40819683afa22a581788"/>
              <w:id w:val="6774011"/>
              <w:lock w:val="sdtLocked"/>
              <w:text/>
            </w:sdtPr>
            <w:sdtEndPr>
              <w:rPr>
                <w:rFonts w:hint="eastAsia"/>
                <w:szCs w:val="21"/>
              </w:rPr>
            </w:sdtEndPr>
            <w:sdtContent>
              <w:r>
                <w:rPr>
                  <w:rFonts w:hint="eastAsia"/>
                  <w:szCs w:val="21"/>
                </w:rPr>
                <w:t>杜忠军</w:t>
              </w:r>
            </w:sdtContent>
          </w:sdt>
          <w:r>
            <w:rPr>
              <w:szCs w:val="21"/>
            </w:rPr>
            <w:t>会计机构负责人</w:t>
          </w:r>
          <w:r>
            <w:rPr>
              <w:rFonts w:hint="eastAsia"/>
              <w:szCs w:val="21"/>
            </w:rPr>
            <w:t>：</w:t>
          </w:r>
          <w:sdt>
            <w:sdtPr>
              <w:rPr>
                <w:rFonts w:hint="eastAsia"/>
                <w:szCs w:val="21"/>
              </w:rPr>
              <w:alias w:val="会计机构负责人姓名"/>
              <w:tag w:val="_GBC_51e7353d05124da587ebf3d4befbfee2"/>
              <w:id w:val="6774012"/>
              <w:lock w:val="sdtLocked"/>
              <w:text/>
            </w:sdtPr>
            <w:sdtEndPr>
              <w:rPr>
                <w:rFonts w:hint="eastAsia"/>
                <w:szCs w:val="21"/>
              </w:rPr>
            </w:sdtEndPr>
            <w:sdtContent>
              <w:r>
                <w:rPr>
                  <w:rFonts w:hint="eastAsia"/>
                  <w:szCs w:val="21"/>
                </w:rPr>
                <w:t>唐皓烨</w:t>
              </w:r>
            </w:sdtContent>
          </w:sdt>
        </w:p>
        <w:p>
          <w:pPr>
            <w:snapToGrid w:val="0"/>
            <w:spacing w:line="240" w:lineRule="atLeast"/>
            <w:ind w:right="-153" w:rightChars="-73"/>
            <w:rPr>
              <w:szCs w:val="21"/>
            </w:rPr>
          </w:pPr>
        </w:p>
      </w:sdtContent>
    </w:sdt>
    <w:p>
      <w:pPr>
        <w:snapToGrid w:val="0"/>
        <w:spacing w:line="240" w:lineRule="atLeast"/>
        <w:ind w:right="-153" w:rightChars="-73"/>
        <w:rPr>
          <w:szCs w:val="21"/>
        </w:rPr>
      </w:pPr>
    </w:p>
    <w:p>
      <w:pPr>
        <w:snapToGrid w:val="0"/>
        <w:spacing w:line="240" w:lineRule="atLeast"/>
        <w:ind w:right="-153" w:rightChars="-73"/>
        <w:rPr>
          <w:szCs w:val="21"/>
        </w:rPr>
        <w:sectPr>
          <w:pgSz w:w="11906" w:h="16838"/>
          <w:pgMar w:top="1525" w:right="1276" w:bottom="1440" w:left="1797" w:header="856" w:footer="992" w:gutter="0"/>
          <w:cols w:space="425" w:num="1"/>
          <w:docGrid w:type="lines" w:linePitch="312" w:charSpace="0"/>
        </w:sectPr>
      </w:pPr>
    </w:p>
    <w:sdt>
      <w:sdtPr>
        <w:rPr>
          <w:b/>
          <w:szCs w:val="21"/>
        </w:rPr>
        <w:tag w:val="_GBC_f6396333f93949a599b3a170d5a7962b"/>
        <w:id w:val="6774099"/>
        <w:lock w:val="sdtLocked"/>
        <w:placeholder>
          <w:docPart w:val="GBC22222222222222222222222222222"/>
        </w:placeholder>
      </w:sdtPr>
      <w:sdtEndPr>
        <w:rPr>
          <w:b w:val="0"/>
          <w:color w:val="FF0000"/>
          <w:szCs w:val="24"/>
        </w:rPr>
      </w:sdtEndPr>
      <w:sdtContent>
        <w:p>
          <w:pPr>
            <w:tabs>
              <w:tab w:val="left" w:pos="10080"/>
            </w:tabs>
            <w:snapToGrid w:val="0"/>
            <w:spacing w:line="240" w:lineRule="atLeast"/>
            <w:ind w:right="25" w:rightChars="12"/>
            <w:jc w:val="center"/>
            <w:outlineLvl w:val="2"/>
            <w:rPr>
              <w:b/>
              <w:szCs w:val="21"/>
            </w:rPr>
          </w:pPr>
          <w:r>
            <w:rPr>
              <w:rFonts w:hint="eastAsia"/>
              <w:b/>
              <w:szCs w:val="21"/>
            </w:rPr>
            <w:t>所有者权益变动表</w:t>
          </w:r>
        </w:p>
        <w:p>
          <w:pPr>
            <w:tabs>
              <w:tab w:val="left" w:pos="10080"/>
            </w:tabs>
            <w:snapToGrid w:val="0"/>
            <w:spacing w:line="240" w:lineRule="atLeast"/>
            <w:ind w:right="25" w:rightChars="12"/>
            <w:jc w:val="center"/>
            <w:rPr>
              <w:b/>
              <w:bCs/>
              <w:szCs w:val="21"/>
            </w:rPr>
          </w:pPr>
          <w:r>
            <w:rPr>
              <w:szCs w:val="21"/>
            </w:rPr>
            <w:t>201</w:t>
          </w:r>
          <w:r>
            <w:rPr>
              <w:rFonts w:hint="eastAsia"/>
              <w:szCs w:val="21"/>
            </w:rPr>
            <w:t>7</w:t>
          </w:r>
          <w:r>
            <w:rPr>
              <w:szCs w:val="21"/>
            </w:rPr>
            <w:t>年</w:t>
          </w:r>
          <w:r>
            <w:rPr>
              <w:rFonts w:hint="eastAsia"/>
              <w:szCs w:val="21"/>
            </w:rPr>
            <w:t>1—12</w:t>
          </w:r>
          <w:r>
            <w:rPr>
              <w:szCs w:val="21"/>
            </w:rPr>
            <w:t>月</w:t>
          </w:r>
        </w:p>
        <w:p>
          <w:pPr>
            <w:snapToGrid w:val="0"/>
            <w:spacing w:line="240" w:lineRule="atLeast"/>
            <w:jc w:val="right"/>
            <w:rPr>
              <w:szCs w:val="21"/>
            </w:rPr>
          </w:pPr>
          <w:r>
            <w:rPr>
              <w:szCs w:val="21"/>
            </w:rPr>
            <w:t>单位:</w:t>
          </w:r>
          <w:sdt>
            <w:sdtPr>
              <w:rPr>
                <w:szCs w:val="21"/>
              </w:rPr>
              <w:alias w:val="单位：母公司股东权益调节表"/>
              <w:tag w:val="_GBC_375aa5b655854a6fa4ef44766a5a9d36"/>
              <w:id w:val="6774014"/>
              <w:lock w:val="sdtLocked"/>
              <w:comboBox>
                <w:listItem w:displayText="元" w:value="1"/>
                <w:listItem w:displayText="千元" w:value="1000"/>
                <w:listItem w:displayText="万元" w:value="10000"/>
                <w:listItem w:displayText="百万元" w:value="1000000"/>
                <w:listItem w:displayText="亿元" w:value="100000000"/>
              </w:comboBox>
            </w:sdtPr>
            <w:sdtEndPr>
              <w:rPr>
                <w:szCs w:val="21"/>
              </w:rPr>
            </w:sdtEndPr>
            <w:sdtContent>
              <w:r>
                <w:rPr>
                  <w:rFonts w:hint="eastAsia"/>
                  <w:szCs w:val="21"/>
                </w:rPr>
                <w:t>元</w:t>
              </w:r>
            </w:sdtContent>
          </w:sdt>
          <w:r>
            <w:rPr>
              <w:szCs w:val="21"/>
            </w:rPr>
            <w:t xml:space="preserve">  币种:</w:t>
          </w:r>
          <w:sdt>
            <w:sdtPr>
              <w:rPr>
                <w:szCs w:val="21"/>
              </w:rPr>
              <w:alias w:val="币种：母公司股东权益调节表"/>
              <w:tag w:val="_GBC_6053d48a4e214ab7b17d03b28b93cb76"/>
              <w:id w:val="677401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szCs w:val="21"/>
              </w:rPr>
            </w:sdtEndPr>
            <w:sdtContent>
              <w:r>
                <w:rPr>
                  <w:rFonts w:hint="eastAsia"/>
                  <w:szCs w:val="21"/>
                </w:rPr>
                <w:t>人民币</w:t>
              </w:r>
            </w:sdtContent>
          </w:sdt>
        </w:p>
        <w:tbl>
          <w:tblPr>
            <w:tblStyle w:val="83"/>
            <w:tblW w:w="150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418"/>
            <w:gridCol w:w="709"/>
            <w:gridCol w:w="850"/>
            <w:gridCol w:w="709"/>
            <w:gridCol w:w="1276"/>
            <w:gridCol w:w="708"/>
            <w:gridCol w:w="993"/>
            <w:gridCol w:w="1275"/>
            <w:gridCol w:w="1418"/>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d43bed908c554b0aa3b4aa1b6b63d363"/>
                <w:id w:val="6774016"/>
                <w:lock w:val="sdtLocked"/>
              </w:sdtPr>
              <w:sdtEndPr>
                <w:rPr>
                  <w:sz w:val="18"/>
                  <w:szCs w:val="18"/>
                </w:rPr>
              </w:sdtEndPr>
              <w:sdtContent>
                <w:tc>
                  <w:tcPr>
                    <w:tcW w:w="2694" w:type="dxa"/>
                    <w:vMerge w:val="restart"/>
                    <w:vAlign w:val="center"/>
                  </w:tcPr>
                  <w:p>
                    <w:pPr>
                      <w:adjustRightInd w:val="0"/>
                      <w:snapToGrid w:val="0"/>
                      <w:jc w:val="center"/>
                      <w:rPr>
                        <w:sz w:val="18"/>
                        <w:szCs w:val="18"/>
                      </w:rPr>
                    </w:pPr>
                    <w:r>
                      <w:rPr>
                        <w:sz w:val="18"/>
                        <w:szCs w:val="18"/>
                      </w:rPr>
                      <w:t>项目</w:t>
                    </w:r>
                  </w:p>
                </w:tc>
              </w:sdtContent>
            </w:sdt>
            <w:sdt>
              <w:sdtPr>
                <w:rPr>
                  <w:sz w:val="18"/>
                  <w:szCs w:val="18"/>
                </w:rPr>
                <w:tag w:val="_PLD_3048edc6ceca485db07e361b069eb6db"/>
                <w:id w:val="6774017"/>
                <w:lock w:val="sdtLocked"/>
              </w:sdtPr>
              <w:sdtEndPr>
                <w:rPr>
                  <w:sz w:val="18"/>
                  <w:szCs w:val="18"/>
                </w:rPr>
              </w:sdtEndPr>
              <w:sdtContent>
                <w:tc>
                  <w:tcPr>
                    <w:tcW w:w="12333" w:type="dxa"/>
                    <w:gridSpan w:val="11"/>
                  </w:tcPr>
                  <w:p>
                    <w:pPr>
                      <w:adjustRightInd w:val="0"/>
                      <w:snapToGrid w:val="0"/>
                      <w:jc w:val="center"/>
                      <w:rPr>
                        <w:sz w:val="18"/>
                        <w:szCs w:val="18"/>
                      </w:rPr>
                    </w:pPr>
                    <w:r>
                      <w:rPr>
                        <w:rFonts w:hint="eastAsia"/>
                        <w:sz w:val="18"/>
                        <w:szCs w:val="18"/>
                      </w:rPr>
                      <w:t>本期</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694" w:type="dxa"/>
                <w:vMerge w:val="continue"/>
              </w:tcPr>
              <w:p>
                <w:pPr>
                  <w:adjustRightInd w:val="0"/>
                  <w:snapToGrid w:val="0"/>
                  <w:rPr>
                    <w:sz w:val="18"/>
                    <w:szCs w:val="18"/>
                  </w:rPr>
                </w:pPr>
              </w:p>
            </w:tc>
            <w:sdt>
              <w:sdtPr>
                <w:rPr>
                  <w:sz w:val="18"/>
                  <w:szCs w:val="18"/>
                </w:rPr>
                <w:tag w:val="_PLD_5831b566b36e43d0acb01965e13b98ac"/>
                <w:id w:val="6774018"/>
                <w:lock w:val="sdtLocked"/>
              </w:sdtPr>
              <w:sdtEndPr>
                <w:rPr>
                  <w:sz w:val="18"/>
                  <w:szCs w:val="18"/>
                </w:rPr>
              </w:sdtEndPr>
              <w:sdtContent>
                <w:tc>
                  <w:tcPr>
                    <w:tcW w:w="1418" w:type="dxa"/>
                    <w:vMerge w:val="restart"/>
                    <w:tcBorders>
                      <w:right w:val="single" w:color="auto" w:sz="4" w:space="0"/>
                    </w:tcBorders>
                    <w:vAlign w:val="center"/>
                  </w:tcPr>
                  <w:p>
                    <w:pPr>
                      <w:adjustRightInd w:val="0"/>
                      <w:snapToGrid w:val="0"/>
                      <w:jc w:val="center"/>
                      <w:rPr>
                        <w:sz w:val="18"/>
                        <w:szCs w:val="18"/>
                      </w:rPr>
                    </w:pPr>
                    <w:r>
                      <w:rPr>
                        <w:rFonts w:hint="eastAsia"/>
                        <w:sz w:val="18"/>
                        <w:szCs w:val="18"/>
                      </w:rPr>
                      <w:t>股本</w:t>
                    </w:r>
                  </w:p>
                </w:tc>
              </w:sdtContent>
            </w:sdt>
            <w:sdt>
              <w:sdtPr>
                <w:rPr>
                  <w:sz w:val="18"/>
                  <w:szCs w:val="18"/>
                </w:rPr>
                <w:tag w:val="_PLD_e02af10b7be94c1d857f31bacc77e7d7"/>
                <w:id w:val="6774019"/>
                <w:lock w:val="sdtLocked"/>
              </w:sdtPr>
              <w:sdtEndPr>
                <w:rPr>
                  <w:sz w:val="18"/>
                  <w:szCs w:val="18"/>
                </w:rPr>
              </w:sdtEndPr>
              <w:sdtContent>
                <w:tc>
                  <w:tcPr>
                    <w:tcW w:w="2268" w:type="dxa"/>
                    <w:gridSpan w:val="3"/>
                    <w:tcBorders>
                      <w:left w:val="single" w:color="auto" w:sz="4" w:space="0"/>
                      <w:bottom w:val="single" w:color="auto" w:sz="4" w:space="0"/>
                    </w:tcBorders>
                    <w:vAlign w:val="center"/>
                  </w:tcPr>
                  <w:p>
                    <w:pPr>
                      <w:adjustRightInd w:val="0"/>
                      <w:snapToGrid w:val="0"/>
                      <w:jc w:val="center"/>
                      <w:rPr>
                        <w:sz w:val="18"/>
                        <w:szCs w:val="18"/>
                      </w:rPr>
                    </w:pPr>
                    <w:r>
                      <w:rPr>
                        <w:rFonts w:hint="eastAsia"/>
                        <w:sz w:val="18"/>
                        <w:szCs w:val="18"/>
                      </w:rPr>
                      <w:t>其他权益工具</w:t>
                    </w:r>
                  </w:p>
                </w:tc>
              </w:sdtContent>
            </w:sdt>
            <w:sdt>
              <w:sdtPr>
                <w:rPr>
                  <w:sz w:val="18"/>
                  <w:szCs w:val="18"/>
                </w:rPr>
                <w:tag w:val="_PLD_51a13de43efa43c69f2bd84b37ab897f"/>
                <w:id w:val="6774020"/>
                <w:lock w:val="sdtLocked"/>
              </w:sdtPr>
              <w:sdtEndPr>
                <w:rPr>
                  <w:sz w:val="18"/>
                  <w:szCs w:val="18"/>
                </w:rPr>
              </w:sdtEndPr>
              <w:sdtContent>
                <w:tc>
                  <w:tcPr>
                    <w:tcW w:w="1276" w:type="dxa"/>
                    <w:vMerge w:val="restart"/>
                    <w:vAlign w:val="center"/>
                  </w:tcPr>
                  <w:p>
                    <w:pPr>
                      <w:adjustRightInd w:val="0"/>
                      <w:snapToGrid w:val="0"/>
                      <w:jc w:val="center"/>
                      <w:rPr>
                        <w:sz w:val="18"/>
                        <w:szCs w:val="18"/>
                      </w:rPr>
                    </w:pPr>
                    <w:r>
                      <w:rPr>
                        <w:sz w:val="18"/>
                        <w:szCs w:val="18"/>
                      </w:rPr>
                      <w:t>资本公积</w:t>
                    </w:r>
                  </w:p>
                </w:tc>
              </w:sdtContent>
            </w:sdt>
            <w:sdt>
              <w:sdtPr>
                <w:rPr>
                  <w:sz w:val="18"/>
                  <w:szCs w:val="18"/>
                </w:rPr>
                <w:tag w:val="_PLD_25c31c34ebc8480290969a29631c205d"/>
                <w:id w:val="6774021"/>
                <w:lock w:val="sdtLocked"/>
              </w:sdtPr>
              <w:sdtEndPr>
                <w:rPr>
                  <w:sz w:val="18"/>
                  <w:szCs w:val="18"/>
                </w:rPr>
              </w:sdtEndPr>
              <w:sdtContent>
                <w:tc>
                  <w:tcPr>
                    <w:tcW w:w="708" w:type="dxa"/>
                    <w:vMerge w:val="restart"/>
                    <w:vAlign w:val="center"/>
                  </w:tcPr>
                  <w:p>
                    <w:pPr>
                      <w:adjustRightInd w:val="0"/>
                      <w:snapToGrid w:val="0"/>
                      <w:jc w:val="center"/>
                      <w:rPr>
                        <w:sz w:val="18"/>
                        <w:szCs w:val="18"/>
                      </w:rPr>
                    </w:pPr>
                    <w:r>
                      <w:rPr>
                        <w:sz w:val="18"/>
                        <w:szCs w:val="18"/>
                      </w:rPr>
                      <w:t>减：库存股</w:t>
                    </w:r>
                  </w:p>
                </w:tc>
              </w:sdtContent>
            </w:sdt>
            <w:sdt>
              <w:sdtPr>
                <w:rPr>
                  <w:sz w:val="18"/>
                  <w:szCs w:val="18"/>
                </w:rPr>
                <w:tag w:val="_PLD_bca5c4214ce84ecb8352f936f2e1415b"/>
                <w:id w:val="6774022"/>
                <w:lock w:val="sdtLocked"/>
              </w:sdtPr>
              <w:sdtEndPr>
                <w:rPr>
                  <w:sz w:val="18"/>
                  <w:szCs w:val="18"/>
                </w:rPr>
              </w:sdtEndPr>
              <w:sdtContent>
                <w:tc>
                  <w:tcPr>
                    <w:tcW w:w="993" w:type="dxa"/>
                    <w:vMerge w:val="restart"/>
                    <w:vAlign w:val="center"/>
                  </w:tcPr>
                  <w:p>
                    <w:pPr>
                      <w:jc w:val="center"/>
                      <w:rPr>
                        <w:sz w:val="18"/>
                        <w:szCs w:val="18"/>
                      </w:rPr>
                    </w:pPr>
                    <w:r>
                      <w:rPr>
                        <w:rFonts w:hint="eastAsia"/>
                        <w:sz w:val="18"/>
                        <w:szCs w:val="18"/>
                      </w:rPr>
                      <w:t>其他综合收益</w:t>
                    </w:r>
                  </w:p>
                </w:tc>
              </w:sdtContent>
            </w:sdt>
            <w:sdt>
              <w:sdtPr>
                <w:rPr>
                  <w:sz w:val="18"/>
                  <w:szCs w:val="18"/>
                </w:rPr>
                <w:tag w:val="_PLD_094c569f10c640c6bd207b6c4d7bef5b"/>
                <w:id w:val="6774023"/>
                <w:lock w:val="sdtLocked"/>
              </w:sdtPr>
              <w:sdtEndPr>
                <w:rPr>
                  <w:sz w:val="18"/>
                  <w:szCs w:val="18"/>
                </w:rPr>
              </w:sdtEndPr>
              <w:sdtContent>
                <w:tc>
                  <w:tcPr>
                    <w:tcW w:w="1275" w:type="dxa"/>
                    <w:vMerge w:val="restart"/>
                    <w:vAlign w:val="center"/>
                  </w:tcPr>
                  <w:p>
                    <w:pPr>
                      <w:adjustRightInd w:val="0"/>
                      <w:snapToGrid w:val="0"/>
                      <w:jc w:val="center"/>
                      <w:rPr>
                        <w:sz w:val="18"/>
                        <w:szCs w:val="18"/>
                      </w:rPr>
                    </w:pPr>
                    <w:r>
                      <w:rPr>
                        <w:rFonts w:hint="eastAsia"/>
                        <w:sz w:val="18"/>
                        <w:szCs w:val="18"/>
                      </w:rPr>
                      <w:t>专项储备</w:t>
                    </w:r>
                  </w:p>
                </w:tc>
              </w:sdtContent>
            </w:sdt>
            <w:sdt>
              <w:sdtPr>
                <w:rPr>
                  <w:sz w:val="18"/>
                  <w:szCs w:val="18"/>
                </w:rPr>
                <w:tag w:val="_PLD_2e725c33b2e041bb93338723f6aadc17"/>
                <w:id w:val="6774024"/>
                <w:lock w:val="sdtLocked"/>
              </w:sdtPr>
              <w:sdtEndPr>
                <w:rPr>
                  <w:sz w:val="18"/>
                  <w:szCs w:val="18"/>
                </w:rPr>
              </w:sdtEndPr>
              <w:sdtContent>
                <w:tc>
                  <w:tcPr>
                    <w:tcW w:w="1418" w:type="dxa"/>
                    <w:vMerge w:val="restart"/>
                    <w:vAlign w:val="center"/>
                  </w:tcPr>
                  <w:p>
                    <w:pPr>
                      <w:adjustRightInd w:val="0"/>
                      <w:snapToGrid w:val="0"/>
                      <w:jc w:val="center"/>
                      <w:rPr>
                        <w:sz w:val="18"/>
                        <w:szCs w:val="18"/>
                      </w:rPr>
                    </w:pPr>
                    <w:r>
                      <w:rPr>
                        <w:sz w:val="18"/>
                        <w:szCs w:val="18"/>
                      </w:rPr>
                      <w:t>盈余公积</w:t>
                    </w:r>
                  </w:p>
                </w:tc>
              </w:sdtContent>
            </w:sdt>
            <w:sdt>
              <w:sdtPr>
                <w:rPr>
                  <w:sz w:val="18"/>
                  <w:szCs w:val="18"/>
                </w:rPr>
                <w:tag w:val="_PLD_cd33281bce29458cb3dcee3ae6e3a11b"/>
                <w:id w:val="6774025"/>
                <w:lock w:val="sdtLocked"/>
              </w:sdtPr>
              <w:sdtEndPr>
                <w:rPr>
                  <w:sz w:val="18"/>
                  <w:szCs w:val="18"/>
                </w:rPr>
              </w:sdtEndPr>
              <w:sdtContent>
                <w:tc>
                  <w:tcPr>
                    <w:tcW w:w="1417" w:type="dxa"/>
                    <w:vMerge w:val="restart"/>
                    <w:vAlign w:val="center"/>
                  </w:tcPr>
                  <w:p>
                    <w:pPr>
                      <w:adjustRightInd w:val="0"/>
                      <w:snapToGrid w:val="0"/>
                      <w:jc w:val="center"/>
                      <w:rPr>
                        <w:sz w:val="18"/>
                        <w:szCs w:val="18"/>
                      </w:rPr>
                    </w:pPr>
                    <w:r>
                      <w:rPr>
                        <w:sz w:val="18"/>
                        <w:szCs w:val="18"/>
                      </w:rPr>
                      <w:t>未分配利润</w:t>
                    </w:r>
                  </w:p>
                </w:tc>
              </w:sdtContent>
            </w:sdt>
            <w:sdt>
              <w:sdtPr>
                <w:rPr>
                  <w:sz w:val="18"/>
                  <w:szCs w:val="18"/>
                </w:rPr>
                <w:tag w:val="_PLD_89682a199bc34198bcb9cab8627351fc"/>
                <w:id w:val="6774026"/>
                <w:lock w:val="sdtLocked"/>
              </w:sdtPr>
              <w:sdtEndPr>
                <w:rPr>
                  <w:sz w:val="18"/>
                  <w:szCs w:val="18"/>
                </w:rPr>
              </w:sdtEndPr>
              <w:sdtContent>
                <w:tc>
                  <w:tcPr>
                    <w:tcW w:w="1560" w:type="dxa"/>
                    <w:vMerge w:val="restart"/>
                    <w:vAlign w:val="center"/>
                  </w:tcPr>
                  <w:p>
                    <w:pPr>
                      <w:adjustRightInd w:val="0"/>
                      <w:snapToGrid w:val="0"/>
                      <w:jc w:val="center"/>
                      <w:rPr>
                        <w:sz w:val="18"/>
                        <w:szCs w:val="18"/>
                      </w:rPr>
                    </w:pPr>
                    <w:r>
                      <w:rPr>
                        <w:sz w:val="18"/>
                        <w:szCs w:val="18"/>
                      </w:rPr>
                      <w:t>所有者权益合计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694" w:type="dxa"/>
                <w:vMerge w:val="continue"/>
              </w:tcPr>
              <w:p>
                <w:pPr>
                  <w:adjustRightInd w:val="0"/>
                  <w:snapToGrid w:val="0"/>
                  <w:rPr>
                    <w:sz w:val="18"/>
                    <w:szCs w:val="18"/>
                  </w:rPr>
                </w:pPr>
              </w:p>
            </w:tc>
            <w:tc>
              <w:tcPr>
                <w:tcW w:w="1418" w:type="dxa"/>
                <w:vMerge w:val="continue"/>
                <w:tcBorders>
                  <w:right w:val="single" w:color="auto" w:sz="4" w:space="0"/>
                </w:tcBorders>
              </w:tcPr>
              <w:p>
                <w:pPr>
                  <w:adjustRightInd w:val="0"/>
                  <w:snapToGrid w:val="0"/>
                  <w:jc w:val="center"/>
                  <w:rPr>
                    <w:sz w:val="18"/>
                    <w:szCs w:val="18"/>
                  </w:rPr>
                </w:pPr>
              </w:p>
            </w:tc>
            <w:sdt>
              <w:sdtPr>
                <w:rPr>
                  <w:sz w:val="18"/>
                  <w:szCs w:val="18"/>
                </w:rPr>
                <w:tag w:val="_PLD_841bf01d07934bd49c3bc0ef99a1b261"/>
                <w:id w:val="6774027"/>
                <w:lock w:val="sdtLocked"/>
              </w:sdtPr>
              <w:sdtEndPr>
                <w:rPr>
                  <w:sz w:val="18"/>
                  <w:szCs w:val="18"/>
                </w:rPr>
              </w:sdtEndPr>
              <w:sdtContent>
                <w:tc>
                  <w:tcPr>
                    <w:tcW w:w="70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优先股</w:t>
                    </w:r>
                  </w:p>
                </w:tc>
              </w:sdtContent>
            </w:sdt>
            <w:sdt>
              <w:sdtPr>
                <w:rPr>
                  <w:sz w:val="18"/>
                  <w:szCs w:val="18"/>
                </w:rPr>
                <w:tag w:val="_PLD_7ba92ada659042e181e40f3d17825af9"/>
                <w:id w:val="6774028"/>
                <w:lock w:val="sdtLocked"/>
              </w:sdtPr>
              <w:sdtEndPr>
                <w:rPr>
                  <w:sz w:val="18"/>
                  <w:szCs w:val="18"/>
                </w:rPr>
              </w:sdtEndPr>
              <w:sdtContent>
                <w:tc>
                  <w:tcPr>
                    <w:tcW w:w="850"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永续债</w:t>
                    </w:r>
                  </w:p>
                </w:tc>
              </w:sdtContent>
            </w:sdt>
            <w:sdt>
              <w:sdtPr>
                <w:rPr>
                  <w:sz w:val="18"/>
                  <w:szCs w:val="18"/>
                </w:rPr>
                <w:tag w:val="_PLD_84fb76f0649841a1abe99b5d90b7a76d"/>
                <w:id w:val="6774029"/>
                <w:lock w:val="sdtLocked"/>
              </w:sdtPr>
              <w:sdtEndPr>
                <w:rPr>
                  <w:sz w:val="18"/>
                  <w:szCs w:val="18"/>
                </w:rPr>
              </w:sdtEndPr>
              <w:sdtContent>
                <w:tc>
                  <w:tcPr>
                    <w:tcW w:w="709" w:type="dxa"/>
                    <w:tcBorders>
                      <w:top w:val="single" w:color="auto" w:sz="4" w:space="0"/>
                      <w:left w:val="single" w:color="auto" w:sz="4" w:space="0"/>
                    </w:tcBorders>
                    <w:vAlign w:val="center"/>
                  </w:tcPr>
                  <w:p>
                    <w:pPr>
                      <w:adjustRightInd w:val="0"/>
                      <w:snapToGrid w:val="0"/>
                      <w:jc w:val="center"/>
                      <w:rPr>
                        <w:sz w:val="18"/>
                        <w:szCs w:val="18"/>
                      </w:rPr>
                    </w:pPr>
                    <w:r>
                      <w:rPr>
                        <w:rFonts w:hint="eastAsia"/>
                        <w:sz w:val="18"/>
                        <w:szCs w:val="18"/>
                      </w:rPr>
                      <w:t>其他</w:t>
                    </w:r>
                  </w:p>
                </w:tc>
              </w:sdtContent>
            </w:sdt>
            <w:tc>
              <w:tcPr>
                <w:tcW w:w="1276" w:type="dxa"/>
                <w:vMerge w:val="continue"/>
              </w:tcPr>
              <w:p>
                <w:pPr>
                  <w:adjustRightInd w:val="0"/>
                  <w:snapToGrid w:val="0"/>
                  <w:jc w:val="center"/>
                  <w:rPr>
                    <w:sz w:val="18"/>
                    <w:szCs w:val="18"/>
                  </w:rPr>
                </w:pPr>
              </w:p>
            </w:tc>
            <w:tc>
              <w:tcPr>
                <w:tcW w:w="708" w:type="dxa"/>
                <w:vMerge w:val="continue"/>
              </w:tcPr>
              <w:p>
                <w:pPr>
                  <w:adjustRightInd w:val="0"/>
                  <w:snapToGrid w:val="0"/>
                  <w:jc w:val="center"/>
                  <w:rPr>
                    <w:sz w:val="18"/>
                    <w:szCs w:val="18"/>
                  </w:rPr>
                </w:pPr>
              </w:p>
            </w:tc>
            <w:tc>
              <w:tcPr>
                <w:tcW w:w="993" w:type="dxa"/>
                <w:vMerge w:val="continue"/>
              </w:tcPr>
              <w:p>
                <w:pPr>
                  <w:jc w:val="center"/>
                  <w:rPr>
                    <w:sz w:val="18"/>
                    <w:szCs w:val="18"/>
                  </w:rPr>
                </w:pPr>
              </w:p>
            </w:tc>
            <w:tc>
              <w:tcPr>
                <w:tcW w:w="1275" w:type="dxa"/>
                <w:vMerge w:val="continue"/>
              </w:tcPr>
              <w:p>
                <w:pPr>
                  <w:adjustRightInd w:val="0"/>
                  <w:snapToGrid w:val="0"/>
                  <w:jc w:val="center"/>
                  <w:rPr>
                    <w:sz w:val="18"/>
                    <w:szCs w:val="18"/>
                  </w:rPr>
                </w:pPr>
              </w:p>
            </w:tc>
            <w:tc>
              <w:tcPr>
                <w:tcW w:w="1418" w:type="dxa"/>
                <w:vMerge w:val="continue"/>
              </w:tcPr>
              <w:p>
                <w:pPr>
                  <w:adjustRightInd w:val="0"/>
                  <w:snapToGrid w:val="0"/>
                  <w:jc w:val="center"/>
                  <w:rPr>
                    <w:sz w:val="18"/>
                    <w:szCs w:val="18"/>
                  </w:rPr>
                </w:pPr>
              </w:p>
            </w:tc>
            <w:tc>
              <w:tcPr>
                <w:tcW w:w="1417" w:type="dxa"/>
                <w:vMerge w:val="continue"/>
              </w:tcPr>
              <w:p>
                <w:pPr>
                  <w:adjustRightInd w:val="0"/>
                  <w:snapToGrid w:val="0"/>
                  <w:jc w:val="center"/>
                  <w:rPr>
                    <w:sz w:val="18"/>
                    <w:szCs w:val="18"/>
                  </w:rPr>
                </w:pPr>
              </w:p>
            </w:tc>
            <w:tc>
              <w:tcPr>
                <w:tcW w:w="1560" w:type="dxa"/>
                <w:vMerge w:val="continue"/>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eb5e30a928e14aaba807f25327d00a75"/>
                <w:id w:val="6774030"/>
                <w:lock w:val="sdtLocked"/>
              </w:sdtPr>
              <w:sdtEndPr>
                <w:rPr>
                  <w:sz w:val="18"/>
                  <w:szCs w:val="18"/>
                </w:rPr>
              </w:sdtEndPr>
              <w:sdtContent>
                <w:tc>
                  <w:tcPr>
                    <w:tcW w:w="2694" w:type="dxa"/>
                  </w:tcPr>
                  <w:p>
                    <w:pPr>
                      <w:rPr>
                        <w:sz w:val="18"/>
                        <w:szCs w:val="18"/>
                      </w:rPr>
                    </w:pPr>
                    <w:r>
                      <w:rPr>
                        <w:sz w:val="18"/>
                        <w:szCs w:val="18"/>
                      </w:rPr>
                      <w:t>一、上年</w:t>
                    </w:r>
                    <w:r>
                      <w:rPr>
                        <w:rFonts w:hint="eastAsia"/>
                        <w:sz w:val="18"/>
                        <w:szCs w:val="18"/>
                      </w:rPr>
                      <w:t>期</w:t>
                    </w:r>
                    <w:r>
                      <w:rPr>
                        <w:sz w:val="18"/>
                        <w:szCs w:val="18"/>
                      </w:rPr>
                      <w:t>末余额</w:t>
                    </w:r>
                  </w:p>
                </w:tc>
              </w:sdtContent>
            </w:sdt>
            <w:tc>
              <w:tcPr>
                <w:tcW w:w="1418" w:type="dxa"/>
                <w:tcBorders>
                  <w:right w:val="single" w:color="auto" w:sz="4" w:space="0"/>
                </w:tcBorders>
                <w:vAlign w:val="center"/>
              </w:tcPr>
              <w:p>
                <w:pPr>
                  <w:jc w:val="right"/>
                  <w:rPr>
                    <w:rFonts w:ascii="Arial Narrow" w:hAnsi="Arial Narrow"/>
                    <w:sz w:val="18"/>
                    <w:szCs w:val="18"/>
                  </w:rPr>
                </w:pPr>
                <w:r>
                  <w:rPr>
                    <w:rFonts w:ascii="Arial Narrow" w:hAnsi="Arial Narrow"/>
                    <w:sz w:val="18"/>
                    <w:szCs w:val="18"/>
                  </w:rPr>
                  <w:t>2,562,793,200.00</w:t>
                </w: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1276" w:type="dxa"/>
                <w:tcBorders>
                  <w:left w:val="single" w:color="auto" w:sz="4" w:space="0"/>
                </w:tcBorders>
                <w:vAlign w:val="center"/>
              </w:tcPr>
              <w:p>
                <w:pPr>
                  <w:jc w:val="right"/>
                  <w:rPr>
                    <w:rFonts w:ascii="Arial Narrow" w:hAnsi="Arial Narrow"/>
                    <w:sz w:val="18"/>
                    <w:szCs w:val="18"/>
                  </w:rPr>
                </w:pPr>
                <w:r>
                  <w:rPr>
                    <w:rFonts w:ascii="Arial Narrow" w:hAnsi="Arial Narrow"/>
                    <w:sz w:val="18"/>
                    <w:szCs w:val="18"/>
                  </w:rPr>
                  <w:t>208,436,169.08</w:t>
                </w: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r>
                  <w:rPr>
                    <w:rFonts w:ascii="Arial Narrow" w:hAnsi="Arial Narrow"/>
                    <w:sz w:val="18"/>
                    <w:szCs w:val="18"/>
                  </w:rPr>
                  <w:t>6,103,133.51</w:t>
                </w:r>
              </w:p>
            </w:tc>
            <w:tc>
              <w:tcPr>
                <w:tcW w:w="1418" w:type="dxa"/>
                <w:vAlign w:val="center"/>
              </w:tcPr>
              <w:p>
                <w:pPr>
                  <w:jc w:val="right"/>
                  <w:rPr>
                    <w:rFonts w:ascii="Arial Narrow" w:hAnsi="Arial Narrow"/>
                    <w:sz w:val="18"/>
                    <w:szCs w:val="18"/>
                  </w:rPr>
                </w:pPr>
                <w:r>
                  <w:rPr>
                    <w:rFonts w:ascii="Arial Narrow" w:hAnsi="Arial Narrow"/>
                    <w:sz w:val="18"/>
                    <w:szCs w:val="18"/>
                  </w:rPr>
                  <w:t>972,441,693.18</w:t>
                </w:r>
              </w:p>
            </w:tc>
            <w:tc>
              <w:tcPr>
                <w:tcW w:w="1417" w:type="dxa"/>
                <w:vAlign w:val="center"/>
              </w:tcPr>
              <w:p>
                <w:pPr>
                  <w:jc w:val="right"/>
                  <w:rPr>
                    <w:rFonts w:ascii="Arial Narrow" w:hAnsi="Arial Narrow"/>
                    <w:sz w:val="18"/>
                    <w:szCs w:val="18"/>
                  </w:rPr>
                </w:pPr>
                <w:r>
                  <w:rPr>
                    <w:rFonts w:ascii="Arial Narrow" w:hAnsi="Arial Narrow"/>
                    <w:sz w:val="18"/>
                    <w:szCs w:val="18"/>
                  </w:rPr>
                  <w:t>885,130,382.22</w:t>
                </w:r>
              </w:p>
            </w:tc>
            <w:tc>
              <w:tcPr>
                <w:tcW w:w="1560" w:type="dxa"/>
                <w:vAlign w:val="center"/>
              </w:tcPr>
              <w:p>
                <w:pPr>
                  <w:jc w:val="right"/>
                  <w:rPr>
                    <w:rFonts w:ascii="Arial Narrow" w:hAnsi="Arial Narrow"/>
                    <w:sz w:val="18"/>
                    <w:szCs w:val="18"/>
                  </w:rPr>
                </w:pPr>
                <w:r>
                  <w:rPr>
                    <w:rFonts w:ascii="Arial Narrow" w:hAnsi="Arial Narrow"/>
                    <w:sz w:val="18"/>
                    <w:szCs w:val="18"/>
                  </w:rPr>
                  <w:t>4,634,904,577.99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cc63e34f24f456280d8006d093a1492"/>
                <w:id w:val="6774031"/>
                <w:lock w:val="sdtLocked"/>
              </w:sdtPr>
              <w:sdtEndPr>
                <w:rPr>
                  <w:sz w:val="18"/>
                  <w:szCs w:val="18"/>
                </w:rPr>
              </w:sdtEndPr>
              <w:sdtContent>
                <w:tc>
                  <w:tcPr>
                    <w:tcW w:w="2694" w:type="dxa"/>
                  </w:tcPr>
                  <w:p>
                    <w:pPr>
                      <w:rPr>
                        <w:sz w:val="18"/>
                        <w:szCs w:val="18"/>
                      </w:rPr>
                    </w:pPr>
                    <w:r>
                      <w:rPr>
                        <w:sz w:val="18"/>
                        <w:szCs w:val="18"/>
                      </w:rPr>
                      <w:t>加：会计政策变更</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1276" w:type="dxa"/>
                <w:tcBorders>
                  <w:left w:val="single" w:color="auto" w:sz="4" w:space="0"/>
                </w:tcBorders>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d1ba3ba17a444e6baa0b97ff578009cd"/>
                <w:id w:val="6774032"/>
                <w:lock w:val="sdtLocked"/>
              </w:sdtPr>
              <w:sdtEndPr>
                <w:rPr>
                  <w:sz w:val="18"/>
                  <w:szCs w:val="18"/>
                </w:rPr>
              </w:sdtEndPr>
              <w:sdtContent>
                <w:tc>
                  <w:tcPr>
                    <w:tcW w:w="2694" w:type="dxa"/>
                  </w:tcPr>
                  <w:p>
                    <w:pPr>
                      <w:ind w:firstLine="360" w:firstLineChars="200"/>
                      <w:rPr>
                        <w:sz w:val="18"/>
                        <w:szCs w:val="18"/>
                      </w:rPr>
                    </w:pPr>
                    <w:r>
                      <w:rPr>
                        <w:sz w:val="18"/>
                        <w:szCs w:val="18"/>
                      </w:rPr>
                      <w:t>前期差错更正</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1276" w:type="dxa"/>
                <w:tcBorders>
                  <w:left w:val="single" w:color="auto" w:sz="4" w:space="0"/>
                </w:tcBorders>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0b45cf2c297479b91a98241217eb888"/>
                <w:id w:val="6774033"/>
                <w:lock w:val="sdtLocked"/>
              </w:sdtPr>
              <w:sdtEndPr>
                <w:rPr>
                  <w:sz w:val="18"/>
                  <w:szCs w:val="18"/>
                </w:rPr>
              </w:sdtEndPr>
              <w:sdtContent>
                <w:tc>
                  <w:tcPr>
                    <w:tcW w:w="2694" w:type="dxa"/>
                  </w:tcPr>
                  <w:p>
                    <w:pPr>
                      <w:ind w:firstLine="360" w:firstLineChars="200"/>
                      <w:rPr>
                        <w:sz w:val="18"/>
                        <w:szCs w:val="18"/>
                      </w:rPr>
                    </w:pPr>
                    <w:r>
                      <w:rPr>
                        <w:rFonts w:hint="eastAsia"/>
                        <w:sz w:val="18"/>
                        <w:szCs w:val="18"/>
                      </w:rPr>
                      <w:t>其他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1276" w:type="dxa"/>
                <w:tcBorders>
                  <w:left w:val="single" w:color="auto" w:sz="4" w:space="0"/>
                </w:tcBorders>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2938f50c38814afa8ad356c61d276896"/>
                <w:id w:val="6774034"/>
                <w:lock w:val="sdtLocked"/>
              </w:sdtPr>
              <w:sdtEndPr>
                <w:rPr>
                  <w:sz w:val="18"/>
                  <w:szCs w:val="18"/>
                </w:rPr>
              </w:sdtEndPr>
              <w:sdtContent>
                <w:tc>
                  <w:tcPr>
                    <w:tcW w:w="2694" w:type="dxa"/>
                  </w:tcPr>
                  <w:p>
                    <w:pPr>
                      <w:rPr>
                        <w:sz w:val="18"/>
                        <w:szCs w:val="18"/>
                      </w:rPr>
                    </w:pPr>
                    <w:r>
                      <w:rPr>
                        <w:sz w:val="18"/>
                        <w:szCs w:val="18"/>
                      </w:rPr>
                      <w:t>二、本年</w:t>
                    </w:r>
                    <w:r>
                      <w:rPr>
                        <w:rFonts w:hint="eastAsia"/>
                        <w:sz w:val="18"/>
                        <w:szCs w:val="18"/>
                      </w:rPr>
                      <w:t>期</w:t>
                    </w:r>
                    <w:r>
                      <w:rPr>
                        <w:sz w:val="18"/>
                        <w:szCs w:val="18"/>
                      </w:rPr>
                      <w:t>初余额</w:t>
                    </w:r>
                  </w:p>
                </w:tc>
              </w:sdtContent>
            </w:sdt>
            <w:tc>
              <w:tcPr>
                <w:tcW w:w="1418" w:type="dxa"/>
                <w:tcBorders>
                  <w:right w:val="single" w:color="auto" w:sz="4" w:space="0"/>
                </w:tcBorders>
                <w:vAlign w:val="center"/>
              </w:tcPr>
              <w:p>
                <w:pPr>
                  <w:jc w:val="right"/>
                  <w:rPr>
                    <w:rFonts w:ascii="Arial Narrow" w:hAnsi="Arial Narrow"/>
                    <w:sz w:val="18"/>
                    <w:szCs w:val="18"/>
                  </w:rPr>
                </w:pPr>
                <w:r>
                  <w:rPr>
                    <w:rFonts w:ascii="Arial Narrow" w:hAnsi="Arial Narrow"/>
                    <w:sz w:val="18"/>
                    <w:szCs w:val="18"/>
                  </w:rPr>
                  <w:t>2,562,793,200.00</w:t>
                </w: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1276" w:type="dxa"/>
                <w:tcBorders>
                  <w:left w:val="single" w:color="auto" w:sz="4" w:space="0"/>
                </w:tcBorders>
                <w:vAlign w:val="center"/>
              </w:tcPr>
              <w:p>
                <w:pPr>
                  <w:jc w:val="right"/>
                  <w:rPr>
                    <w:rFonts w:ascii="Arial Narrow" w:hAnsi="Arial Narrow"/>
                    <w:sz w:val="18"/>
                    <w:szCs w:val="18"/>
                  </w:rPr>
                </w:pPr>
                <w:r>
                  <w:rPr>
                    <w:rFonts w:ascii="Arial Narrow" w:hAnsi="Arial Narrow"/>
                    <w:sz w:val="18"/>
                    <w:szCs w:val="18"/>
                  </w:rPr>
                  <w:t>208,436,169.08</w:t>
                </w: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r>
                  <w:rPr>
                    <w:rFonts w:ascii="Arial Narrow" w:hAnsi="Arial Narrow"/>
                    <w:sz w:val="18"/>
                    <w:szCs w:val="18"/>
                  </w:rPr>
                  <w:t>6,103,133.51</w:t>
                </w:r>
              </w:p>
            </w:tc>
            <w:tc>
              <w:tcPr>
                <w:tcW w:w="1418" w:type="dxa"/>
                <w:vAlign w:val="center"/>
              </w:tcPr>
              <w:p>
                <w:pPr>
                  <w:jc w:val="right"/>
                  <w:rPr>
                    <w:rFonts w:ascii="Arial Narrow" w:hAnsi="Arial Narrow"/>
                    <w:sz w:val="18"/>
                    <w:szCs w:val="18"/>
                  </w:rPr>
                </w:pPr>
                <w:r>
                  <w:rPr>
                    <w:rFonts w:ascii="Arial Narrow" w:hAnsi="Arial Narrow"/>
                    <w:sz w:val="18"/>
                    <w:szCs w:val="18"/>
                  </w:rPr>
                  <w:t>972,441,693.18</w:t>
                </w:r>
              </w:p>
            </w:tc>
            <w:tc>
              <w:tcPr>
                <w:tcW w:w="1417" w:type="dxa"/>
                <w:vAlign w:val="center"/>
              </w:tcPr>
              <w:p>
                <w:pPr>
                  <w:jc w:val="right"/>
                  <w:rPr>
                    <w:rFonts w:ascii="Arial Narrow" w:hAnsi="Arial Narrow"/>
                    <w:sz w:val="18"/>
                    <w:szCs w:val="18"/>
                  </w:rPr>
                </w:pPr>
                <w:r>
                  <w:rPr>
                    <w:rFonts w:ascii="Arial Narrow" w:hAnsi="Arial Narrow"/>
                    <w:sz w:val="18"/>
                    <w:szCs w:val="18"/>
                  </w:rPr>
                  <w:t>885,130,382.22</w:t>
                </w:r>
              </w:p>
            </w:tc>
            <w:tc>
              <w:tcPr>
                <w:tcW w:w="1560" w:type="dxa"/>
                <w:vAlign w:val="center"/>
              </w:tcPr>
              <w:p>
                <w:pPr>
                  <w:jc w:val="right"/>
                  <w:rPr>
                    <w:rFonts w:ascii="Arial Narrow" w:hAnsi="Arial Narrow"/>
                    <w:sz w:val="18"/>
                    <w:szCs w:val="18"/>
                  </w:rPr>
                </w:pPr>
                <w:r>
                  <w:rPr>
                    <w:rFonts w:ascii="Arial Narrow" w:hAnsi="Arial Narrow"/>
                    <w:sz w:val="18"/>
                    <w:szCs w:val="18"/>
                  </w:rPr>
                  <w:t>4,634,904,577.99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d04bd5038f544071bc357d480f3ebaf5"/>
                <w:id w:val="6774035"/>
                <w:lock w:val="sdtLocked"/>
              </w:sdtPr>
              <w:sdtEndPr>
                <w:rPr>
                  <w:sz w:val="18"/>
                  <w:szCs w:val="18"/>
                </w:rPr>
              </w:sdtEndPr>
              <w:sdtContent>
                <w:tc>
                  <w:tcPr>
                    <w:tcW w:w="2694" w:type="dxa"/>
                  </w:tcPr>
                  <w:p>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r>
                  <w:rPr>
                    <w:rFonts w:ascii="Arial Narrow" w:hAnsi="Arial Narrow"/>
                    <w:sz w:val="18"/>
                    <w:szCs w:val="18"/>
                  </w:rPr>
                  <w:t>-4,999,143.52</w:t>
                </w:r>
              </w:p>
            </w:tc>
            <w:tc>
              <w:tcPr>
                <w:tcW w:w="1418" w:type="dxa"/>
                <w:vAlign w:val="center"/>
              </w:tcPr>
              <w:p>
                <w:pPr>
                  <w:jc w:val="right"/>
                  <w:rPr>
                    <w:rFonts w:ascii="Arial Narrow" w:hAnsi="Arial Narrow"/>
                    <w:sz w:val="18"/>
                    <w:szCs w:val="18"/>
                  </w:rPr>
                </w:pPr>
                <w:r>
                  <w:rPr>
                    <w:rFonts w:ascii="Arial Narrow" w:hAnsi="Arial Narrow"/>
                    <w:sz w:val="18"/>
                    <w:szCs w:val="18"/>
                  </w:rPr>
                  <w:t>264,617,629.37</w:t>
                </w:r>
              </w:p>
            </w:tc>
            <w:tc>
              <w:tcPr>
                <w:tcW w:w="1417" w:type="dxa"/>
                <w:vAlign w:val="center"/>
              </w:tcPr>
              <w:p>
                <w:pPr>
                  <w:jc w:val="right"/>
                  <w:rPr>
                    <w:rFonts w:ascii="Arial Narrow" w:hAnsi="Arial Narrow"/>
                    <w:sz w:val="18"/>
                    <w:szCs w:val="18"/>
                  </w:rPr>
                </w:pPr>
                <w:r>
                  <w:rPr>
                    <w:rFonts w:ascii="Arial Narrow" w:hAnsi="Arial Narrow"/>
                    <w:sz w:val="18"/>
                    <w:szCs w:val="18"/>
                  </w:rPr>
                  <w:t>2,304,674,868.30</w:t>
                </w:r>
              </w:p>
            </w:tc>
            <w:tc>
              <w:tcPr>
                <w:tcW w:w="1560" w:type="dxa"/>
                <w:vAlign w:val="center"/>
              </w:tcPr>
              <w:p>
                <w:pPr>
                  <w:jc w:val="right"/>
                  <w:rPr>
                    <w:rFonts w:ascii="Arial Narrow" w:hAnsi="Arial Narrow"/>
                    <w:sz w:val="18"/>
                    <w:szCs w:val="18"/>
                  </w:rPr>
                </w:pPr>
                <w:r>
                  <w:rPr>
                    <w:rFonts w:ascii="Arial Narrow" w:hAnsi="Arial Narrow"/>
                    <w:sz w:val="18"/>
                    <w:szCs w:val="18"/>
                  </w:rPr>
                  <w:t>2,564,293,354.15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9199ac2e3d424322b3dbb06cfe5fb25d"/>
                <w:id w:val="6774036"/>
                <w:lock w:val="sdtLocked"/>
              </w:sdtPr>
              <w:sdtEndPr>
                <w:rPr>
                  <w:sz w:val="18"/>
                  <w:szCs w:val="18"/>
                </w:rPr>
              </w:sdtEndPr>
              <w:sdtContent>
                <w:tc>
                  <w:tcPr>
                    <w:tcW w:w="2694" w:type="dxa"/>
                  </w:tcPr>
                  <w:p>
                    <w:pPr>
                      <w:rPr>
                        <w:sz w:val="18"/>
                        <w:szCs w:val="18"/>
                      </w:rPr>
                    </w:pPr>
                    <w:r>
                      <w:rPr>
                        <w:rFonts w:hint="eastAsia"/>
                        <w:sz w:val="18"/>
                        <w:szCs w:val="18"/>
                      </w:rPr>
                      <w:t>（一）综合收益总额</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r>
                  <w:rPr>
                    <w:rFonts w:ascii="Arial Narrow" w:hAnsi="Arial Narrow"/>
                    <w:sz w:val="18"/>
                    <w:szCs w:val="18"/>
                  </w:rPr>
                  <w:t>2,646,176,293.67</w:t>
                </w:r>
              </w:p>
            </w:tc>
            <w:tc>
              <w:tcPr>
                <w:tcW w:w="1560" w:type="dxa"/>
                <w:vAlign w:val="center"/>
              </w:tcPr>
              <w:p>
                <w:pPr>
                  <w:jc w:val="right"/>
                  <w:rPr>
                    <w:rFonts w:ascii="Arial Narrow" w:hAnsi="Arial Narrow"/>
                    <w:sz w:val="18"/>
                    <w:szCs w:val="18"/>
                  </w:rPr>
                </w:pPr>
                <w:r>
                  <w:rPr>
                    <w:rFonts w:ascii="Arial Narrow" w:hAnsi="Arial Narrow"/>
                    <w:sz w:val="18"/>
                    <w:szCs w:val="18"/>
                  </w:rPr>
                  <w:t>2,646,176,293.6</w:t>
                </w:r>
                <w:r>
                  <w:rPr>
                    <w:rFonts w:hint="eastAsia" w:ascii="Arial Narrow" w:hAnsi="Arial Narrow"/>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0b9d35e42ea74961916d0d336d92dbad"/>
                <w:id w:val="6774037"/>
                <w:lock w:val="sdtLocked"/>
              </w:sdtPr>
              <w:sdtEndPr>
                <w:rPr>
                  <w:sz w:val="18"/>
                  <w:szCs w:val="18"/>
                </w:rPr>
              </w:sdtEndPr>
              <w:sdtContent>
                <w:tc>
                  <w:tcPr>
                    <w:tcW w:w="2694" w:type="dxa"/>
                  </w:tcPr>
                  <w:p>
                    <w:pPr>
                      <w:rPr>
                        <w:sz w:val="18"/>
                        <w:szCs w:val="18"/>
                      </w:rPr>
                    </w:pPr>
                    <w:r>
                      <w:rPr>
                        <w:sz w:val="18"/>
                        <w:szCs w:val="18"/>
                      </w:rPr>
                      <w:t>（</w:t>
                    </w:r>
                    <w:r>
                      <w:rPr>
                        <w:rFonts w:hint="eastAsia"/>
                        <w:sz w:val="18"/>
                        <w:szCs w:val="18"/>
                      </w:rPr>
                      <w:t>二</w:t>
                    </w:r>
                    <w:r>
                      <w:rPr>
                        <w:sz w:val="18"/>
                        <w:szCs w:val="18"/>
                      </w:rPr>
                      <w:t>）所有者投入和减少资本</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ce40df76fe174d788a3cbf39fbf906e2"/>
                <w:id w:val="6774038"/>
                <w:lock w:val="sdtLocked"/>
              </w:sdtPr>
              <w:sdtEndPr>
                <w:rPr>
                  <w:sz w:val="18"/>
                  <w:szCs w:val="18"/>
                </w:rPr>
              </w:sdtEndPr>
              <w:sdtContent>
                <w:tc>
                  <w:tcPr>
                    <w:tcW w:w="2694" w:type="dxa"/>
                  </w:tcPr>
                  <w:p>
                    <w:pPr>
                      <w:rPr>
                        <w:sz w:val="18"/>
                        <w:szCs w:val="18"/>
                      </w:rPr>
                    </w:pPr>
                    <w:r>
                      <w:rPr>
                        <w:rFonts w:hint="eastAsia"/>
                        <w:sz w:val="18"/>
                        <w:szCs w:val="18"/>
                      </w:rPr>
                      <w:t>1．股东投入的普通股</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77618b33f14f4416971b0420b4437b78"/>
                <w:id w:val="6774039"/>
                <w:lock w:val="sdtLocked"/>
              </w:sdtPr>
              <w:sdtEndPr>
                <w:rPr>
                  <w:sz w:val="18"/>
                  <w:szCs w:val="18"/>
                </w:rPr>
              </w:sdtEndPr>
              <w:sdtContent>
                <w:tc>
                  <w:tcPr>
                    <w:tcW w:w="2694" w:type="dxa"/>
                  </w:tcPr>
                  <w:p>
                    <w:pPr>
                      <w:rPr>
                        <w:sz w:val="18"/>
                        <w:szCs w:val="18"/>
                      </w:rPr>
                    </w:pPr>
                    <w:r>
                      <w:rPr>
                        <w:rFonts w:hint="eastAsia"/>
                        <w:sz w:val="18"/>
                        <w:szCs w:val="18"/>
                      </w:rPr>
                      <w:t>2．其他权益工具持有者投入资本</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ae0959aa807843dfa50fe342e0ed462b"/>
                <w:id w:val="6774040"/>
                <w:lock w:val="sdtLocked"/>
              </w:sdtPr>
              <w:sdtEndPr>
                <w:rPr>
                  <w:sz w:val="18"/>
                  <w:szCs w:val="18"/>
                </w:rPr>
              </w:sdtEndPr>
              <w:sdtContent>
                <w:tc>
                  <w:tcPr>
                    <w:tcW w:w="2694" w:type="dxa"/>
                  </w:tcPr>
                  <w:p>
                    <w:pPr>
                      <w:rPr>
                        <w:sz w:val="18"/>
                        <w:szCs w:val="18"/>
                      </w:rPr>
                    </w:pPr>
                    <w:r>
                      <w:rPr>
                        <w:rFonts w:hint="eastAsia"/>
                        <w:sz w:val="18"/>
                        <w:szCs w:val="18"/>
                      </w:rPr>
                      <w:t>3</w:t>
                    </w:r>
                    <w:r>
                      <w:rPr>
                        <w:sz w:val="18"/>
                        <w:szCs w:val="18"/>
                      </w:rPr>
                      <w:t>．股份支付计入所有者权益的金额</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b72e42627176446b93a8522198f4b021"/>
                <w:id w:val="6774041"/>
                <w:lock w:val="sdtLocked"/>
              </w:sdtPr>
              <w:sdtEndPr>
                <w:rPr>
                  <w:sz w:val="18"/>
                  <w:szCs w:val="18"/>
                </w:rPr>
              </w:sdtEndPr>
              <w:sdtContent>
                <w:tc>
                  <w:tcPr>
                    <w:tcW w:w="2694" w:type="dxa"/>
                  </w:tcPr>
                  <w:p>
                    <w:pPr>
                      <w:rPr>
                        <w:sz w:val="18"/>
                        <w:szCs w:val="18"/>
                      </w:rPr>
                    </w:pPr>
                    <w:r>
                      <w:rPr>
                        <w:rFonts w:hint="eastAsia"/>
                        <w:sz w:val="18"/>
                        <w:szCs w:val="18"/>
                      </w:rPr>
                      <w:t>4</w:t>
                    </w:r>
                    <w:r>
                      <w:rPr>
                        <w:sz w:val="18"/>
                        <w:szCs w:val="18"/>
                      </w:rPr>
                      <w:t>．其他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149ddb58779e47318f6ced939cfaf931"/>
                <w:id w:val="6774042"/>
                <w:lock w:val="sdtLocked"/>
              </w:sdtPr>
              <w:sdtEndPr>
                <w:rPr>
                  <w:sz w:val="18"/>
                  <w:szCs w:val="18"/>
                </w:rPr>
              </w:sdtEndPr>
              <w:sdtContent>
                <w:tc>
                  <w:tcPr>
                    <w:tcW w:w="2694" w:type="dxa"/>
                  </w:tcPr>
                  <w:p>
                    <w:pPr>
                      <w:rPr>
                        <w:sz w:val="18"/>
                        <w:szCs w:val="18"/>
                      </w:rPr>
                    </w:pPr>
                    <w:r>
                      <w:rPr>
                        <w:sz w:val="18"/>
                        <w:szCs w:val="18"/>
                      </w:rPr>
                      <w:t>（</w:t>
                    </w:r>
                    <w:r>
                      <w:rPr>
                        <w:rFonts w:hint="eastAsia"/>
                        <w:sz w:val="18"/>
                        <w:szCs w:val="18"/>
                      </w:rPr>
                      <w:t>三</w:t>
                    </w:r>
                    <w:r>
                      <w:rPr>
                        <w:sz w:val="18"/>
                        <w:szCs w:val="18"/>
                      </w:rPr>
                      <w:t>）利润分配</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r>
                  <w:rPr>
                    <w:rFonts w:ascii="Arial Narrow" w:hAnsi="Arial Narrow"/>
                    <w:sz w:val="18"/>
                    <w:szCs w:val="18"/>
                  </w:rPr>
                  <w:t>264,617,629.37</w:t>
                </w:r>
              </w:p>
            </w:tc>
            <w:tc>
              <w:tcPr>
                <w:tcW w:w="1417" w:type="dxa"/>
                <w:vAlign w:val="center"/>
              </w:tcPr>
              <w:p>
                <w:pPr>
                  <w:jc w:val="right"/>
                  <w:rPr>
                    <w:rFonts w:ascii="Arial Narrow" w:hAnsi="Arial Narrow"/>
                    <w:sz w:val="18"/>
                    <w:szCs w:val="18"/>
                  </w:rPr>
                </w:pPr>
                <w:r>
                  <w:rPr>
                    <w:rFonts w:ascii="Arial Narrow" w:hAnsi="Arial Narrow"/>
                    <w:sz w:val="18"/>
                    <w:szCs w:val="18"/>
                  </w:rPr>
                  <w:t>-341,501,425.37</w:t>
                </w:r>
              </w:p>
            </w:tc>
            <w:tc>
              <w:tcPr>
                <w:tcW w:w="1560" w:type="dxa"/>
                <w:vAlign w:val="center"/>
              </w:tcPr>
              <w:p>
                <w:pPr>
                  <w:jc w:val="right"/>
                  <w:rPr>
                    <w:rFonts w:ascii="Arial Narrow" w:hAnsi="Arial Narrow"/>
                    <w:sz w:val="18"/>
                    <w:szCs w:val="18"/>
                  </w:rPr>
                </w:pPr>
                <w:r>
                  <w:rPr>
                    <w:rFonts w:ascii="Arial Narrow" w:hAnsi="Arial Narrow"/>
                    <w:sz w:val="18"/>
                    <w:szCs w:val="18"/>
                  </w:rPr>
                  <w:t>-76,883,796.00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0885972b0d1740959876d033089af80f"/>
                <w:id w:val="6774043"/>
                <w:lock w:val="sdtLocked"/>
              </w:sdtPr>
              <w:sdtEndPr>
                <w:rPr>
                  <w:sz w:val="18"/>
                  <w:szCs w:val="18"/>
                </w:rPr>
              </w:sdtEndPr>
              <w:sdtContent>
                <w:tc>
                  <w:tcPr>
                    <w:tcW w:w="2694" w:type="dxa"/>
                  </w:tcPr>
                  <w:p>
                    <w:pPr>
                      <w:rPr>
                        <w:sz w:val="18"/>
                        <w:szCs w:val="18"/>
                      </w:rPr>
                    </w:pPr>
                    <w:r>
                      <w:rPr>
                        <w:sz w:val="18"/>
                        <w:szCs w:val="18"/>
                      </w:rPr>
                      <w:t>1．提取盈余公积</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r>
                  <w:rPr>
                    <w:rFonts w:ascii="Arial Narrow" w:hAnsi="Arial Narrow"/>
                    <w:sz w:val="18"/>
                    <w:szCs w:val="18"/>
                  </w:rPr>
                  <w:t>264,617,629.37</w:t>
                </w:r>
              </w:p>
            </w:tc>
            <w:tc>
              <w:tcPr>
                <w:tcW w:w="1417" w:type="dxa"/>
                <w:vAlign w:val="center"/>
              </w:tcPr>
              <w:p>
                <w:pPr>
                  <w:jc w:val="right"/>
                  <w:rPr>
                    <w:rFonts w:ascii="Arial Narrow" w:hAnsi="Arial Narrow"/>
                    <w:sz w:val="18"/>
                    <w:szCs w:val="18"/>
                  </w:rPr>
                </w:pPr>
                <w:r>
                  <w:rPr>
                    <w:rFonts w:hint="eastAsia" w:ascii="Arial Narrow" w:hAnsi="Arial Narrow"/>
                    <w:sz w:val="18"/>
                    <w:szCs w:val="18"/>
                  </w:rPr>
                  <w:t>-</w:t>
                </w:r>
                <w:r>
                  <w:rPr>
                    <w:rFonts w:ascii="Arial Narrow" w:hAnsi="Arial Narrow"/>
                    <w:sz w:val="18"/>
                    <w:szCs w:val="18"/>
                  </w:rPr>
                  <w:t>264,617,629.37</w:t>
                </w: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61874f2f48554c9ebd8fdc96ecf6717c"/>
                <w:id w:val="6774044"/>
                <w:lock w:val="sdtLocked"/>
              </w:sdtPr>
              <w:sdtEndPr>
                <w:rPr>
                  <w:sz w:val="18"/>
                  <w:szCs w:val="18"/>
                </w:rPr>
              </w:sdtEndPr>
              <w:sdtContent>
                <w:tc>
                  <w:tcPr>
                    <w:tcW w:w="2694" w:type="dxa"/>
                  </w:tcPr>
                  <w:p>
                    <w:pPr>
                      <w:rPr>
                        <w:sz w:val="18"/>
                        <w:szCs w:val="18"/>
                      </w:rPr>
                    </w:pPr>
                    <w:r>
                      <w:rPr>
                        <w:rFonts w:hint="eastAsia"/>
                        <w:sz w:val="18"/>
                        <w:szCs w:val="18"/>
                      </w:rPr>
                      <w:t>2</w:t>
                    </w:r>
                    <w:r>
                      <w:rPr>
                        <w:sz w:val="18"/>
                        <w:szCs w:val="18"/>
                      </w:rPr>
                      <w:t>．对所有者（或股东）的分配</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r>
                  <w:rPr>
                    <w:rFonts w:ascii="Arial Narrow" w:hAnsi="Arial Narrow"/>
                    <w:sz w:val="18"/>
                    <w:szCs w:val="18"/>
                  </w:rPr>
                  <w:t>-76,883,796.00</w:t>
                </w:r>
              </w:p>
            </w:tc>
            <w:tc>
              <w:tcPr>
                <w:tcW w:w="1560" w:type="dxa"/>
                <w:vAlign w:val="center"/>
              </w:tcPr>
              <w:p>
                <w:pPr>
                  <w:jc w:val="right"/>
                  <w:rPr>
                    <w:rFonts w:ascii="Arial Narrow" w:hAnsi="Arial Narrow"/>
                    <w:sz w:val="18"/>
                    <w:szCs w:val="18"/>
                  </w:rPr>
                </w:pPr>
                <w:r>
                  <w:rPr>
                    <w:rFonts w:ascii="Arial Narrow" w:hAnsi="Arial Narrow"/>
                    <w:sz w:val="18"/>
                    <w:szCs w:val="18"/>
                  </w:rPr>
                  <w:t>-76,883,796.00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aca13776d4954d98bc54bc1420c286fa"/>
                <w:id w:val="6774045"/>
                <w:lock w:val="sdtLocked"/>
              </w:sdtPr>
              <w:sdtEndPr>
                <w:rPr>
                  <w:sz w:val="18"/>
                  <w:szCs w:val="18"/>
                </w:rPr>
              </w:sdtEndPr>
              <w:sdtContent>
                <w:tc>
                  <w:tcPr>
                    <w:tcW w:w="2694" w:type="dxa"/>
                  </w:tcPr>
                  <w:p>
                    <w:pPr>
                      <w:rPr>
                        <w:sz w:val="18"/>
                        <w:szCs w:val="18"/>
                      </w:rPr>
                    </w:pPr>
                    <w:r>
                      <w:rPr>
                        <w:rFonts w:hint="eastAsia"/>
                        <w:sz w:val="18"/>
                        <w:szCs w:val="18"/>
                      </w:rPr>
                      <w:t>3</w:t>
                    </w:r>
                    <w:r>
                      <w:rPr>
                        <w:sz w:val="18"/>
                        <w:szCs w:val="18"/>
                      </w:rPr>
                      <w:t>．其他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7d37c561e3c24bac84ce8a4df8ea0f18"/>
                <w:id w:val="6774046"/>
                <w:lock w:val="sdtLocked"/>
              </w:sdtPr>
              <w:sdtEndPr>
                <w:rPr>
                  <w:sz w:val="18"/>
                  <w:szCs w:val="18"/>
                </w:rPr>
              </w:sdtEndPr>
              <w:sdtContent>
                <w:tc>
                  <w:tcPr>
                    <w:tcW w:w="2694" w:type="dxa"/>
                  </w:tcPr>
                  <w:p>
                    <w:pPr>
                      <w:rPr>
                        <w:sz w:val="18"/>
                        <w:szCs w:val="18"/>
                      </w:rPr>
                    </w:pPr>
                    <w:r>
                      <w:rPr>
                        <w:sz w:val="18"/>
                        <w:szCs w:val="18"/>
                      </w:rPr>
                      <w:t>（</w:t>
                    </w:r>
                    <w:r>
                      <w:rPr>
                        <w:rFonts w:hint="eastAsia"/>
                        <w:sz w:val="18"/>
                        <w:szCs w:val="18"/>
                      </w:rPr>
                      <w:t>四</w:t>
                    </w:r>
                    <w:r>
                      <w:rPr>
                        <w:sz w:val="18"/>
                        <w:szCs w:val="18"/>
                      </w:rPr>
                      <w:t>）所有者权益内部结转</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bfc4f180cfd64bd182d59e7106b369a6"/>
                <w:id w:val="6774047"/>
                <w:lock w:val="sdtLocked"/>
              </w:sdtPr>
              <w:sdtEndPr>
                <w:rPr>
                  <w:sz w:val="18"/>
                  <w:szCs w:val="18"/>
                </w:rPr>
              </w:sdtEndPr>
              <w:sdtContent>
                <w:tc>
                  <w:tcPr>
                    <w:tcW w:w="2694" w:type="dxa"/>
                  </w:tcPr>
                  <w:p>
                    <w:pPr>
                      <w:rPr>
                        <w:sz w:val="18"/>
                        <w:szCs w:val="18"/>
                      </w:rPr>
                    </w:pPr>
                    <w:r>
                      <w:rPr>
                        <w:sz w:val="18"/>
                        <w:szCs w:val="18"/>
                      </w:rPr>
                      <w:t>1．资本公积转增资本（或股本）</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ce97420c942c4f8384add8001fcf6fe5"/>
                <w:id w:val="6774048"/>
                <w:lock w:val="sdtLocked"/>
              </w:sdtPr>
              <w:sdtEndPr>
                <w:rPr>
                  <w:sz w:val="18"/>
                  <w:szCs w:val="18"/>
                </w:rPr>
              </w:sdtEndPr>
              <w:sdtContent>
                <w:tc>
                  <w:tcPr>
                    <w:tcW w:w="2694" w:type="dxa"/>
                  </w:tcPr>
                  <w:p>
                    <w:pPr>
                      <w:rPr>
                        <w:sz w:val="18"/>
                        <w:szCs w:val="18"/>
                      </w:rPr>
                    </w:pPr>
                    <w:r>
                      <w:rPr>
                        <w:sz w:val="18"/>
                        <w:szCs w:val="18"/>
                      </w:rPr>
                      <w:t>2．盈余公积转增资本（或股本）</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0a3b5d130ffe48c1af1bd16485eddeb1"/>
                <w:id w:val="6774049"/>
                <w:lock w:val="sdtLocked"/>
              </w:sdtPr>
              <w:sdtEndPr>
                <w:rPr>
                  <w:sz w:val="18"/>
                  <w:szCs w:val="18"/>
                </w:rPr>
              </w:sdtEndPr>
              <w:sdtContent>
                <w:tc>
                  <w:tcPr>
                    <w:tcW w:w="2694" w:type="dxa"/>
                  </w:tcPr>
                  <w:p>
                    <w:pPr>
                      <w:rPr>
                        <w:sz w:val="18"/>
                        <w:szCs w:val="18"/>
                      </w:rPr>
                    </w:pPr>
                    <w:r>
                      <w:rPr>
                        <w:sz w:val="18"/>
                        <w:szCs w:val="18"/>
                      </w:rPr>
                      <w:t>3．盈余公积弥补亏损</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3593d8440a5a4ea7961b3eb90cc39a84"/>
                <w:id w:val="6774050"/>
                <w:lock w:val="sdtLocked"/>
              </w:sdtPr>
              <w:sdtEndPr>
                <w:rPr>
                  <w:sz w:val="18"/>
                  <w:szCs w:val="18"/>
                </w:rPr>
              </w:sdtEndPr>
              <w:sdtContent>
                <w:tc>
                  <w:tcPr>
                    <w:tcW w:w="2694" w:type="dxa"/>
                  </w:tcPr>
                  <w:p>
                    <w:pPr>
                      <w:rPr>
                        <w:sz w:val="18"/>
                        <w:szCs w:val="18"/>
                      </w:rPr>
                    </w:pPr>
                    <w:r>
                      <w:rPr>
                        <w:sz w:val="18"/>
                        <w:szCs w:val="18"/>
                      </w:rPr>
                      <w:t>4．其他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580e36e4f75c4faaabd1555eb5fc3d42"/>
                <w:id w:val="6774051"/>
                <w:lock w:val="sdtLocked"/>
              </w:sdtPr>
              <w:sdtEndPr>
                <w:rPr>
                  <w:sz w:val="18"/>
                  <w:szCs w:val="18"/>
                </w:rPr>
              </w:sdtEndPr>
              <w:sdtContent>
                <w:tc>
                  <w:tcPr>
                    <w:tcW w:w="2694" w:type="dxa"/>
                    <w:vAlign w:val="center"/>
                  </w:tcPr>
                  <w:p>
                    <w:pPr>
                      <w:rPr>
                        <w:sz w:val="18"/>
                        <w:szCs w:val="18"/>
                      </w:rPr>
                    </w:pPr>
                    <w:r>
                      <w:rPr>
                        <w:rFonts w:hint="eastAsia"/>
                        <w:sz w:val="18"/>
                        <w:szCs w:val="18"/>
                      </w:rPr>
                      <w:t xml:space="preserve"> （五）专项储备</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r>
                  <w:rPr>
                    <w:rFonts w:ascii="Arial Narrow" w:hAnsi="Arial Narrow"/>
                    <w:sz w:val="18"/>
                    <w:szCs w:val="18"/>
                  </w:rPr>
                  <w:t>-4,999,143.52</w:t>
                </w: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r>
                  <w:rPr>
                    <w:rFonts w:ascii="Arial Narrow" w:hAnsi="Arial Narrow"/>
                    <w:sz w:val="18"/>
                    <w:szCs w:val="18"/>
                  </w:rPr>
                  <w:t>-4,999,143.52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7e4821ab3e9a4e6e8c06082dc94b2419"/>
                <w:id w:val="6774052"/>
                <w:lock w:val="sdtLocked"/>
              </w:sdtPr>
              <w:sdtEndPr>
                <w:rPr>
                  <w:sz w:val="18"/>
                  <w:szCs w:val="18"/>
                </w:rPr>
              </w:sdtEndPr>
              <w:sdtContent>
                <w:tc>
                  <w:tcPr>
                    <w:tcW w:w="2694" w:type="dxa"/>
                    <w:vAlign w:val="center"/>
                  </w:tcPr>
                  <w:p>
                    <w:pPr>
                      <w:rPr>
                        <w:sz w:val="18"/>
                        <w:szCs w:val="18"/>
                      </w:rPr>
                    </w:pPr>
                    <w:r>
                      <w:rPr>
                        <w:rFonts w:hint="eastAsia"/>
                        <w:sz w:val="18"/>
                        <w:szCs w:val="18"/>
                      </w:rPr>
                      <w:t>1．本期提取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r>
                  <w:rPr>
                    <w:rFonts w:ascii="Arial Narrow" w:hAnsi="Arial Narrow"/>
                    <w:sz w:val="18"/>
                    <w:szCs w:val="18"/>
                  </w:rPr>
                  <w:t>27,480,000.00</w:t>
                </w: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r>
                  <w:rPr>
                    <w:rFonts w:ascii="Arial Narrow" w:hAnsi="Arial Narrow"/>
                    <w:sz w:val="18"/>
                    <w:szCs w:val="18"/>
                  </w:rPr>
                  <w:t>27,480,000.00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a6100a62aed94cbf83e3c5ad74f03e19"/>
                <w:id w:val="6774053"/>
                <w:lock w:val="sdtLocked"/>
              </w:sdtPr>
              <w:sdtEndPr>
                <w:rPr>
                  <w:sz w:val="18"/>
                  <w:szCs w:val="18"/>
                </w:rPr>
              </w:sdtEndPr>
              <w:sdtContent>
                <w:tc>
                  <w:tcPr>
                    <w:tcW w:w="2694" w:type="dxa"/>
                    <w:vAlign w:val="center"/>
                  </w:tcPr>
                  <w:p>
                    <w:pPr>
                      <w:rPr>
                        <w:sz w:val="18"/>
                        <w:szCs w:val="18"/>
                      </w:rPr>
                    </w:pPr>
                    <w:r>
                      <w:rPr>
                        <w:rFonts w:hint="eastAsia"/>
                        <w:sz w:val="18"/>
                        <w:szCs w:val="18"/>
                      </w:rPr>
                      <w:t>2．本期使用</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r>
                  <w:rPr>
                    <w:rFonts w:ascii="Arial Narrow" w:hAnsi="Arial Narrow"/>
                    <w:sz w:val="18"/>
                    <w:szCs w:val="18"/>
                  </w:rPr>
                  <w:t>32,479,143.52</w:t>
                </w: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r>
                  <w:rPr>
                    <w:rFonts w:ascii="Arial Narrow" w:hAnsi="Arial Narrow"/>
                    <w:sz w:val="18"/>
                    <w:szCs w:val="18"/>
                  </w:rPr>
                  <w:t>32,479,143.52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faf8a6fddc1540168a7371709f6b0201"/>
                <w:id w:val="6774054"/>
                <w:lock w:val="sdtLocked"/>
              </w:sdtPr>
              <w:sdtEndPr>
                <w:rPr>
                  <w:sz w:val="18"/>
                  <w:szCs w:val="18"/>
                </w:rPr>
              </w:sdtEndPr>
              <w:sdtContent>
                <w:tc>
                  <w:tcPr>
                    <w:tcW w:w="2694" w:type="dxa"/>
                  </w:tcPr>
                  <w:p>
                    <w:pPr>
                      <w:rPr>
                        <w:sz w:val="18"/>
                        <w:szCs w:val="18"/>
                      </w:rPr>
                    </w:pPr>
                    <w:r>
                      <w:rPr>
                        <w:rFonts w:hint="eastAsia"/>
                        <w:sz w:val="18"/>
                        <w:szCs w:val="18"/>
                      </w:rPr>
                      <w:t>（六）其他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417" w:type="dxa"/>
                <w:vAlign w:val="center"/>
              </w:tcPr>
              <w:p>
                <w:pPr>
                  <w:jc w:val="right"/>
                  <w:rPr>
                    <w:rFonts w:ascii="Arial Narrow" w:hAnsi="Arial Narrow"/>
                    <w:sz w:val="18"/>
                    <w:szCs w:val="18"/>
                  </w:rPr>
                </w:pPr>
              </w:p>
            </w:tc>
            <w:tc>
              <w:tcPr>
                <w:tcW w:w="1560"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f0868d8b2c5a494ca457564218330784"/>
                <w:id w:val="6774055"/>
                <w:lock w:val="sdtLocked"/>
              </w:sdtPr>
              <w:sdtEndPr>
                <w:rPr>
                  <w:sz w:val="18"/>
                  <w:szCs w:val="18"/>
                </w:rPr>
              </w:sdtEndPr>
              <w:sdtContent>
                <w:tc>
                  <w:tcPr>
                    <w:tcW w:w="2694" w:type="dxa"/>
                  </w:tcPr>
                  <w:p>
                    <w:pPr>
                      <w:rPr>
                        <w:sz w:val="18"/>
                        <w:szCs w:val="18"/>
                      </w:rPr>
                    </w:pPr>
                    <w:r>
                      <w:rPr>
                        <w:sz w:val="18"/>
                        <w:szCs w:val="18"/>
                      </w:rPr>
                      <w:t>四、本期期末余额</w:t>
                    </w:r>
                  </w:p>
                </w:tc>
              </w:sdtContent>
            </w:sdt>
            <w:tc>
              <w:tcPr>
                <w:tcW w:w="1418" w:type="dxa"/>
                <w:tcBorders>
                  <w:right w:val="single" w:color="auto" w:sz="4" w:space="0"/>
                </w:tcBorders>
                <w:vAlign w:val="center"/>
              </w:tcPr>
              <w:p>
                <w:pPr>
                  <w:jc w:val="right"/>
                  <w:rPr>
                    <w:rFonts w:ascii="Arial Narrow" w:hAnsi="Arial Narrow"/>
                    <w:sz w:val="18"/>
                    <w:szCs w:val="18"/>
                  </w:rPr>
                </w:pPr>
                <w:r>
                  <w:rPr>
                    <w:rFonts w:ascii="Arial Narrow" w:hAnsi="Arial Narrow"/>
                    <w:sz w:val="18"/>
                    <w:szCs w:val="18"/>
                  </w:rPr>
                  <w:t>2,562,793,200.00</w:t>
                </w: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850"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r>
                  <w:rPr>
                    <w:rFonts w:ascii="Arial Narrow" w:hAnsi="Arial Narrow"/>
                    <w:sz w:val="18"/>
                    <w:szCs w:val="18"/>
                  </w:rPr>
                  <w:t>208,436,169.08</w:t>
                </w:r>
              </w:p>
            </w:tc>
            <w:tc>
              <w:tcPr>
                <w:tcW w:w="708" w:type="dxa"/>
                <w:vAlign w:val="center"/>
              </w:tcPr>
              <w:p>
                <w:pPr>
                  <w:jc w:val="right"/>
                  <w:rPr>
                    <w:rFonts w:ascii="Arial Narrow" w:hAnsi="Arial Narrow"/>
                    <w:sz w:val="18"/>
                    <w:szCs w:val="18"/>
                  </w:rPr>
                </w:pPr>
              </w:p>
            </w:tc>
            <w:tc>
              <w:tcPr>
                <w:tcW w:w="993" w:type="dxa"/>
                <w:vAlign w:val="center"/>
              </w:tcPr>
              <w:p>
                <w:pPr>
                  <w:jc w:val="right"/>
                  <w:rPr>
                    <w:rFonts w:ascii="Arial Narrow" w:hAnsi="Arial Narrow"/>
                    <w:sz w:val="18"/>
                    <w:szCs w:val="18"/>
                  </w:rPr>
                </w:pPr>
              </w:p>
            </w:tc>
            <w:tc>
              <w:tcPr>
                <w:tcW w:w="1275" w:type="dxa"/>
                <w:vAlign w:val="center"/>
              </w:tcPr>
              <w:p>
                <w:pPr>
                  <w:jc w:val="right"/>
                  <w:rPr>
                    <w:rFonts w:ascii="Arial Narrow" w:hAnsi="Arial Narrow"/>
                    <w:sz w:val="18"/>
                    <w:szCs w:val="18"/>
                  </w:rPr>
                </w:pPr>
                <w:r>
                  <w:rPr>
                    <w:rFonts w:ascii="Arial Narrow" w:hAnsi="Arial Narrow"/>
                    <w:sz w:val="18"/>
                    <w:szCs w:val="18"/>
                  </w:rPr>
                  <w:t>1,103,989.99</w:t>
                </w:r>
              </w:p>
            </w:tc>
            <w:tc>
              <w:tcPr>
                <w:tcW w:w="1418" w:type="dxa"/>
                <w:vAlign w:val="center"/>
              </w:tcPr>
              <w:p>
                <w:pPr>
                  <w:jc w:val="right"/>
                  <w:rPr>
                    <w:rFonts w:ascii="Arial Narrow" w:hAnsi="Arial Narrow"/>
                    <w:sz w:val="18"/>
                    <w:szCs w:val="18"/>
                  </w:rPr>
                </w:pPr>
                <w:r>
                  <w:rPr>
                    <w:rFonts w:ascii="Arial Narrow" w:hAnsi="Arial Narrow"/>
                    <w:sz w:val="18"/>
                    <w:szCs w:val="18"/>
                  </w:rPr>
                  <w:t>1,237,059,322.55</w:t>
                </w:r>
              </w:p>
            </w:tc>
            <w:tc>
              <w:tcPr>
                <w:tcW w:w="1417" w:type="dxa"/>
                <w:vAlign w:val="center"/>
              </w:tcPr>
              <w:p>
                <w:pPr>
                  <w:jc w:val="right"/>
                  <w:rPr>
                    <w:rFonts w:ascii="Arial Narrow" w:hAnsi="Arial Narrow"/>
                    <w:sz w:val="18"/>
                    <w:szCs w:val="18"/>
                  </w:rPr>
                </w:pPr>
                <w:r>
                  <w:rPr>
                    <w:rFonts w:ascii="Arial Narrow" w:hAnsi="Arial Narrow"/>
                    <w:sz w:val="18"/>
                    <w:szCs w:val="18"/>
                  </w:rPr>
                  <w:t>3,189,805,250.5</w:t>
                </w:r>
                <w:r>
                  <w:rPr>
                    <w:rFonts w:hint="eastAsia" w:ascii="Arial Narrow" w:hAnsi="Arial Narrow"/>
                    <w:sz w:val="18"/>
                    <w:szCs w:val="18"/>
                  </w:rPr>
                  <w:t>2</w:t>
                </w:r>
              </w:p>
            </w:tc>
            <w:tc>
              <w:tcPr>
                <w:tcW w:w="1560" w:type="dxa"/>
                <w:vAlign w:val="center"/>
              </w:tcPr>
              <w:p>
                <w:pPr>
                  <w:jc w:val="right"/>
                  <w:rPr>
                    <w:rFonts w:ascii="Arial Narrow" w:hAnsi="Arial Narrow"/>
                    <w:sz w:val="18"/>
                    <w:szCs w:val="18"/>
                  </w:rPr>
                </w:pPr>
                <w:r>
                  <w:rPr>
                    <w:rFonts w:ascii="Arial Narrow" w:hAnsi="Arial Narrow"/>
                    <w:sz w:val="18"/>
                    <w:szCs w:val="18"/>
                  </w:rPr>
                  <w:t>7,199,197,932.14</w:t>
                </w:r>
              </w:p>
            </w:tc>
          </w:tr>
        </w:tbl>
        <w:p>
          <w:pPr>
            <w:rPr>
              <w:sz w:val="15"/>
              <w:szCs w:val="15"/>
            </w:rPr>
          </w:pPr>
        </w:p>
        <w:p>
          <w:pPr>
            <w:rPr>
              <w:sz w:val="15"/>
              <w:szCs w:val="15"/>
            </w:rPr>
          </w:pPr>
        </w:p>
        <w:tbl>
          <w:tblPr>
            <w:tblStyle w:val="83"/>
            <w:tblW w:w="150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418"/>
            <w:gridCol w:w="709"/>
            <w:gridCol w:w="850"/>
            <w:gridCol w:w="709"/>
            <w:gridCol w:w="1276"/>
            <w:gridCol w:w="708"/>
            <w:gridCol w:w="993"/>
            <w:gridCol w:w="1275"/>
            <w:gridCol w:w="1418"/>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48580a6df2064b12904c18fbea8d19b7"/>
                <w:id w:val="6774056"/>
                <w:lock w:val="sdtLocked"/>
              </w:sdtPr>
              <w:sdtEndPr>
                <w:rPr>
                  <w:sz w:val="18"/>
                  <w:szCs w:val="18"/>
                </w:rPr>
              </w:sdtEndPr>
              <w:sdtContent>
                <w:tc>
                  <w:tcPr>
                    <w:tcW w:w="2694" w:type="dxa"/>
                    <w:vMerge w:val="restart"/>
                    <w:vAlign w:val="center"/>
                  </w:tcPr>
                  <w:p>
                    <w:pPr>
                      <w:adjustRightInd w:val="0"/>
                      <w:snapToGrid w:val="0"/>
                      <w:jc w:val="center"/>
                      <w:rPr>
                        <w:sz w:val="18"/>
                        <w:szCs w:val="18"/>
                      </w:rPr>
                    </w:pPr>
                    <w:r>
                      <w:rPr>
                        <w:sz w:val="18"/>
                        <w:szCs w:val="18"/>
                      </w:rPr>
                      <w:t>项目</w:t>
                    </w:r>
                  </w:p>
                </w:tc>
              </w:sdtContent>
            </w:sdt>
            <w:sdt>
              <w:sdtPr>
                <w:rPr>
                  <w:sz w:val="18"/>
                  <w:szCs w:val="18"/>
                </w:rPr>
                <w:tag w:val="_PLD_35f1c13ab7914bffbcdb53c891632223"/>
                <w:id w:val="6774057"/>
                <w:lock w:val="sdtLocked"/>
              </w:sdtPr>
              <w:sdtEndPr>
                <w:rPr>
                  <w:sz w:val="18"/>
                  <w:szCs w:val="18"/>
                </w:rPr>
              </w:sdtEndPr>
              <w:sdtContent>
                <w:tc>
                  <w:tcPr>
                    <w:tcW w:w="12333" w:type="dxa"/>
                    <w:gridSpan w:val="11"/>
                  </w:tcPr>
                  <w:p>
                    <w:pPr>
                      <w:adjustRightInd w:val="0"/>
                      <w:snapToGrid w:val="0"/>
                      <w:jc w:val="center"/>
                      <w:rPr>
                        <w:sz w:val="18"/>
                        <w:szCs w:val="18"/>
                      </w:rPr>
                    </w:pPr>
                    <w:r>
                      <w:rPr>
                        <w:rFonts w:hint="eastAsia"/>
                        <w:sz w:val="18"/>
                        <w:szCs w:val="18"/>
                      </w:rPr>
                      <w:t>上期</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694" w:type="dxa"/>
                <w:vMerge w:val="continue"/>
              </w:tcPr>
              <w:p>
                <w:pPr>
                  <w:adjustRightInd w:val="0"/>
                  <w:snapToGrid w:val="0"/>
                  <w:rPr>
                    <w:sz w:val="18"/>
                    <w:szCs w:val="18"/>
                  </w:rPr>
                </w:pPr>
              </w:p>
            </w:tc>
            <w:sdt>
              <w:sdtPr>
                <w:rPr>
                  <w:sz w:val="18"/>
                  <w:szCs w:val="18"/>
                </w:rPr>
                <w:tag w:val="_PLD_c23ff03507834a989940e1010d715014"/>
                <w:id w:val="6774058"/>
                <w:lock w:val="sdtLocked"/>
              </w:sdtPr>
              <w:sdtEndPr>
                <w:rPr>
                  <w:sz w:val="18"/>
                  <w:szCs w:val="18"/>
                </w:rPr>
              </w:sdtEndPr>
              <w:sdtContent>
                <w:tc>
                  <w:tcPr>
                    <w:tcW w:w="1418" w:type="dxa"/>
                    <w:vMerge w:val="restart"/>
                    <w:tcBorders>
                      <w:right w:val="single" w:color="auto" w:sz="4" w:space="0"/>
                    </w:tcBorders>
                    <w:vAlign w:val="center"/>
                  </w:tcPr>
                  <w:p>
                    <w:pPr>
                      <w:adjustRightInd w:val="0"/>
                      <w:snapToGrid w:val="0"/>
                      <w:jc w:val="center"/>
                      <w:rPr>
                        <w:sz w:val="18"/>
                        <w:szCs w:val="18"/>
                      </w:rPr>
                    </w:pPr>
                    <w:r>
                      <w:rPr>
                        <w:rFonts w:hint="eastAsia"/>
                        <w:sz w:val="18"/>
                        <w:szCs w:val="18"/>
                      </w:rPr>
                      <w:t>股本</w:t>
                    </w:r>
                  </w:p>
                </w:tc>
              </w:sdtContent>
            </w:sdt>
            <w:sdt>
              <w:sdtPr>
                <w:rPr>
                  <w:sz w:val="18"/>
                  <w:szCs w:val="18"/>
                </w:rPr>
                <w:tag w:val="_PLD_f28c9fe57c7c4c86b03c2a5d75ea935d"/>
                <w:id w:val="6774059"/>
                <w:lock w:val="sdtLocked"/>
              </w:sdtPr>
              <w:sdtEndPr>
                <w:rPr>
                  <w:sz w:val="18"/>
                  <w:szCs w:val="18"/>
                </w:rPr>
              </w:sdtEndPr>
              <w:sdtContent>
                <w:tc>
                  <w:tcPr>
                    <w:tcW w:w="2268" w:type="dxa"/>
                    <w:gridSpan w:val="3"/>
                    <w:tcBorders>
                      <w:left w:val="single" w:color="auto" w:sz="4" w:space="0"/>
                      <w:bottom w:val="single" w:color="auto" w:sz="4" w:space="0"/>
                    </w:tcBorders>
                    <w:vAlign w:val="center"/>
                  </w:tcPr>
                  <w:p>
                    <w:pPr>
                      <w:adjustRightInd w:val="0"/>
                      <w:snapToGrid w:val="0"/>
                      <w:jc w:val="center"/>
                      <w:rPr>
                        <w:sz w:val="18"/>
                        <w:szCs w:val="18"/>
                      </w:rPr>
                    </w:pPr>
                    <w:r>
                      <w:rPr>
                        <w:rFonts w:hint="eastAsia"/>
                        <w:sz w:val="18"/>
                        <w:szCs w:val="18"/>
                      </w:rPr>
                      <w:t>其他权益工具</w:t>
                    </w:r>
                  </w:p>
                </w:tc>
              </w:sdtContent>
            </w:sdt>
            <w:sdt>
              <w:sdtPr>
                <w:rPr>
                  <w:sz w:val="18"/>
                  <w:szCs w:val="18"/>
                </w:rPr>
                <w:tag w:val="_PLD_a071eb2cafc54012b736d8f06aa34c6a"/>
                <w:id w:val="6774060"/>
                <w:lock w:val="sdtLocked"/>
              </w:sdtPr>
              <w:sdtEndPr>
                <w:rPr>
                  <w:sz w:val="18"/>
                  <w:szCs w:val="18"/>
                </w:rPr>
              </w:sdtEndPr>
              <w:sdtContent>
                <w:tc>
                  <w:tcPr>
                    <w:tcW w:w="1276" w:type="dxa"/>
                    <w:vMerge w:val="restart"/>
                    <w:vAlign w:val="center"/>
                  </w:tcPr>
                  <w:p>
                    <w:pPr>
                      <w:adjustRightInd w:val="0"/>
                      <w:snapToGrid w:val="0"/>
                      <w:jc w:val="center"/>
                      <w:rPr>
                        <w:sz w:val="18"/>
                        <w:szCs w:val="18"/>
                      </w:rPr>
                    </w:pPr>
                    <w:r>
                      <w:rPr>
                        <w:sz w:val="18"/>
                        <w:szCs w:val="18"/>
                      </w:rPr>
                      <w:t>资本公积</w:t>
                    </w:r>
                  </w:p>
                </w:tc>
              </w:sdtContent>
            </w:sdt>
            <w:sdt>
              <w:sdtPr>
                <w:rPr>
                  <w:sz w:val="18"/>
                  <w:szCs w:val="18"/>
                </w:rPr>
                <w:tag w:val="_PLD_18d4fb6338ed400c8ebd5efc9c4082d9"/>
                <w:id w:val="6774061"/>
                <w:lock w:val="sdtLocked"/>
              </w:sdtPr>
              <w:sdtEndPr>
                <w:rPr>
                  <w:sz w:val="18"/>
                  <w:szCs w:val="18"/>
                </w:rPr>
              </w:sdtEndPr>
              <w:sdtContent>
                <w:tc>
                  <w:tcPr>
                    <w:tcW w:w="708" w:type="dxa"/>
                    <w:vMerge w:val="restart"/>
                    <w:vAlign w:val="center"/>
                  </w:tcPr>
                  <w:p>
                    <w:pPr>
                      <w:adjustRightInd w:val="0"/>
                      <w:snapToGrid w:val="0"/>
                      <w:jc w:val="center"/>
                      <w:rPr>
                        <w:sz w:val="18"/>
                        <w:szCs w:val="18"/>
                      </w:rPr>
                    </w:pPr>
                    <w:r>
                      <w:rPr>
                        <w:sz w:val="18"/>
                        <w:szCs w:val="18"/>
                      </w:rPr>
                      <w:t>减：库存股</w:t>
                    </w:r>
                  </w:p>
                </w:tc>
              </w:sdtContent>
            </w:sdt>
            <w:sdt>
              <w:sdtPr>
                <w:rPr>
                  <w:sz w:val="18"/>
                  <w:szCs w:val="18"/>
                </w:rPr>
                <w:tag w:val="_PLD_20f360c20a284c46bdeaf1ab3ac4b67c"/>
                <w:id w:val="6774062"/>
                <w:lock w:val="sdtLocked"/>
              </w:sdtPr>
              <w:sdtEndPr>
                <w:rPr>
                  <w:sz w:val="18"/>
                  <w:szCs w:val="18"/>
                </w:rPr>
              </w:sdtEndPr>
              <w:sdtContent>
                <w:tc>
                  <w:tcPr>
                    <w:tcW w:w="993" w:type="dxa"/>
                    <w:vMerge w:val="restart"/>
                    <w:vAlign w:val="center"/>
                  </w:tcPr>
                  <w:p>
                    <w:pPr>
                      <w:jc w:val="center"/>
                      <w:rPr>
                        <w:sz w:val="18"/>
                        <w:szCs w:val="18"/>
                      </w:rPr>
                    </w:pPr>
                    <w:r>
                      <w:rPr>
                        <w:rFonts w:hint="eastAsia"/>
                        <w:sz w:val="18"/>
                        <w:szCs w:val="18"/>
                      </w:rPr>
                      <w:t>其他综合收益</w:t>
                    </w:r>
                  </w:p>
                </w:tc>
              </w:sdtContent>
            </w:sdt>
            <w:sdt>
              <w:sdtPr>
                <w:rPr>
                  <w:sz w:val="18"/>
                  <w:szCs w:val="18"/>
                </w:rPr>
                <w:tag w:val="_PLD_1c419b893c9e4426b90257c091f61f1e"/>
                <w:id w:val="6774063"/>
                <w:lock w:val="sdtLocked"/>
              </w:sdtPr>
              <w:sdtEndPr>
                <w:rPr>
                  <w:sz w:val="18"/>
                  <w:szCs w:val="18"/>
                </w:rPr>
              </w:sdtEndPr>
              <w:sdtContent>
                <w:tc>
                  <w:tcPr>
                    <w:tcW w:w="1275" w:type="dxa"/>
                    <w:vMerge w:val="restart"/>
                    <w:vAlign w:val="center"/>
                  </w:tcPr>
                  <w:p>
                    <w:pPr>
                      <w:adjustRightInd w:val="0"/>
                      <w:snapToGrid w:val="0"/>
                      <w:jc w:val="center"/>
                      <w:rPr>
                        <w:sz w:val="18"/>
                        <w:szCs w:val="18"/>
                      </w:rPr>
                    </w:pPr>
                    <w:r>
                      <w:rPr>
                        <w:rFonts w:hint="eastAsia"/>
                        <w:sz w:val="18"/>
                        <w:szCs w:val="18"/>
                      </w:rPr>
                      <w:t>专项储备</w:t>
                    </w:r>
                  </w:p>
                </w:tc>
              </w:sdtContent>
            </w:sdt>
            <w:sdt>
              <w:sdtPr>
                <w:rPr>
                  <w:sz w:val="18"/>
                  <w:szCs w:val="18"/>
                </w:rPr>
                <w:tag w:val="_PLD_bd5afcb87a714fd29d01a0199e00e149"/>
                <w:id w:val="6774064"/>
                <w:lock w:val="sdtLocked"/>
              </w:sdtPr>
              <w:sdtEndPr>
                <w:rPr>
                  <w:sz w:val="18"/>
                  <w:szCs w:val="18"/>
                </w:rPr>
              </w:sdtEndPr>
              <w:sdtContent>
                <w:tc>
                  <w:tcPr>
                    <w:tcW w:w="1418" w:type="dxa"/>
                    <w:vMerge w:val="restart"/>
                    <w:vAlign w:val="center"/>
                  </w:tcPr>
                  <w:p>
                    <w:pPr>
                      <w:adjustRightInd w:val="0"/>
                      <w:snapToGrid w:val="0"/>
                      <w:jc w:val="center"/>
                      <w:rPr>
                        <w:sz w:val="18"/>
                        <w:szCs w:val="18"/>
                      </w:rPr>
                    </w:pPr>
                    <w:r>
                      <w:rPr>
                        <w:sz w:val="18"/>
                        <w:szCs w:val="18"/>
                      </w:rPr>
                      <w:t>盈余公积</w:t>
                    </w:r>
                  </w:p>
                </w:tc>
              </w:sdtContent>
            </w:sdt>
            <w:sdt>
              <w:sdtPr>
                <w:rPr>
                  <w:sz w:val="18"/>
                  <w:szCs w:val="18"/>
                </w:rPr>
                <w:tag w:val="_PLD_8f8c57e4a0f14b36a1582ce1c2f8caa3"/>
                <w:id w:val="6774065"/>
                <w:lock w:val="sdtLocked"/>
              </w:sdtPr>
              <w:sdtEndPr>
                <w:rPr>
                  <w:sz w:val="18"/>
                  <w:szCs w:val="18"/>
                </w:rPr>
              </w:sdtEndPr>
              <w:sdtContent>
                <w:tc>
                  <w:tcPr>
                    <w:tcW w:w="1417" w:type="dxa"/>
                    <w:vMerge w:val="restart"/>
                    <w:vAlign w:val="center"/>
                  </w:tcPr>
                  <w:p>
                    <w:pPr>
                      <w:adjustRightInd w:val="0"/>
                      <w:snapToGrid w:val="0"/>
                      <w:jc w:val="center"/>
                      <w:rPr>
                        <w:sz w:val="18"/>
                        <w:szCs w:val="18"/>
                      </w:rPr>
                    </w:pPr>
                    <w:r>
                      <w:rPr>
                        <w:sz w:val="18"/>
                        <w:szCs w:val="18"/>
                      </w:rPr>
                      <w:t>未分配利润</w:t>
                    </w:r>
                  </w:p>
                </w:tc>
              </w:sdtContent>
            </w:sdt>
            <w:sdt>
              <w:sdtPr>
                <w:rPr>
                  <w:sz w:val="18"/>
                  <w:szCs w:val="18"/>
                </w:rPr>
                <w:tag w:val="_PLD_d4994aa1be9a40b9aeb2df20bf954330"/>
                <w:id w:val="6774066"/>
                <w:lock w:val="sdtLocked"/>
              </w:sdtPr>
              <w:sdtEndPr>
                <w:rPr>
                  <w:sz w:val="18"/>
                  <w:szCs w:val="18"/>
                </w:rPr>
              </w:sdtEndPr>
              <w:sdtContent>
                <w:tc>
                  <w:tcPr>
                    <w:tcW w:w="1560" w:type="dxa"/>
                    <w:vMerge w:val="restart"/>
                    <w:vAlign w:val="center"/>
                  </w:tcPr>
                  <w:p>
                    <w:pPr>
                      <w:adjustRightInd w:val="0"/>
                      <w:snapToGrid w:val="0"/>
                      <w:jc w:val="center"/>
                      <w:rPr>
                        <w:sz w:val="18"/>
                        <w:szCs w:val="18"/>
                      </w:rPr>
                    </w:pPr>
                    <w:r>
                      <w:rPr>
                        <w:sz w:val="18"/>
                        <w:szCs w:val="18"/>
                      </w:rPr>
                      <w:t>所有者权益合计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694" w:type="dxa"/>
                <w:vMerge w:val="continue"/>
              </w:tcPr>
              <w:p>
                <w:pPr>
                  <w:adjustRightInd w:val="0"/>
                  <w:snapToGrid w:val="0"/>
                  <w:rPr>
                    <w:sz w:val="18"/>
                    <w:szCs w:val="18"/>
                  </w:rPr>
                </w:pPr>
              </w:p>
            </w:tc>
            <w:tc>
              <w:tcPr>
                <w:tcW w:w="1418" w:type="dxa"/>
                <w:vMerge w:val="continue"/>
                <w:tcBorders>
                  <w:right w:val="single" w:color="auto" w:sz="4" w:space="0"/>
                </w:tcBorders>
              </w:tcPr>
              <w:p>
                <w:pPr>
                  <w:adjustRightInd w:val="0"/>
                  <w:snapToGrid w:val="0"/>
                  <w:jc w:val="center"/>
                  <w:rPr>
                    <w:sz w:val="18"/>
                    <w:szCs w:val="18"/>
                  </w:rPr>
                </w:pPr>
              </w:p>
            </w:tc>
            <w:sdt>
              <w:sdtPr>
                <w:rPr>
                  <w:sz w:val="18"/>
                  <w:szCs w:val="18"/>
                </w:rPr>
                <w:tag w:val="_PLD_8150a9d9ae2f4fdf8d487fc3de67b06f"/>
                <w:id w:val="6774067"/>
                <w:lock w:val="sdtLocked"/>
              </w:sdtPr>
              <w:sdtEndPr>
                <w:rPr>
                  <w:sz w:val="18"/>
                  <w:szCs w:val="18"/>
                </w:rPr>
              </w:sdtEndPr>
              <w:sdtContent>
                <w:tc>
                  <w:tcPr>
                    <w:tcW w:w="70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优先股</w:t>
                    </w:r>
                  </w:p>
                </w:tc>
              </w:sdtContent>
            </w:sdt>
            <w:sdt>
              <w:sdtPr>
                <w:rPr>
                  <w:sz w:val="18"/>
                  <w:szCs w:val="18"/>
                </w:rPr>
                <w:tag w:val="_PLD_423a1fd8c2f14990a558c5c3fb11b310"/>
                <w:id w:val="6774068"/>
                <w:lock w:val="sdtLocked"/>
              </w:sdtPr>
              <w:sdtEndPr>
                <w:rPr>
                  <w:sz w:val="18"/>
                  <w:szCs w:val="18"/>
                </w:rPr>
              </w:sdtEndPr>
              <w:sdtContent>
                <w:tc>
                  <w:tcPr>
                    <w:tcW w:w="850"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永续债</w:t>
                    </w:r>
                  </w:p>
                </w:tc>
              </w:sdtContent>
            </w:sdt>
            <w:sdt>
              <w:sdtPr>
                <w:rPr>
                  <w:sz w:val="18"/>
                  <w:szCs w:val="18"/>
                </w:rPr>
                <w:tag w:val="_PLD_010bb57ddade4d97bf0c2969c50ab2a8"/>
                <w:id w:val="6774069"/>
                <w:lock w:val="sdtLocked"/>
              </w:sdtPr>
              <w:sdtEndPr>
                <w:rPr>
                  <w:sz w:val="18"/>
                  <w:szCs w:val="18"/>
                </w:rPr>
              </w:sdtEndPr>
              <w:sdtContent>
                <w:tc>
                  <w:tcPr>
                    <w:tcW w:w="709" w:type="dxa"/>
                    <w:tcBorders>
                      <w:top w:val="single" w:color="auto" w:sz="4" w:space="0"/>
                      <w:left w:val="single" w:color="auto" w:sz="4" w:space="0"/>
                    </w:tcBorders>
                    <w:vAlign w:val="center"/>
                  </w:tcPr>
                  <w:p>
                    <w:pPr>
                      <w:adjustRightInd w:val="0"/>
                      <w:snapToGrid w:val="0"/>
                      <w:jc w:val="center"/>
                      <w:rPr>
                        <w:sz w:val="18"/>
                        <w:szCs w:val="18"/>
                      </w:rPr>
                    </w:pPr>
                    <w:r>
                      <w:rPr>
                        <w:rFonts w:hint="eastAsia"/>
                        <w:sz w:val="18"/>
                        <w:szCs w:val="18"/>
                      </w:rPr>
                      <w:t>其他</w:t>
                    </w:r>
                  </w:p>
                </w:tc>
              </w:sdtContent>
            </w:sdt>
            <w:tc>
              <w:tcPr>
                <w:tcW w:w="1276" w:type="dxa"/>
                <w:vMerge w:val="continue"/>
              </w:tcPr>
              <w:p>
                <w:pPr>
                  <w:adjustRightInd w:val="0"/>
                  <w:snapToGrid w:val="0"/>
                  <w:jc w:val="center"/>
                  <w:rPr>
                    <w:sz w:val="18"/>
                    <w:szCs w:val="18"/>
                  </w:rPr>
                </w:pPr>
              </w:p>
            </w:tc>
            <w:tc>
              <w:tcPr>
                <w:tcW w:w="708" w:type="dxa"/>
                <w:vMerge w:val="continue"/>
              </w:tcPr>
              <w:p>
                <w:pPr>
                  <w:adjustRightInd w:val="0"/>
                  <w:snapToGrid w:val="0"/>
                  <w:jc w:val="center"/>
                  <w:rPr>
                    <w:sz w:val="18"/>
                    <w:szCs w:val="18"/>
                  </w:rPr>
                </w:pPr>
              </w:p>
            </w:tc>
            <w:tc>
              <w:tcPr>
                <w:tcW w:w="993" w:type="dxa"/>
                <w:vMerge w:val="continue"/>
              </w:tcPr>
              <w:p>
                <w:pPr>
                  <w:jc w:val="center"/>
                  <w:rPr>
                    <w:sz w:val="18"/>
                    <w:szCs w:val="18"/>
                  </w:rPr>
                </w:pPr>
              </w:p>
            </w:tc>
            <w:tc>
              <w:tcPr>
                <w:tcW w:w="1275" w:type="dxa"/>
                <w:vMerge w:val="continue"/>
              </w:tcPr>
              <w:p>
                <w:pPr>
                  <w:adjustRightInd w:val="0"/>
                  <w:snapToGrid w:val="0"/>
                  <w:jc w:val="center"/>
                  <w:rPr>
                    <w:sz w:val="18"/>
                    <w:szCs w:val="18"/>
                  </w:rPr>
                </w:pPr>
              </w:p>
            </w:tc>
            <w:tc>
              <w:tcPr>
                <w:tcW w:w="1418" w:type="dxa"/>
                <w:vMerge w:val="continue"/>
              </w:tcPr>
              <w:p>
                <w:pPr>
                  <w:adjustRightInd w:val="0"/>
                  <w:snapToGrid w:val="0"/>
                  <w:jc w:val="center"/>
                  <w:rPr>
                    <w:sz w:val="18"/>
                    <w:szCs w:val="18"/>
                  </w:rPr>
                </w:pPr>
              </w:p>
            </w:tc>
            <w:tc>
              <w:tcPr>
                <w:tcW w:w="1417" w:type="dxa"/>
                <w:vMerge w:val="continue"/>
              </w:tcPr>
              <w:p>
                <w:pPr>
                  <w:adjustRightInd w:val="0"/>
                  <w:snapToGrid w:val="0"/>
                  <w:jc w:val="center"/>
                  <w:rPr>
                    <w:sz w:val="18"/>
                    <w:szCs w:val="18"/>
                  </w:rPr>
                </w:pPr>
              </w:p>
            </w:tc>
            <w:tc>
              <w:tcPr>
                <w:tcW w:w="1560" w:type="dxa"/>
                <w:vMerge w:val="continue"/>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4c4689385423494b9f3032cd10622ee0"/>
                <w:id w:val="6774070"/>
                <w:lock w:val="sdtLocked"/>
              </w:sdtPr>
              <w:sdtEndPr>
                <w:rPr>
                  <w:sz w:val="18"/>
                  <w:szCs w:val="18"/>
                </w:rPr>
              </w:sdtEndPr>
              <w:sdtContent>
                <w:tc>
                  <w:tcPr>
                    <w:tcW w:w="2694" w:type="dxa"/>
                  </w:tcPr>
                  <w:p>
                    <w:pPr>
                      <w:rPr>
                        <w:sz w:val="18"/>
                        <w:szCs w:val="18"/>
                      </w:rPr>
                    </w:pPr>
                    <w:r>
                      <w:rPr>
                        <w:sz w:val="18"/>
                        <w:szCs w:val="18"/>
                      </w:rPr>
                      <w:t>一、上年</w:t>
                    </w:r>
                    <w:r>
                      <w:rPr>
                        <w:rFonts w:hint="eastAsia"/>
                        <w:sz w:val="18"/>
                        <w:szCs w:val="18"/>
                      </w:rPr>
                      <w:t>期</w:t>
                    </w:r>
                    <w:r>
                      <w:rPr>
                        <w:sz w:val="18"/>
                        <w:szCs w:val="18"/>
                      </w:rPr>
                      <w:t>末余额</w:t>
                    </w:r>
                  </w:p>
                </w:tc>
              </w:sdtContent>
            </w:sdt>
            <w:tc>
              <w:tcPr>
                <w:tcW w:w="1418" w:type="dxa"/>
                <w:tcBorders>
                  <w:right w:val="single" w:color="auto" w:sz="4" w:space="0"/>
                </w:tcBorders>
              </w:tcPr>
              <w:p>
                <w:pPr>
                  <w:jc w:val="right"/>
                  <w:rPr>
                    <w:rFonts w:ascii="Arial Narrow" w:hAnsi="Arial Narrow"/>
                    <w:sz w:val="18"/>
                    <w:szCs w:val="18"/>
                  </w:rPr>
                </w:pPr>
                <w:r>
                  <w:rPr>
                    <w:rFonts w:ascii="Arial Narrow" w:hAnsi="Arial Narrow"/>
                    <w:sz w:val="18"/>
                    <w:szCs w:val="18"/>
                  </w:rPr>
                  <w:t>2,562,793,200.00</w:t>
                </w: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1276" w:type="dxa"/>
                <w:tcBorders>
                  <w:left w:val="single" w:color="auto" w:sz="4" w:space="0"/>
                </w:tcBorders>
              </w:tcPr>
              <w:p>
                <w:pPr>
                  <w:jc w:val="right"/>
                  <w:rPr>
                    <w:rFonts w:ascii="Arial Narrow" w:hAnsi="Arial Narrow"/>
                    <w:sz w:val="18"/>
                    <w:szCs w:val="18"/>
                  </w:rPr>
                </w:pPr>
                <w:r>
                  <w:rPr>
                    <w:rFonts w:ascii="Arial Narrow" w:hAnsi="Arial Narrow"/>
                    <w:sz w:val="18"/>
                    <w:szCs w:val="18"/>
                  </w:rPr>
                  <w:t>208,436,169.08</w:t>
                </w: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r>
                  <w:rPr>
                    <w:rFonts w:ascii="Arial Narrow" w:hAnsi="Arial Narrow"/>
                    <w:sz w:val="18"/>
                    <w:szCs w:val="18"/>
                  </w:rPr>
                  <w:t>5,855,885.15</w:t>
                </w:r>
              </w:p>
            </w:tc>
            <w:tc>
              <w:tcPr>
                <w:tcW w:w="1418" w:type="dxa"/>
              </w:tcPr>
              <w:p>
                <w:pPr>
                  <w:jc w:val="right"/>
                  <w:rPr>
                    <w:rFonts w:ascii="Arial Narrow" w:hAnsi="Arial Narrow"/>
                    <w:sz w:val="18"/>
                    <w:szCs w:val="18"/>
                  </w:rPr>
                </w:pPr>
                <w:r>
                  <w:rPr>
                    <w:rFonts w:ascii="Arial Narrow" w:hAnsi="Arial Narrow"/>
                    <w:sz w:val="18"/>
                    <w:szCs w:val="18"/>
                  </w:rPr>
                  <w:t>952,797,886.37</w:t>
                </w:r>
              </w:p>
            </w:tc>
            <w:tc>
              <w:tcPr>
                <w:tcW w:w="1417" w:type="dxa"/>
              </w:tcPr>
              <w:p>
                <w:pPr>
                  <w:jc w:val="right"/>
                  <w:rPr>
                    <w:rFonts w:ascii="Arial Narrow" w:hAnsi="Arial Narrow"/>
                    <w:sz w:val="18"/>
                    <w:szCs w:val="18"/>
                  </w:rPr>
                </w:pPr>
                <w:r>
                  <w:rPr>
                    <w:rFonts w:ascii="Arial Narrow" w:hAnsi="Arial Narrow"/>
                    <w:sz w:val="18"/>
                    <w:szCs w:val="18"/>
                  </w:rPr>
                  <w:t>708,336,120.90</w:t>
                </w:r>
              </w:p>
            </w:tc>
            <w:tc>
              <w:tcPr>
                <w:tcW w:w="1560" w:type="dxa"/>
              </w:tcPr>
              <w:p>
                <w:pPr>
                  <w:jc w:val="right"/>
                  <w:rPr>
                    <w:rFonts w:ascii="Arial Narrow" w:hAnsi="Arial Narrow"/>
                    <w:sz w:val="18"/>
                    <w:szCs w:val="18"/>
                  </w:rPr>
                </w:pPr>
                <w:r>
                  <w:rPr>
                    <w:rFonts w:ascii="Arial Narrow" w:hAnsi="Arial Narrow"/>
                    <w:sz w:val="18"/>
                    <w:szCs w:val="18"/>
                  </w:rPr>
                  <w:t>4,438,219,261.50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d5c93c6eb6c4ca1aa937d4f5b6047cc"/>
                <w:id w:val="6774071"/>
                <w:lock w:val="sdtLocked"/>
              </w:sdtPr>
              <w:sdtEndPr>
                <w:rPr>
                  <w:sz w:val="18"/>
                  <w:szCs w:val="18"/>
                </w:rPr>
              </w:sdtEndPr>
              <w:sdtContent>
                <w:tc>
                  <w:tcPr>
                    <w:tcW w:w="2694" w:type="dxa"/>
                  </w:tcPr>
                  <w:p>
                    <w:pPr>
                      <w:rPr>
                        <w:sz w:val="18"/>
                        <w:szCs w:val="18"/>
                      </w:rPr>
                    </w:pPr>
                    <w:r>
                      <w:rPr>
                        <w:sz w:val="18"/>
                        <w:szCs w:val="18"/>
                      </w:rPr>
                      <w:t>加：会计政策变更</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1276" w:type="dxa"/>
                <w:tcBorders>
                  <w:left w:val="single" w:color="auto" w:sz="4" w:space="0"/>
                </w:tcBorders>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b6b3af211bd3474b927959a8376942c0"/>
                <w:id w:val="6774072"/>
                <w:lock w:val="sdtLocked"/>
              </w:sdtPr>
              <w:sdtEndPr>
                <w:rPr>
                  <w:sz w:val="18"/>
                  <w:szCs w:val="18"/>
                </w:rPr>
              </w:sdtEndPr>
              <w:sdtContent>
                <w:tc>
                  <w:tcPr>
                    <w:tcW w:w="2694" w:type="dxa"/>
                  </w:tcPr>
                  <w:p>
                    <w:pPr>
                      <w:ind w:firstLine="360" w:firstLineChars="200"/>
                      <w:rPr>
                        <w:sz w:val="18"/>
                        <w:szCs w:val="18"/>
                      </w:rPr>
                    </w:pPr>
                    <w:r>
                      <w:rPr>
                        <w:sz w:val="18"/>
                        <w:szCs w:val="18"/>
                      </w:rPr>
                      <w:t>前期差错更正</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1276" w:type="dxa"/>
                <w:tcBorders>
                  <w:left w:val="single" w:color="auto" w:sz="4" w:space="0"/>
                </w:tcBorders>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90f2fa4859384bc69976ea66eaf99d61"/>
                <w:id w:val="6774073"/>
                <w:lock w:val="sdtLocked"/>
              </w:sdtPr>
              <w:sdtEndPr>
                <w:rPr>
                  <w:sz w:val="18"/>
                  <w:szCs w:val="18"/>
                </w:rPr>
              </w:sdtEndPr>
              <w:sdtContent>
                <w:tc>
                  <w:tcPr>
                    <w:tcW w:w="2694" w:type="dxa"/>
                  </w:tcPr>
                  <w:p>
                    <w:pPr>
                      <w:ind w:firstLine="360" w:firstLineChars="200"/>
                      <w:rPr>
                        <w:sz w:val="18"/>
                        <w:szCs w:val="18"/>
                      </w:rPr>
                    </w:pPr>
                    <w:r>
                      <w:rPr>
                        <w:rFonts w:hint="eastAsia"/>
                        <w:sz w:val="18"/>
                        <w:szCs w:val="18"/>
                      </w:rPr>
                      <w:t>其他</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1276" w:type="dxa"/>
                <w:tcBorders>
                  <w:left w:val="single" w:color="auto" w:sz="4" w:space="0"/>
                </w:tcBorders>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daa6634b88e24c05b8fdb6245561ace0"/>
                <w:id w:val="6774074"/>
                <w:lock w:val="sdtLocked"/>
              </w:sdtPr>
              <w:sdtEndPr>
                <w:rPr>
                  <w:sz w:val="18"/>
                  <w:szCs w:val="18"/>
                </w:rPr>
              </w:sdtEndPr>
              <w:sdtContent>
                <w:tc>
                  <w:tcPr>
                    <w:tcW w:w="2694" w:type="dxa"/>
                  </w:tcPr>
                  <w:p>
                    <w:pPr>
                      <w:rPr>
                        <w:sz w:val="18"/>
                        <w:szCs w:val="18"/>
                      </w:rPr>
                    </w:pPr>
                    <w:r>
                      <w:rPr>
                        <w:sz w:val="18"/>
                        <w:szCs w:val="18"/>
                      </w:rPr>
                      <w:t>二、本年</w:t>
                    </w:r>
                    <w:r>
                      <w:rPr>
                        <w:rFonts w:hint="eastAsia"/>
                        <w:sz w:val="18"/>
                        <w:szCs w:val="18"/>
                      </w:rPr>
                      <w:t>期</w:t>
                    </w:r>
                    <w:r>
                      <w:rPr>
                        <w:sz w:val="18"/>
                        <w:szCs w:val="18"/>
                      </w:rPr>
                      <w:t>初余额</w:t>
                    </w:r>
                  </w:p>
                </w:tc>
              </w:sdtContent>
            </w:sdt>
            <w:tc>
              <w:tcPr>
                <w:tcW w:w="1418" w:type="dxa"/>
                <w:tcBorders>
                  <w:right w:val="single" w:color="auto" w:sz="4" w:space="0"/>
                </w:tcBorders>
              </w:tcPr>
              <w:p>
                <w:pPr>
                  <w:jc w:val="right"/>
                  <w:rPr>
                    <w:rFonts w:ascii="Arial Narrow" w:hAnsi="Arial Narrow"/>
                    <w:sz w:val="18"/>
                    <w:szCs w:val="18"/>
                  </w:rPr>
                </w:pPr>
                <w:r>
                  <w:rPr>
                    <w:rFonts w:ascii="Arial Narrow" w:hAnsi="Arial Narrow"/>
                    <w:sz w:val="18"/>
                    <w:szCs w:val="18"/>
                  </w:rPr>
                  <w:t>2,562,793,200.00</w:t>
                </w: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1276" w:type="dxa"/>
                <w:tcBorders>
                  <w:left w:val="single" w:color="auto" w:sz="4" w:space="0"/>
                </w:tcBorders>
              </w:tcPr>
              <w:p>
                <w:pPr>
                  <w:jc w:val="right"/>
                  <w:rPr>
                    <w:rFonts w:ascii="Arial Narrow" w:hAnsi="Arial Narrow"/>
                    <w:sz w:val="18"/>
                    <w:szCs w:val="18"/>
                  </w:rPr>
                </w:pPr>
                <w:r>
                  <w:rPr>
                    <w:rFonts w:ascii="Arial Narrow" w:hAnsi="Arial Narrow"/>
                    <w:sz w:val="18"/>
                    <w:szCs w:val="18"/>
                  </w:rPr>
                  <w:t>208,436,169.08</w:t>
                </w: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r>
                  <w:rPr>
                    <w:rFonts w:ascii="Arial Narrow" w:hAnsi="Arial Narrow"/>
                    <w:sz w:val="18"/>
                    <w:szCs w:val="18"/>
                  </w:rPr>
                  <w:t>5,855,885.15</w:t>
                </w:r>
              </w:p>
            </w:tc>
            <w:tc>
              <w:tcPr>
                <w:tcW w:w="1418" w:type="dxa"/>
              </w:tcPr>
              <w:p>
                <w:pPr>
                  <w:jc w:val="right"/>
                  <w:rPr>
                    <w:rFonts w:ascii="Arial Narrow" w:hAnsi="Arial Narrow"/>
                    <w:sz w:val="18"/>
                    <w:szCs w:val="18"/>
                  </w:rPr>
                </w:pPr>
                <w:r>
                  <w:rPr>
                    <w:rFonts w:ascii="Arial Narrow" w:hAnsi="Arial Narrow"/>
                    <w:sz w:val="18"/>
                    <w:szCs w:val="18"/>
                  </w:rPr>
                  <w:t>952,797,886.37</w:t>
                </w:r>
              </w:p>
            </w:tc>
            <w:tc>
              <w:tcPr>
                <w:tcW w:w="1417" w:type="dxa"/>
              </w:tcPr>
              <w:p>
                <w:pPr>
                  <w:jc w:val="right"/>
                  <w:rPr>
                    <w:rFonts w:ascii="Arial Narrow" w:hAnsi="Arial Narrow"/>
                    <w:sz w:val="18"/>
                    <w:szCs w:val="18"/>
                  </w:rPr>
                </w:pPr>
                <w:r>
                  <w:rPr>
                    <w:rFonts w:ascii="Arial Narrow" w:hAnsi="Arial Narrow"/>
                    <w:sz w:val="18"/>
                    <w:szCs w:val="18"/>
                  </w:rPr>
                  <w:t>708,336,120.90</w:t>
                </w:r>
              </w:p>
            </w:tc>
            <w:tc>
              <w:tcPr>
                <w:tcW w:w="1560" w:type="dxa"/>
              </w:tcPr>
              <w:p>
                <w:pPr>
                  <w:jc w:val="right"/>
                  <w:rPr>
                    <w:rFonts w:ascii="Arial Narrow" w:hAnsi="Arial Narrow"/>
                    <w:sz w:val="18"/>
                    <w:szCs w:val="18"/>
                  </w:rPr>
                </w:pPr>
                <w:r>
                  <w:rPr>
                    <w:rFonts w:ascii="Arial Narrow" w:hAnsi="Arial Narrow"/>
                    <w:sz w:val="18"/>
                    <w:szCs w:val="18"/>
                  </w:rPr>
                  <w:t>4,438,219,261.50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4507637d592144a386d6d7722f90460b"/>
                <w:id w:val="6774075"/>
                <w:lock w:val="sdtLocked"/>
              </w:sdtPr>
              <w:sdtEndPr>
                <w:rPr>
                  <w:sz w:val="18"/>
                  <w:szCs w:val="18"/>
                </w:rPr>
              </w:sdtEndPr>
              <w:sdtContent>
                <w:tc>
                  <w:tcPr>
                    <w:tcW w:w="2694" w:type="dxa"/>
                  </w:tcPr>
                  <w:p>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r>
                  <w:rPr>
                    <w:rFonts w:ascii="Arial Narrow" w:hAnsi="Arial Narrow"/>
                    <w:sz w:val="18"/>
                    <w:szCs w:val="18"/>
                  </w:rPr>
                  <w:t>247,248.36</w:t>
                </w:r>
              </w:p>
            </w:tc>
            <w:tc>
              <w:tcPr>
                <w:tcW w:w="1418" w:type="dxa"/>
              </w:tcPr>
              <w:p>
                <w:pPr>
                  <w:jc w:val="right"/>
                  <w:rPr>
                    <w:rFonts w:ascii="Arial Narrow" w:hAnsi="Arial Narrow"/>
                    <w:sz w:val="18"/>
                    <w:szCs w:val="18"/>
                  </w:rPr>
                </w:pPr>
                <w:r>
                  <w:rPr>
                    <w:rFonts w:ascii="Arial Narrow" w:hAnsi="Arial Narrow"/>
                    <w:sz w:val="18"/>
                    <w:szCs w:val="18"/>
                  </w:rPr>
                  <w:t>19,643,806.81</w:t>
                </w:r>
              </w:p>
            </w:tc>
            <w:tc>
              <w:tcPr>
                <w:tcW w:w="1417" w:type="dxa"/>
              </w:tcPr>
              <w:p>
                <w:pPr>
                  <w:jc w:val="right"/>
                  <w:rPr>
                    <w:rFonts w:ascii="Arial Narrow" w:hAnsi="Arial Narrow"/>
                    <w:sz w:val="18"/>
                    <w:szCs w:val="18"/>
                  </w:rPr>
                </w:pPr>
                <w:r>
                  <w:rPr>
                    <w:rFonts w:ascii="Arial Narrow" w:hAnsi="Arial Narrow"/>
                    <w:sz w:val="18"/>
                    <w:szCs w:val="18"/>
                  </w:rPr>
                  <w:t>176,794,261.32</w:t>
                </w:r>
              </w:p>
            </w:tc>
            <w:tc>
              <w:tcPr>
                <w:tcW w:w="1560" w:type="dxa"/>
              </w:tcPr>
              <w:p>
                <w:pPr>
                  <w:jc w:val="right"/>
                  <w:rPr>
                    <w:rFonts w:ascii="Arial Narrow" w:hAnsi="Arial Narrow"/>
                    <w:sz w:val="18"/>
                    <w:szCs w:val="18"/>
                  </w:rPr>
                </w:pPr>
                <w:r>
                  <w:rPr>
                    <w:rFonts w:ascii="Arial Narrow" w:hAnsi="Arial Narrow"/>
                    <w:sz w:val="18"/>
                    <w:szCs w:val="18"/>
                  </w:rPr>
                  <w:t>196,685,316.49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bb33d88050084b0fb2fe2f46d3de0d8b"/>
                <w:id w:val="6774076"/>
                <w:lock w:val="sdtLocked"/>
              </w:sdtPr>
              <w:sdtEndPr>
                <w:rPr>
                  <w:sz w:val="18"/>
                  <w:szCs w:val="18"/>
                </w:rPr>
              </w:sdtEndPr>
              <w:sdtContent>
                <w:tc>
                  <w:tcPr>
                    <w:tcW w:w="2694" w:type="dxa"/>
                  </w:tcPr>
                  <w:p>
                    <w:pPr>
                      <w:rPr>
                        <w:sz w:val="18"/>
                        <w:szCs w:val="18"/>
                      </w:rPr>
                    </w:pPr>
                    <w:r>
                      <w:rPr>
                        <w:rFonts w:hint="eastAsia"/>
                        <w:sz w:val="18"/>
                        <w:szCs w:val="18"/>
                      </w:rPr>
                      <w:t>（一）综合收益总额</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r>
                  <w:rPr>
                    <w:rFonts w:ascii="Arial Narrow" w:hAnsi="Arial Narrow"/>
                    <w:sz w:val="18"/>
                    <w:szCs w:val="18"/>
                  </w:rPr>
                  <w:t>196,438,068.13</w:t>
                </w:r>
              </w:p>
            </w:tc>
            <w:tc>
              <w:tcPr>
                <w:tcW w:w="1560" w:type="dxa"/>
              </w:tcPr>
              <w:p>
                <w:pPr>
                  <w:jc w:val="right"/>
                  <w:rPr>
                    <w:rFonts w:ascii="Arial Narrow" w:hAnsi="Arial Narrow"/>
                    <w:sz w:val="18"/>
                    <w:szCs w:val="18"/>
                  </w:rPr>
                </w:pPr>
                <w:r>
                  <w:rPr>
                    <w:rFonts w:ascii="Arial Narrow" w:hAnsi="Arial Narrow"/>
                    <w:sz w:val="18"/>
                    <w:szCs w:val="18"/>
                  </w:rPr>
                  <w:t>196,438,068.13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7a2e7ff24d54da2abe86126d4c40a3a"/>
                <w:id w:val="6774077"/>
                <w:lock w:val="sdtLocked"/>
              </w:sdtPr>
              <w:sdtEndPr>
                <w:rPr>
                  <w:sz w:val="18"/>
                  <w:szCs w:val="18"/>
                </w:rPr>
              </w:sdtEndPr>
              <w:sdtContent>
                <w:tc>
                  <w:tcPr>
                    <w:tcW w:w="2694" w:type="dxa"/>
                  </w:tcPr>
                  <w:p>
                    <w:pPr>
                      <w:rPr>
                        <w:sz w:val="18"/>
                        <w:szCs w:val="18"/>
                      </w:rPr>
                    </w:pPr>
                    <w:r>
                      <w:rPr>
                        <w:sz w:val="18"/>
                        <w:szCs w:val="18"/>
                      </w:rPr>
                      <w:t>（</w:t>
                    </w:r>
                    <w:r>
                      <w:rPr>
                        <w:rFonts w:hint="eastAsia"/>
                        <w:sz w:val="18"/>
                        <w:szCs w:val="18"/>
                      </w:rPr>
                      <w:t>二</w:t>
                    </w:r>
                    <w:r>
                      <w:rPr>
                        <w:sz w:val="18"/>
                        <w:szCs w:val="18"/>
                      </w:rPr>
                      <w:t>）所有者投入和减少资本</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18bcbb31fde410ea83383bfc16d841b"/>
                <w:id w:val="6774078"/>
                <w:lock w:val="sdtLocked"/>
              </w:sdtPr>
              <w:sdtEndPr>
                <w:rPr>
                  <w:sz w:val="18"/>
                  <w:szCs w:val="18"/>
                </w:rPr>
              </w:sdtEndPr>
              <w:sdtContent>
                <w:tc>
                  <w:tcPr>
                    <w:tcW w:w="2694" w:type="dxa"/>
                  </w:tcPr>
                  <w:p>
                    <w:pPr>
                      <w:rPr>
                        <w:sz w:val="18"/>
                        <w:szCs w:val="18"/>
                      </w:rPr>
                    </w:pPr>
                    <w:r>
                      <w:rPr>
                        <w:rFonts w:hint="eastAsia"/>
                        <w:sz w:val="18"/>
                        <w:szCs w:val="18"/>
                      </w:rPr>
                      <w:t>1．股东投入的普通股</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78255bc46a04a2fa2fea48d68581b13"/>
                <w:id w:val="6774079"/>
                <w:lock w:val="sdtLocked"/>
              </w:sdtPr>
              <w:sdtEndPr>
                <w:rPr>
                  <w:sz w:val="18"/>
                  <w:szCs w:val="18"/>
                </w:rPr>
              </w:sdtEndPr>
              <w:sdtContent>
                <w:tc>
                  <w:tcPr>
                    <w:tcW w:w="2694" w:type="dxa"/>
                  </w:tcPr>
                  <w:p>
                    <w:pPr>
                      <w:rPr>
                        <w:sz w:val="18"/>
                        <w:szCs w:val="18"/>
                      </w:rPr>
                    </w:pPr>
                    <w:r>
                      <w:rPr>
                        <w:rFonts w:hint="eastAsia"/>
                        <w:sz w:val="18"/>
                        <w:szCs w:val="18"/>
                      </w:rPr>
                      <w:t>2．其他权益工具持有者投入资本</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a821a417acd74adbafab65b641c89752"/>
                <w:id w:val="6774080"/>
                <w:lock w:val="sdtLocked"/>
              </w:sdtPr>
              <w:sdtEndPr>
                <w:rPr>
                  <w:sz w:val="18"/>
                  <w:szCs w:val="18"/>
                </w:rPr>
              </w:sdtEndPr>
              <w:sdtContent>
                <w:tc>
                  <w:tcPr>
                    <w:tcW w:w="2694" w:type="dxa"/>
                  </w:tcPr>
                  <w:p>
                    <w:pPr>
                      <w:rPr>
                        <w:sz w:val="18"/>
                        <w:szCs w:val="18"/>
                      </w:rPr>
                    </w:pPr>
                    <w:r>
                      <w:rPr>
                        <w:rFonts w:hint="eastAsia"/>
                        <w:sz w:val="18"/>
                        <w:szCs w:val="18"/>
                      </w:rPr>
                      <w:t>3</w:t>
                    </w:r>
                    <w:r>
                      <w:rPr>
                        <w:sz w:val="18"/>
                        <w:szCs w:val="18"/>
                      </w:rPr>
                      <w:t>．股份支付计入所有者权益的金额</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92d622e2091b463db014d6772ed02e1a"/>
                <w:id w:val="6774081"/>
                <w:lock w:val="sdtLocked"/>
              </w:sdtPr>
              <w:sdtEndPr>
                <w:rPr>
                  <w:sz w:val="18"/>
                  <w:szCs w:val="18"/>
                </w:rPr>
              </w:sdtEndPr>
              <w:sdtContent>
                <w:tc>
                  <w:tcPr>
                    <w:tcW w:w="2694" w:type="dxa"/>
                  </w:tcPr>
                  <w:p>
                    <w:pPr>
                      <w:rPr>
                        <w:sz w:val="18"/>
                        <w:szCs w:val="18"/>
                      </w:rPr>
                    </w:pPr>
                    <w:r>
                      <w:rPr>
                        <w:rFonts w:hint="eastAsia"/>
                        <w:sz w:val="18"/>
                        <w:szCs w:val="18"/>
                      </w:rPr>
                      <w:t>4</w:t>
                    </w:r>
                    <w:r>
                      <w:rPr>
                        <w:sz w:val="18"/>
                        <w:szCs w:val="18"/>
                      </w:rPr>
                      <w:t>．其他</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c31d8ab7559c4e9cbd54723a76a6da18"/>
                <w:id w:val="6774082"/>
                <w:lock w:val="sdtLocked"/>
              </w:sdtPr>
              <w:sdtEndPr>
                <w:rPr>
                  <w:sz w:val="18"/>
                  <w:szCs w:val="18"/>
                </w:rPr>
              </w:sdtEndPr>
              <w:sdtContent>
                <w:tc>
                  <w:tcPr>
                    <w:tcW w:w="2694" w:type="dxa"/>
                  </w:tcPr>
                  <w:p>
                    <w:pPr>
                      <w:rPr>
                        <w:sz w:val="18"/>
                        <w:szCs w:val="18"/>
                      </w:rPr>
                    </w:pPr>
                    <w:r>
                      <w:rPr>
                        <w:sz w:val="18"/>
                        <w:szCs w:val="18"/>
                      </w:rPr>
                      <w:t>（</w:t>
                    </w:r>
                    <w:r>
                      <w:rPr>
                        <w:rFonts w:hint="eastAsia"/>
                        <w:sz w:val="18"/>
                        <w:szCs w:val="18"/>
                      </w:rPr>
                      <w:t>三</w:t>
                    </w:r>
                    <w:r>
                      <w:rPr>
                        <w:sz w:val="18"/>
                        <w:szCs w:val="18"/>
                      </w:rPr>
                      <w:t>）利润分配</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r>
                  <w:rPr>
                    <w:rFonts w:ascii="Arial Narrow" w:hAnsi="Arial Narrow"/>
                    <w:sz w:val="18"/>
                    <w:szCs w:val="18"/>
                  </w:rPr>
                  <w:t>19,643,806.81</w:t>
                </w:r>
              </w:p>
            </w:tc>
            <w:tc>
              <w:tcPr>
                <w:tcW w:w="1417" w:type="dxa"/>
              </w:tcPr>
              <w:p>
                <w:pPr>
                  <w:jc w:val="right"/>
                  <w:rPr>
                    <w:rFonts w:ascii="Arial Narrow" w:hAnsi="Arial Narrow"/>
                    <w:sz w:val="18"/>
                    <w:szCs w:val="18"/>
                  </w:rPr>
                </w:pPr>
                <w:r>
                  <w:rPr>
                    <w:rFonts w:ascii="Arial Narrow" w:hAnsi="Arial Narrow"/>
                    <w:sz w:val="18"/>
                    <w:szCs w:val="18"/>
                  </w:rPr>
                  <w:t>-19,643,806.81</w:t>
                </w:r>
              </w:p>
            </w:tc>
            <w:tc>
              <w:tcPr>
                <w:tcW w:w="1560" w:type="dxa"/>
              </w:tcPr>
              <w:p>
                <w:pPr>
                  <w:jc w:val="right"/>
                  <w:rPr>
                    <w:rFonts w:ascii="Arial Narrow" w:hAnsi="Arial Narrow"/>
                    <w:sz w:val="18"/>
                    <w:szCs w:val="18"/>
                  </w:rPr>
                </w:pPr>
                <w:r>
                  <w:rPr>
                    <w:rFonts w:ascii="Arial Narrow" w:hAnsi="Arial Narrow"/>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efdacab668c4472d81ebbfd5acddb596"/>
                <w:id w:val="6774083"/>
                <w:lock w:val="sdtLocked"/>
              </w:sdtPr>
              <w:sdtEndPr>
                <w:rPr>
                  <w:sz w:val="18"/>
                  <w:szCs w:val="18"/>
                </w:rPr>
              </w:sdtEndPr>
              <w:sdtContent>
                <w:tc>
                  <w:tcPr>
                    <w:tcW w:w="2694" w:type="dxa"/>
                  </w:tcPr>
                  <w:p>
                    <w:pPr>
                      <w:rPr>
                        <w:sz w:val="18"/>
                        <w:szCs w:val="18"/>
                      </w:rPr>
                    </w:pPr>
                    <w:r>
                      <w:rPr>
                        <w:sz w:val="18"/>
                        <w:szCs w:val="18"/>
                      </w:rPr>
                      <w:t>1．提取盈余公积</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r>
                  <w:rPr>
                    <w:rFonts w:ascii="Arial Narrow" w:hAnsi="Arial Narrow"/>
                    <w:sz w:val="18"/>
                    <w:szCs w:val="18"/>
                  </w:rPr>
                  <w:t>19,643,806.81</w:t>
                </w:r>
              </w:p>
            </w:tc>
            <w:tc>
              <w:tcPr>
                <w:tcW w:w="1417" w:type="dxa"/>
              </w:tcPr>
              <w:p>
                <w:pPr>
                  <w:jc w:val="right"/>
                  <w:rPr>
                    <w:rFonts w:ascii="Arial Narrow" w:hAnsi="Arial Narrow"/>
                    <w:sz w:val="18"/>
                    <w:szCs w:val="18"/>
                  </w:rPr>
                </w:pPr>
                <w:r>
                  <w:rPr>
                    <w:rFonts w:ascii="Arial Narrow" w:hAnsi="Arial Narrow"/>
                    <w:sz w:val="18"/>
                    <w:szCs w:val="18"/>
                  </w:rPr>
                  <w:t>-19,643,806.81</w:t>
                </w:r>
              </w:p>
            </w:tc>
            <w:tc>
              <w:tcPr>
                <w:tcW w:w="1560" w:type="dxa"/>
              </w:tcPr>
              <w:p>
                <w:pPr>
                  <w:jc w:val="right"/>
                  <w:rPr>
                    <w:rFonts w:ascii="Arial Narrow" w:hAnsi="Arial Narrow"/>
                    <w:sz w:val="18"/>
                    <w:szCs w:val="18"/>
                  </w:rPr>
                </w:pPr>
                <w:r>
                  <w:rPr>
                    <w:rFonts w:ascii="Arial Narrow" w:hAnsi="Arial Narrow"/>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bc11815cb7ab4f4b9a1eda4e6afed431"/>
                <w:id w:val="6774084"/>
                <w:lock w:val="sdtLocked"/>
              </w:sdtPr>
              <w:sdtEndPr>
                <w:rPr>
                  <w:sz w:val="18"/>
                  <w:szCs w:val="18"/>
                </w:rPr>
              </w:sdtEndPr>
              <w:sdtContent>
                <w:tc>
                  <w:tcPr>
                    <w:tcW w:w="2694" w:type="dxa"/>
                  </w:tcPr>
                  <w:p>
                    <w:pPr>
                      <w:rPr>
                        <w:sz w:val="18"/>
                        <w:szCs w:val="18"/>
                      </w:rPr>
                    </w:pPr>
                    <w:r>
                      <w:rPr>
                        <w:rFonts w:hint="eastAsia"/>
                        <w:sz w:val="18"/>
                        <w:szCs w:val="18"/>
                      </w:rPr>
                      <w:t>2</w:t>
                    </w:r>
                    <w:r>
                      <w:rPr>
                        <w:sz w:val="18"/>
                        <w:szCs w:val="18"/>
                      </w:rPr>
                      <w:t>．对所有者（或股东）的分配</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r>
                  <w:rPr>
                    <w:rFonts w:ascii="Arial Narrow" w:hAnsi="Arial Narrow"/>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eeea6279375140369d7b0c1adeedce4e"/>
                <w:id w:val="6774085"/>
                <w:lock w:val="sdtLocked"/>
              </w:sdtPr>
              <w:sdtEndPr>
                <w:rPr>
                  <w:sz w:val="18"/>
                  <w:szCs w:val="18"/>
                </w:rPr>
              </w:sdtEndPr>
              <w:sdtContent>
                <w:tc>
                  <w:tcPr>
                    <w:tcW w:w="2694" w:type="dxa"/>
                  </w:tcPr>
                  <w:p>
                    <w:pPr>
                      <w:rPr>
                        <w:sz w:val="18"/>
                        <w:szCs w:val="18"/>
                      </w:rPr>
                    </w:pPr>
                    <w:r>
                      <w:rPr>
                        <w:rFonts w:hint="eastAsia"/>
                        <w:sz w:val="18"/>
                        <w:szCs w:val="18"/>
                      </w:rPr>
                      <w:t>3</w:t>
                    </w:r>
                    <w:r>
                      <w:rPr>
                        <w:sz w:val="18"/>
                        <w:szCs w:val="18"/>
                      </w:rPr>
                      <w:t>．其他</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052d77a6170140d7a6bed3e9f9b100a3"/>
                <w:id w:val="6774086"/>
                <w:lock w:val="sdtLocked"/>
              </w:sdtPr>
              <w:sdtEndPr>
                <w:rPr>
                  <w:sz w:val="18"/>
                  <w:szCs w:val="18"/>
                </w:rPr>
              </w:sdtEndPr>
              <w:sdtContent>
                <w:tc>
                  <w:tcPr>
                    <w:tcW w:w="2694" w:type="dxa"/>
                  </w:tcPr>
                  <w:p>
                    <w:pPr>
                      <w:rPr>
                        <w:sz w:val="18"/>
                        <w:szCs w:val="18"/>
                      </w:rPr>
                    </w:pPr>
                    <w:r>
                      <w:rPr>
                        <w:sz w:val="18"/>
                        <w:szCs w:val="18"/>
                      </w:rPr>
                      <w:t>（</w:t>
                    </w:r>
                    <w:r>
                      <w:rPr>
                        <w:rFonts w:hint="eastAsia"/>
                        <w:sz w:val="18"/>
                        <w:szCs w:val="18"/>
                      </w:rPr>
                      <w:t>四</w:t>
                    </w:r>
                    <w:r>
                      <w:rPr>
                        <w:sz w:val="18"/>
                        <w:szCs w:val="18"/>
                      </w:rPr>
                      <w:t>）所有者权益内部结转</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9a9f088c1d174e12ba61dde28a417d99"/>
                <w:id w:val="6774087"/>
                <w:lock w:val="sdtLocked"/>
              </w:sdtPr>
              <w:sdtEndPr>
                <w:rPr>
                  <w:sz w:val="18"/>
                  <w:szCs w:val="18"/>
                </w:rPr>
              </w:sdtEndPr>
              <w:sdtContent>
                <w:tc>
                  <w:tcPr>
                    <w:tcW w:w="2694" w:type="dxa"/>
                  </w:tcPr>
                  <w:p>
                    <w:pPr>
                      <w:rPr>
                        <w:sz w:val="18"/>
                        <w:szCs w:val="18"/>
                      </w:rPr>
                    </w:pPr>
                    <w:r>
                      <w:rPr>
                        <w:sz w:val="18"/>
                        <w:szCs w:val="18"/>
                      </w:rPr>
                      <w:t>1．资本公积转增资本（或股本）</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ebd81846cd5f4d74b75607bdcfe0feba"/>
                <w:id w:val="6774088"/>
                <w:lock w:val="sdtLocked"/>
              </w:sdtPr>
              <w:sdtEndPr>
                <w:rPr>
                  <w:sz w:val="18"/>
                  <w:szCs w:val="18"/>
                </w:rPr>
              </w:sdtEndPr>
              <w:sdtContent>
                <w:tc>
                  <w:tcPr>
                    <w:tcW w:w="2694" w:type="dxa"/>
                  </w:tcPr>
                  <w:p>
                    <w:pPr>
                      <w:rPr>
                        <w:sz w:val="18"/>
                        <w:szCs w:val="18"/>
                      </w:rPr>
                    </w:pPr>
                    <w:r>
                      <w:rPr>
                        <w:sz w:val="18"/>
                        <w:szCs w:val="18"/>
                      </w:rPr>
                      <w:t>2．盈余公积转增资本（或股本）</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1ee6483c0fc24bfdb31a91328188ed74"/>
                <w:id w:val="6774089"/>
                <w:lock w:val="sdtLocked"/>
              </w:sdtPr>
              <w:sdtEndPr>
                <w:rPr>
                  <w:sz w:val="18"/>
                  <w:szCs w:val="18"/>
                </w:rPr>
              </w:sdtEndPr>
              <w:sdtContent>
                <w:tc>
                  <w:tcPr>
                    <w:tcW w:w="2694" w:type="dxa"/>
                  </w:tcPr>
                  <w:p>
                    <w:pPr>
                      <w:rPr>
                        <w:sz w:val="18"/>
                        <w:szCs w:val="18"/>
                      </w:rPr>
                    </w:pPr>
                    <w:r>
                      <w:rPr>
                        <w:sz w:val="18"/>
                        <w:szCs w:val="18"/>
                      </w:rPr>
                      <w:t>3．盈余公积弥补亏损</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49e30afc82e4384abfc0ba1d040da99"/>
                <w:id w:val="6774090"/>
                <w:lock w:val="sdtLocked"/>
              </w:sdtPr>
              <w:sdtEndPr>
                <w:rPr>
                  <w:sz w:val="18"/>
                  <w:szCs w:val="18"/>
                </w:rPr>
              </w:sdtEndPr>
              <w:sdtContent>
                <w:tc>
                  <w:tcPr>
                    <w:tcW w:w="2694" w:type="dxa"/>
                  </w:tcPr>
                  <w:p>
                    <w:pPr>
                      <w:rPr>
                        <w:sz w:val="18"/>
                        <w:szCs w:val="18"/>
                      </w:rPr>
                    </w:pPr>
                    <w:r>
                      <w:rPr>
                        <w:sz w:val="18"/>
                        <w:szCs w:val="18"/>
                      </w:rPr>
                      <w:t>4．其他</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6c1494737e6f443ea840cf84d2b6349e"/>
                <w:id w:val="6774091"/>
                <w:lock w:val="sdtLocked"/>
              </w:sdtPr>
              <w:sdtEndPr>
                <w:rPr>
                  <w:sz w:val="18"/>
                  <w:szCs w:val="18"/>
                </w:rPr>
              </w:sdtEndPr>
              <w:sdtContent>
                <w:tc>
                  <w:tcPr>
                    <w:tcW w:w="2694" w:type="dxa"/>
                    <w:vAlign w:val="center"/>
                  </w:tcPr>
                  <w:p>
                    <w:pPr>
                      <w:rPr>
                        <w:sz w:val="18"/>
                        <w:szCs w:val="18"/>
                      </w:rPr>
                    </w:pPr>
                    <w:r>
                      <w:rPr>
                        <w:rFonts w:hint="eastAsia"/>
                        <w:sz w:val="18"/>
                        <w:szCs w:val="18"/>
                      </w:rPr>
                      <w:t xml:space="preserve"> （五）专项储备</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r>
                  <w:rPr>
                    <w:rFonts w:ascii="Arial Narrow" w:hAnsi="Arial Narrow"/>
                    <w:sz w:val="18"/>
                    <w:szCs w:val="18"/>
                  </w:rPr>
                  <w:t>247,248.36</w:t>
                </w: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r>
                  <w:rPr>
                    <w:rFonts w:ascii="Arial Narrow" w:hAnsi="Arial Narrow"/>
                    <w:sz w:val="18"/>
                    <w:szCs w:val="18"/>
                  </w:rPr>
                  <w:t>247,248.36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d0e40af43a9d494cb34a65f4fdcea415"/>
                <w:id w:val="6774092"/>
                <w:lock w:val="sdtLocked"/>
              </w:sdtPr>
              <w:sdtEndPr>
                <w:rPr>
                  <w:sz w:val="18"/>
                  <w:szCs w:val="18"/>
                </w:rPr>
              </w:sdtEndPr>
              <w:sdtContent>
                <w:tc>
                  <w:tcPr>
                    <w:tcW w:w="2694" w:type="dxa"/>
                    <w:vAlign w:val="center"/>
                  </w:tcPr>
                  <w:p>
                    <w:pPr>
                      <w:rPr>
                        <w:sz w:val="18"/>
                        <w:szCs w:val="18"/>
                      </w:rPr>
                    </w:pPr>
                    <w:r>
                      <w:rPr>
                        <w:rFonts w:hint="eastAsia"/>
                        <w:sz w:val="18"/>
                        <w:szCs w:val="18"/>
                      </w:rPr>
                      <w:t>1．本期提取</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r>
                  <w:rPr>
                    <w:rFonts w:ascii="Arial Narrow" w:hAnsi="Arial Narrow"/>
                    <w:sz w:val="18"/>
                    <w:szCs w:val="18"/>
                  </w:rPr>
                  <w:t>27,100,000.00</w:t>
                </w: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r>
                  <w:rPr>
                    <w:rFonts w:ascii="Arial Narrow" w:hAnsi="Arial Narrow"/>
                    <w:sz w:val="18"/>
                    <w:szCs w:val="18"/>
                  </w:rPr>
                  <w:t>27,100,000.00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2d219848286b44d9b01cb294e0b5f531"/>
                <w:id w:val="6774093"/>
                <w:lock w:val="sdtLocked"/>
              </w:sdtPr>
              <w:sdtEndPr>
                <w:rPr>
                  <w:sz w:val="18"/>
                  <w:szCs w:val="18"/>
                </w:rPr>
              </w:sdtEndPr>
              <w:sdtContent>
                <w:tc>
                  <w:tcPr>
                    <w:tcW w:w="2694" w:type="dxa"/>
                    <w:vAlign w:val="center"/>
                  </w:tcPr>
                  <w:p>
                    <w:pPr>
                      <w:rPr>
                        <w:sz w:val="18"/>
                        <w:szCs w:val="18"/>
                      </w:rPr>
                    </w:pPr>
                    <w:r>
                      <w:rPr>
                        <w:rFonts w:hint="eastAsia"/>
                        <w:sz w:val="18"/>
                        <w:szCs w:val="18"/>
                      </w:rPr>
                      <w:t>2．本期使用</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r>
                  <w:rPr>
                    <w:rFonts w:ascii="Arial Narrow" w:hAnsi="Arial Narrow"/>
                    <w:sz w:val="18"/>
                    <w:szCs w:val="18"/>
                  </w:rPr>
                  <w:t>26,852,751.64</w:t>
                </w: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r>
                  <w:rPr>
                    <w:rFonts w:ascii="Arial Narrow" w:hAnsi="Arial Narrow"/>
                    <w:sz w:val="18"/>
                    <w:szCs w:val="18"/>
                  </w:rPr>
                  <w:t>26,852,751.64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34848007723a4e7ebffa751ec0641ceb"/>
                <w:id w:val="6774094"/>
                <w:lock w:val="sdtLocked"/>
              </w:sdtPr>
              <w:sdtEndPr>
                <w:rPr>
                  <w:sz w:val="18"/>
                  <w:szCs w:val="18"/>
                </w:rPr>
              </w:sdtEndPr>
              <w:sdtContent>
                <w:tc>
                  <w:tcPr>
                    <w:tcW w:w="2694" w:type="dxa"/>
                  </w:tcPr>
                  <w:p>
                    <w:pPr>
                      <w:rPr>
                        <w:sz w:val="18"/>
                        <w:szCs w:val="18"/>
                      </w:rPr>
                    </w:pPr>
                    <w:r>
                      <w:rPr>
                        <w:rFonts w:hint="eastAsia"/>
                        <w:sz w:val="18"/>
                        <w:szCs w:val="18"/>
                      </w:rPr>
                      <w:t>（六）其他</w:t>
                    </w:r>
                  </w:p>
                </w:tc>
              </w:sdtContent>
            </w:sdt>
            <w:tc>
              <w:tcPr>
                <w:tcW w:w="1418" w:type="dxa"/>
                <w:tcBorders>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p>
            </w:tc>
            <w:tc>
              <w:tcPr>
                <w:tcW w:w="1418" w:type="dxa"/>
              </w:tcPr>
              <w:p>
                <w:pPr>
                  <w:jc w:val="right"/>
                  <w:rPr>
                    <w:rFonts w:ascii="Arial Narrow" w:hAnsi="Arial Narrow"/>
                    <w:sz w:val="18"/>
                    <w:szCs w:val="18"/>
                  </w:rPr>
                </w:pPr>
              </w:p>
            </w:tc>
            <w:tc>
              <w:tcPr>
                <w:tcW w:w="1417" w:type="dxa"/>
              </w:tcPr>
              <w:p>
                <w:pPr>
                  <w:jc w:val="right"/>
                  <w:rPr>
                    <w:rFonts w:ascii="Arial Narrow" w:hAnsi="Arial Narrow"/>
                    <w:sz w:val="18"/>
                    <w:szCs w:val="18"/>
                  </w:rPr>
                </w:pPr>
              </w:p>
            </w:tc>
            <w:tc>
              <w:tcPr>
                <w:tcW w:w="1560"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6b5f9b516e5a4463863aa4efc7105b44"/>
                <w:id w:val="6774095"/>
                <w:lock w:val="sdtLocked"/>
              </w:sdtPr>
              <w:sdtEndPr>
                <w:rPr>
                  <w:sz w:val="18"/>
                  <w:szCs w:val="18"/>
                </w:rPr>
              </w:sdtEndPr>
              <w:sdtContent>
                <w:tc>
                  <w:tcPr>
                    <w:tcW w:w="2694" w:type="dxa"/>
                  </w:tcPr>
                  <w:p>
                    <w:pPr>
                      <w:rPr>
                        <w:sz w:val="18"/>
                        <w:szCs w:val="18"/>
                      </w:rPr>
                    </w:pPr>
                    <w:r>
                      <w:rPr>
                        <w:sz w:val="18"/>
                        <w:szCs w:val="18"/>
                      </w:rPr>
                      <w:t>四、本期期末余额</w:t>
                    </w:r>
                  </w:p>
                </w:tc>
              </w:sdtContent>
            </w:sdt>
            <w:tc>
              <w:tcPr>
                <w:tcW w:w="1418" w:type="dxa"/>
                <w:tcBorders>
                  <w:right w:val="single" w:color="auto" w:sz="4" w:space="0"/>
                </w:tcBorders>
              </w:tcPr>
              <w:p>
                <w:pPr>
                  <w:jc w:val="right"/>
                  <w:rPr>
                    <w:rFonts w:ascii="Arial Narrow" w:hAnsi="Arial Narrow"/>
                    <w:sz w:val="18"/>
                    <w:szCs w:val="18"/>
                  </w:rPr>
                </w:pPr>
                <w:r>
                  <w:rPr>
                    <w:rFonts w:ascii="Arial Narrow" w:hAnsi="Arial Narrow"/>
                    <w:sz w:val="18"/>
                    <w:szCs w:val="18"/>
                  </w:rPr>
                  <w:t>2,562,793,200.00</w:t>
                </w: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850"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r>
                  <w:rPr>
                    <w:rFonts w:ascii="Arial Narrow" w:hAnsi="Arial Narrow"/>
                    <w:sz w:val="18"/>
                    <w:szCs w:val="18"/>
                  </w:rPr>
                  <w:t>208,436,169.08</w:t>
                </w:r>
              </w:p>
            </w:tc>
            <w:tc>
              <w:tcPr>
                <w:tcW w:w="708" w:type="dxa"/>
              </w:tcPr>
              <w:p>
                <w:pPr>
                  <w:jc w:val="right"/>
                  <w:rPr>
                    <w:rFonts w:ascii="Arial Narrow" w:hAnsi="Arial Narrow"/>
                    <w:sz w:val="18"/>
                    <w:szCs w:val="18"/>
                  </w:rPr>
                </w:pPr>
              </w:p>
            </w:tc>
            <w:tc>
              <w:tcPr>
                <w:tcW w:w="993" w:type="dxa"/>
              </w:tcPr>
              <w:p>
                <w:pPr>
                  <w:jc w:val="right"/>
                  <w:rPr>
                    <w:rFonts w:ascii="Arial Narrow" w:hAnsi="Arial Narrow"/>
                    <w:sz w:val="18"/>
                    <w:szCs w:val="18"/>
                  </w:rPr>
                </w:pPr>
              </w:p>
            </w:tc>
            <w:tc>
              <w:tcPr>
                <w:tcW w:w="1275" w:type="dxa"/>
              </w:tcPr>
              <w:p>
                <w:pPr>
                  <w:jc w:val="right"/>
                  <w:rPr>
                    <w:rFonts w:ascii="Arial Narrow" w:hAnsi="Arial Narrow"/>
                    <w:sz w:val="18"/>
                    <w:szCs w:val="18"/>
                  </w:rPr>
                </w:pPr>
                <w:r>
                  <w:rPr>
                    <w:rFonts w:ascii="Arial Narrow" w:hAnsi="Arial Narrow"/>
                    <w:sz w:val="18"/>
                    <w:szCs w:val="18"/>
                  </w:rPr>
                  <w:t>6,103,133.51</w:t>
                </w:r>
              </w:p>
            </w:tc>
            <w:tc>
              <w:tcPr>
                <w:tcW w:w="1418" w:type="dxa"/>
              </w:tcPr>
              <w:p>
                <w:pPr>
                  <w:jc w:val="right"/>
                  <w:rPr>
                    <w:rFonts w:ascii="Arial Narrow" w:hAnsi="Arial Narrow"/>
                    <w:sz w:val="18"/>
                    <w:szCs w:val="18"/>
                  </w:rPr>
                </w:pPr>
                <w:r>
                  <w:rPr>
                    <w:rFonts w:ascii="Arial Narrow" w:hAnsi="Arial Narrow"/>
                    <w:sz w:val="18"/>
                    <w:szCs w:val="18"/>
                  </w:rPr>
                  <w:t>972,441,693.18</w:t>
                </w:r>
              </w:p>
            </w:tc>
            <w:tc>
              <w:tcPr>
                <w:tcW w:w="1417" w:type="dxa"/>
              </w:tcPr>
              <w:p>
                <w:pPr>
                  <w:jc w:val="right"/>
                  <w:rPr>
                    <w:rFonts w:ascii="Arial Narrow" w:hAnsi="Arial Narrow"/>
                    <w:sz w:val="18"/>
                    <w:szCs w:val="18"/>
                  </w:rPr>
                </w:pPr>
                <w:r>
                  <w:rPr>
                    <w:rFonts w:ascii="Arial Narrow" w:hAnsi="Arial Narrow"/>
                    <w:sz w:val="18"/>
                    <w:szCs w:val="18"/>
                  </w:rPr>
                  <w:t>885,130,382.22</w:t>
                </w:r>
              </w:p>
            </w:tc>
            <w:tc>
              <w:tcPr>
                <w:tcW w:w="1560" w:type="dxa"/>
              </w:tcPr>
              <w:p>
                <w:pPr>
                  <w:jc w:val="right"/>
                  <w:rPr>
                    <w:rFonts w:ascii="Arial Narrow" w:hAnsi="Arial Narrow"/>
                    <w:sz w:val="18"/>
                    <w:szCs w:val="18"/>
                  </w:rPr>
                </w:pPr>
                <w:r>
                  <w:rPr>
                    <w:rFonts w:ascii="Arial Narrow" w:hAnsi="Arial Narrow"/>
                    <w:sz w:val="18"/>
                    <w:szCs w:val="18"/>
                  </w:rPr>
                  <w:t>4,634,904,577.99</w:t>
                </w:r>
              </w:p>
            </w:tc>
          </w:tr>
        </w:tbl>
        <w:p/>
        <w:p>
          <w:pPr>
            <w:snapToGrid w:val="0"/>
            <w:spacing w:line="240" w:lineRule="atLeast"/>
            <w:rPr>
              <w:szCs w:val="21"/>
            </w:rPr>
          </w:pPr>
          <w:r>
            <w:rPr>
              <w:szCs w:val="21"/>
            </w:rPr>
            <w:t>法定代表人</w:t>
          </w:r>
          <w:r>
            <w:rPr>
              <w:rFonts w:hint="eastAsia"/>
              <w:szCs w:val="21"/>
            </w:rPr>
            <w:t>：</w:t>
          </w:r>
          <w:sdt>
            <w:sdtPr>
              <w:rPr>
                <w:rFonts w:hint="eastAsia"/>
                <w:szCs w:val="21"/>
              </w:rPr>
              <w:alias w:val="公司法定代表人"/>
              <w:tag w:val="_GBC_a003c6ca7ced435f875f75f166523520"/>
              <w:id w:val="6774096"/>
              <w:lock w:val="sdtLocked"/>
              <w:text/>
            </w:sdtPr>
            <w:sdtEndPr>
              <w:rPr>
                <w:rFonts w:hint="eastAsia"/>
                <w:szCs w:val="21"/>
              </w:rPr>
            </w:sdtEndPr>
            <w:sdtContent>
              <w:r>
                <w:rPr>
                  <w:rFonts w:hint="eastAsia"/>
                  <w:szCs w:val="21"/>
                </w:rPr>
                <w:t>陈有升</w:t>
              </w:r>
            </w:sdtContent>
          </w:sdt>
          <w:r>
            <w:rPr>
              <w:szCs w:val="21"/>
            </w:rPr>
            <w:t>主管会计工作负责人</w:t>
          </w:r>
          <w:r>
            <w:rPr>
              <w:rFonts w:hint="eastAsia"/>
              <w:szCs w:val="21"/>
            </w:rPr>
            <w:t>：</w:t>
          </w:r>
          <w:sdt>
            <w:sdtPr>
              <w:rPr>
                <w:rFonts w:hint="eastAsia"/>
                <w:szCs w:val="21"/>
              </w:rPr>
              <w:alias w:val="主管会计工作负责人姓名"/>
              <w:tag w:val="_GBC_eb01d1da334f4e8c9bd9fc6f62c15e98"/>
              <w:id w:val="6774097"/>
              <w:lock w:val="sdtLocked"/>
              <w:text/>
            </w:sdtPr>
            <w:sdtEndPr>
              <w:rPr>
                <w:rFonts w:hint="eastAsia"/>
                <w:szCs w:val="21"/>
              </w:rPr>
            </w:sdtEndPr>
            <w:sdtContent>
              <w:r>
                <w:rPr>
                  <w:rFonts w:hint="eastAsia"/>
                  <w:szCs w:val="21"/>
                </w:rPr>
                <w:t>杜忠军</w:t>
              </w:r>
            </w:sdtContent>
          </w:sdt>
          <w:r>
            <w:rPr>
              <w:szCs w:val="21"/>
            </w:rPr>
            <w:t>会计机构负责人</w:t>
          </w:r>
          <w:r>
            <w:rPr>
              <w:rFonts w:hint="eastAsia"/>
              <w:szCs w:val="21"/>
            </w:rPr>
            <w:t>：</w:t>
          </w:r>
          <w:sdt>
            <w:sdtPr>
              <w:rPr>
                <w:rFonts w:hint="eastAsia"/>
                <w:szCs w:val="21"/>
              </w:rPr>
              <w:alias w:val="会计机构负责人姓名"/>
              <w:tag w:val="_GBC_4fecf9c6979f43bdb70043d3f9c804d2"/>
              <w:id w:val="6774098"/>
              <w:lock w:val="sdtLocked"/>
              <w:text/>
            </w:sdtPr>
            <w:sdtEndPr>
              <w:rPr>
                <w:rFonts w:hint="eastAsia"/>
                <w:szCs w:val="21"/>
              </w:rPr>
            </w:sdtEndPr>
            <w:sdtContent>
              <w:r>
                <w:rPr>
                  <w:rFonts w:hint="eastAsia"/>
                  <w:szCs w:val="21"/>
                </w:rPr>
                <w:t>唐皓烨</w:t>
              </w:r>
            </w:sdtContent>
          </w:sdt>
        </w:p>
        <w:p>
          <w:pPr>
            <w:snapToGrid w:val="0"/>
            <w:spacing w:line="240" w:lineRule="atLeast"/>
            <w:rPr>
              <w:szCs w:val="21"/>
            </w:rPr>
          </w:pPr>
        </w:p>
      </w:sdtContent>
    </w:sdt>
    <w:p>
      <w:pPr>
        <w:snapToGrid w:val="0"/>
        <w:spacing w:line="240" w:lineRule="atLeast"/>
        <w:rPr>
          <w:szCs w:val="21"/>
        </w:rPr>
      </w:pPr>
    </w:p>
    <w:p>
      <w:pPr>
        <w:snapToGrid w:val="0"/>
        <w:spacing w:line="240" w:lineRule="atLeast"/>
        <w:rPr>
          <w:szCs w:val="21"/>
        </w:rPr>
        <w:sectPr>
          <w:pgSz w:w="16838" w:h="11906" w:orient="landscape"/>
          <w:pgMar w:top="1276" w:right="1440" w:bottom="1797" w:left="1525" w:header="856" w:footer="992" w:gutter="0"/>
          <w:cols w:space="425" w:num="1"/>
          <w:docGrid w:type="lines" w:linePitch="312" w:charSpace="0"/>
        </w:sectPr>
      </w:pPr>
    </w:p>
    <w:sdt>
      <w:sdtPr>
        <w:rPr>
          <w:rFonts w:ascii="宋体" w:hAnsi="宋体" w:cs="宋体"/>
          <w:b w:val="0"/>
          <w:bCs w:val="0"/>
          <w:kern w:val="0"/>
          <w:szCs w:val="24"/>
        </w:rPr>
        <w:alias w:val="模块:公司基本情况"/>
        <w:tag w:val="_GBC_c49d72d4b04e4ead97addb731e9b6458"/>
        <w:id w:val="6774103"/>
        <w:lock w:val="sdtLocked"/>
        <w:placeholder>
          <w:docPart w:val="GBC22222222222222222222222222222"/>
        </w:placeholder>
      </w:sdtPr>
      <w:sdtEndPr>
        <w:rPr>
          <w:rFonts w:hint="eastAsia" w:ascii="宋体" w:hAnsi="宋体" w:cs="Times New Roman"/>
          <w:b w:val="0"/>
          <w:bCs w:val="0"/>
          <w:kern w:val="2"/>
          <w:szCs w:val="24"/>
        </w:rPr>
      </w:sdtEndPr>
      <w:sdtContent>
        <w:p>
          <w:pPr>
            <w:pStyle w:val="3"/>
            <w:numPr>
              <w:ilvl w:val="0"/>
              <w:numId w:val="54"/>
            </w:numPr>
            <w:rPr>
              <w:rFonts w:ascii="宋体" w:hAnsi="宋体"/>
            </w:rPr>
          </w:pPr>
          <w:r>
            <w:rPr>
              <w:rFonts w:ascii="宋体" w:hAnsi="宋体"/>
            </w:rPr>
            <w:t>公司基本情况</w:t>
          </w:r>
        </w:p>
        <w:p>
          <w:pPr>
            <w:pStyle w:val="4"/>
            <w:numPr>
              <w:ilvl w:val="0"/>
              <w:numId w:val="55"/>
            </w:numPr>
          </w:pPr>
          <w:r>
            <w:rPr>
              <w:rFonts w:hint="eastAsia"/>
            </w:rPr>
            <w:t>公司概况</w:t>
          </w:r>
        </w:p>
        <w:sdt>
          <w:sdtPr>
            <w:rPr>
              <w:rFonts w:hint="eastAsia"/>
              <w:szCs w:val="21"/>
            </w:rPr>
            <w:alias w:val="是否适用：公司概况[双击切换]"/>
            <w:tag w:val="_GBC_7b613deb8c7f4027b73602e5cd1d4a2e"/>
            <w:id w:val="6774100"/>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6774101"/>
            <w:lock w:val="sdtLocked"/>
            <w:placeholder>
              <w:docPart w:val="GBC22222222222222222222222222222"/>
            </w:placeholder>
          </w:sdtPr>
          <w:sdtEndPr>
            <w:rPr>
              <w:szCs w:val="21"/>
            </w:rPr>
          </w:sdtEndPr>
          <w:sdtContent>
            <w:p>
              <w:pPr>
                <w:ind w:firstLine="420" w:firstLineChars="200"/>
              </w:pPr>
              <w:r>
                <w:rPr>
                  <w:rFonts w:hint="eastAsia"/>
                </w:rPr>
                <w:t>柳州钢铁股份有限公司(以下简称公司或本公司)于2000年4月7日经广西壮族自治区人民政府桂政函[2000]74号文批准，由广西柳州钢铁集团有限公司(以下简称集团公司)作为主发起人，联合柳州有色冶炼股份有限公司、柳州市柳工物资有限公司、广西壮族自治区冶金建设公司、柳州化学工业集团有限公司共同发起设立。公司于2000年4月14日经广西壮族自治区工商行政管理局批准注册，统一社会信用代码为91450200715187622B。公司原名广西柳州金程股份有限公司，2001年10月更名为柳州钢铁股份有限公司。</w:t>
              </w:r>
            </w:p>
            <w:p>
              <w:pPr>
                <w:ind w:firstLine="420" w:firstLineChars="200"/>
              </w:pPr>
            </w:p>
            <w:p>
              <w:pPr>
                <w:ind w:firstLine="420" w:firstLineChars="200"/>
              </w:pPr>
              <w:r>
                <w:rPr>
                  <w:rFonts w:hint="eastAsia"/>
                </w:rPr>
                <w:t>经中国证券监督管理委员会证监发行字[2007]21号文核准，本公司于2007年2月5日至6日采用网下配售和网上发行相结合方式向社会公开发行人民币普通股（A股）10,700万股，每股面值1元，每股发行价格10.06元。发行后本公司注册资本从60,488.70万元增至71,188.70万元。</w:t>
              </w:r>
            </w:p>
            <w:p>
              <w:pPr>
                <w:ind w:firstLine="420" w:firstLineChars="200"/>
              </w:pPr>
            </w:p>
            <w:p>
              <w:pPr>
                <w:ind w:firstLine="420" w:firstLineChars="200"/>
              </w:pPr>
              <w:r>
                <w:rPr>
                  <w:rFonts w:hint="eastAsia"/>
                </w:rPr>
                <w:t>根据本公司2007年5月14日股东大会通过2006年度利润分配议案，以2007年2月27日公司挂牌上市后的总股本71,188.70万股为基数，每10股送10股。本次送股数量为71,188.70万股，每股面值1元，变更后公司注册资本为142,377.40万元。</w:t>
              </w:r>
            </w:p>
            <w:p>
              <w:pPr>
                <w:ind w:firstLine="420" w:firstLineChars="200"/>
              </w:pPr>
            </w:p>
            <w:p>
              <w:pPr>
                <w:ind w:firstLine="420" w:firstLineChars="200"/>
              </w:pPr>
              <w:r>
                <w:rPr>
                  <w:rFonts w:hint="eastAsia"/>
                </w:rPr>
                <w:t>根据本公司2008年5月6日股东大会通过2007年度利润分配议案，以2007年12月31日总股本142,377.40万股为基数，以公积金转增股本，每10股转增8股。本次转增113,901.92万股，每股面值1元，变更后公司注册资本为256,279.32万元。</w:t>
              </w:r>
            </w:p>
            <w:p>
              <w:pPr>
                <w:ind w:firstLine="420" w:firstLineChars="200"/>
              </w:pPr>
            </w:p>
            <w:p>
              <w:pPr>
                <w:ind w:firstLine="420" w:firstLineChars="200"/>
              </w:pPr>
              <w:r>
                <w:rPr>
                  <w:rFonts w:hint="eastAsia"/>
                </w:rPr>
                <w:t>本公司建立了股东大会、董事会、监事会的法人治理结构，目前设综合管理部、策划部、证券部、财务部等部门，并设有经销公司、物资公司、金材公司、矿业公司、烧结厂、焦化厂、炼铁厂、转炉厂、中板厂、棒线厂等独立核算单位，无下属子公司。</w:t>
              </w:r>
            </w:p>
            <w:p>
              <w:pPr>
                <w:ind w:firstLine="420" w:firstLineChars="200"/>
              </w:pPr>
            </w:p>
            <w:p>
              <w:pPr>
                <w:ind w:firstLine="420" w:firstLineChars="200"/>
                <w:rPr>
                  <w:szCs w:val="21"/>
                </w:rPr>
              </w:pPr>
              <w:r>
                <w:rPr>
                  <w:rFonts w:hint="eastAsia"/>
                </w:rPr>
                <w:t>公司经营范围为：烧结、炼铁、炼钢及其副产品的销售，钢材轧制、加工及其副产品的销售；炼焦及其副产品的销售（凭有效的安全生产许可证核准的范围经营）；本企业自产产品及相关技术的出口业务；本企业生产、科研所需的原辅材料、机械设备、仪器仪表、零配件及相关技术的进口业务；本企业进料加工和"三来一补"业务；货物装卸、驳运；机械设备租赁；机械加工修理；金属材料代销；技术咨询服务；房屋门面出租；国内广告设计、制作、发布；货物仓储。</w:t>
              </w:r>
            </w:p>
          </w:sdtContent>
        </w:sdt>
        <w:p>
          <w:pPr>
            <w:rPr>
              <w:szCs w:val="21"/>
            </w:rPr>
          </w:pPr>
        </w:p>
        <w:p>
          <w:pPr>
            <w:pStyle w:val="4"/>
            <w:numPr>
              <w:ilvl w:val="0"/>
              <w:numId w:val="55"/>
            </w:numPr>
            <w:rPr>
              <w:szCs w:val="21"/>
            </w:rPr>
          </w:pPr>
          <w:r>
            <w:rPr>
              <w:rFonts w:hint="eastAsia"/>
              <w:szCs w:val="21"/>
            </w:rPr>
            <w:t>合并财务</w:t>
          </w:r>
          <w:r>
            <w:rPr>
              <w:rFonts w:hint="eastAsia"/>
            </w:rPr>
            <w:t>报表</w:t>
          </w:r>
          <w:r>
            <w:rPr>
              <w:rFonts w:hint="eastAsia"/>
              <w:szCs w:val="21"/>
            </w:rPr>
            <w:t>范围</w:t>
          </w:r>
        </w:p>
        <w:sdt>
          <w:sdtPr>
            <w:rPr>
              <w:rFonts w:hint="eastAsia"/>
              <w:szCs w:val="21"/>
            </w:rPr>
            <w:alias w:val="是否适用：合并财务报表范围[双击切换]"/>
            <w:tag w:val="_GBC_a91e4e947d164f9a9ca7d1c18bebd2db"/>
            <w:id w:val="677410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p>
      <w:pPr>
        <w:pStyle w:val="3"/>
        <w:numPr>
          <w:ilvl w:val="0"/>
          <w:numId w:val="54"/>
        </w:numPr>
        <w:rPr>
          <w:rFonts w:ascii="宋体" w:hAnsi="宋体"/>
        </w:rPr>
      </w:pPr>
      <w:r>
        <w:rPr>
          <w:rFonts w:hint="eastAsia" w:ascii="宋体" w:hAnsi="宋体"/>
        </w:rPr>
        <w:t>财务报表的编制基础</w:t>
      </w:r>
    </w:p>
    <w:sdt>
      <w:sdtPr>
        <w:rPr>
          <w:rFonts w:cs="宋体" w:asciiTheme="minorHAnsi" w:hAnsiTheme="minorHAnsi"/>
          <w:b w:val="0"/>
          <w:bCs w:val="0"/>
          <w:kern w:val="0"/>
          <w:szCs w:val="22"/>
        </w:rPr>
        <w:alias w:val="模块:财务报表的编制基础"/>
        <w:tag w:val="_GBC_6d12949d3695402592266a78137dcfb5"/>
        <w:id w:val="6774105"/>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6"/>
            </w:numPr>
          </w:pPr>
          <w:r>
            <w:t>编制基础</w:t>
          </w:r>
        </w:p>
        <w:sdt>
          <w:sdtPr>
            <w:rPr>
              <w:rFonts w:hint="eastAsia"/>
              <w:szCs w:val="21"/>
            </w:rPr>
            <w:alias w:val="财务报表的编制基础"/>
            <w:tag w:val="_GBC_1dc2375ed7ab49628f5badf2d5006405"/>
            <w:id w:val="6774104"/>
            <w:lock w:val="sdtLocked"/>
            <w:placeholder>
              <w:docPart w:val="GBC22222222222222222222222222222"/>
            </w:placeholder>
          </w:sdtPr>
          <w:sdtEndPr>
            <w:rPr>
              <w:rFonts w:hint="eastAsia"/>
              <w:szCs w:val="21"/>
            </w:rPr>
          </w:sdtEndPr>
          <w:sdtContent>
            <w:p>
              <w:pPr>
                <w:rPr>
                  <w:szCs w:val="21"/>
                </w:rPr>
              </w:pPr>
              <w:r>
                <w:rPr>
                  <w:szCs w:val="21"/>
                </w:rPr>
                <w:t>本公司财务报表以持续经营为编制基础。</w:t>
              </w:r>
            </w:p>
          </w:sdtContent>
        </w:sdt>
      </w:sdtContent>
    </w:sdt>
    <w:p>
      <w:pPr>
        <w:rPr>
          <w:szCs w:val="21"/>
        </w:rPr>
      </w:pPr>
    </w:p>
    <w:sdt>
      <w:sdtPr>
        <w:rPr>
          <w:rFonts w:hint="eastAsia" w:cs="宋体" w:asciiTheme="minorHAnsi" w:hAnsiTheme="minorHAnsi"/>
          <w:b w:val="0"/>
          <w:bCs w:val="0"/>
          <w:kern w:val="0"/>
          <w:szCs w:val="22"/>
        </w:rPr>
        <w:alias w:val="模块:持续经营"/>
        <w:tag w:val="_GBC_69ae6baeacb44e8fa17b0b984abbf6ab"/>
        <w:id w:val="6774108"/>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6"/>
            </w:numPr>
          </w:pPr>
          <w:r>
            <w:rPr>
              <w:rFonts w:hint="eastAsia"/>
            </w:rPr>
            <w:t>持续经营</w:t>
          </w:r>
        </w:p>
        <w:sdt>
          <w:sdtPr>
            <w:rPr>
              <w:rFonts w:hint="eastAsia"/>
              <w:szCs w:val="21"/>
            </w:rPr>
            <w:alias w:val="是否适用：持续经营[双击切换]"/>
            <w:tag w:val="_GBC_fa7177dc4f164e56b4df7bebc60acf50"/>
            <w:id w:val="677410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6774107"/>
            <w:lock w:val="sdtLocked"/>
            <w:placeholder>
              <w:docPart w:val="GBC22222222222222222222222222222"/>
            </w:placeholder>
          </w:sdtPr>
          <w:sdtEndPr>
            <w:rPr>
              <w:szCs w:val="21"/>
            </w:rPr>
          </w:sdtEndPr>
          <w:sdtContent>
            <w:p>
              <w:pPr>
                <w:rPr>
                  <w:szCs w:val="21"/>
                </w:rPr>
              </w:pPr>
              <w:r>
                <w:rPr>
                  <w:rFonts w:hint="eastAsia"/>
                  <w:szCs w:val="21"/>
                </w:rPr>
                <w:t>本公司自报告期末至少</w:t>
              </w:r>
              <w:r>
                <w:rPr>
                  <w:szCs w:val="21"/>
                </w:rPr>
                <w:t>12个月内具有持续经营能力，无影响持续经营能力的重大事项。</w:t>
              </w:r>
            </w:p>
          </w:sdtContent>
        </w:sdt>
        <w:p>
          <w:pPr>
            <w:rPr>
              <w:szCs w:val="21"/>
            </w:rPr>
          </w:pPr>
        </w:p>
      </w:sdtContent>
    </w:sdt>
    <w:p>
      <w:pPr>
        <w:pStyle w:val="3"/>
        <w:numPr>
          <w:ilvl w:val="0"/>
          <w:numId w:val="54"/>
        </w:numPr>
        <w:rPr>
          <w:rFonts w:ascii="宋体" w:hAnsi="宋体"/>
        </w:rPr>
      </w:pPr>
      <w:r>
        <w:rPr>
          <w:rFonts w:hint="eastAsia" w:ascii="宋体" w:hAnsi="宋体"/>
        </w:rPr>
        <w:t>重</w:t>
      </w:r>
      <w:r>
        <w:rPr>
          <w:rFonts w:ascii="宋体" w:hAnsi="宋体"/>
        </w:rPr>
        <w:t>要会计政策</w:t>
      </w:r>
      <w:r>
        <w:rPr>
          <w:rFonts w:hint="eastAsia" w:ascii="宋体" w:hAnsi="宋体"/>
        </w:rPr>
        <w:t>及</w:t>
      </w:r>
      <w:r>
        <w:rPr>
          <w:rFonts w:ascii="宋体" w:hAnsi="宋体"/>
        </w:rPr>
        <w:t>会计估计</w:t>
      </w:r>
    </w:p>
    <w:sdt>
      <w:sdtPr>
        <w:alias w:val="模块:具体会计政策和会计估计提示"/>
        <w:tag w:val="_GBC_03d97fea34d045cb980749ccc6860a5a"/>
        <w:id w:val="6774111"/>
        <w:lock w:val="sdtLocked"/>
        <w:placeholder>
          <w:docPart w:val="GBC22222222222222222222222222222"/>
        </w:placeholder>
      </w:sdtPr>
      <w:sdtContent>
        <w:p>
          <w:r>
            <w:rPr>
              <w:rFonts w:hint="eastAsia"/>
            </w:rPr>
            <w:t>具体会计政策和会计估计提示：</w:t>
          </w:r>
        </w:p>
        <w:sdt>
          <w:sdtPr>
            <w:alias w:val="是否适用：具体会计政策和会计估计提示[双击切换]"/>
            <w:tag w:val="_GBC_86fd142a599649f8a3574e6ddaba5f71"/>
            <w:id w:val="677410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6774110"/>
            <w:lock w:val="sdtLocked"/>
            <w:placeholder>
              <w:docPart w:val="GBC22222222222222222222222222222"/>
            </w:placeholder>
          </w:sdtPr>
          <w:sdtContent>
            <w:p>
              <w:r>
                <w:rPr>
                  <w:rFonts w:hint="eastAsia"/>
                </w:rPr>
                <w:t>本公司所编制的财务报表符合企业会计准则的要求，真实、完整地反映了公司的财务状况、经营成果、股东权益变动和现金流量等有关信息。</w:t>
              </w:r>
            </w:p>
          </w:sdtContent>
        </w:sdt>
        <w:p/>
      </w:sdtContent>
    </w:sdt>
    <w:sdt>
      <w:sdtPr>
        <w:rPr>
          <w:rFonts w:cs="宋体" w:asciiTheme="minorHAnsi" w:hAnsiTheme="minorHAnsi"/>
          <w:b w:val="0"/>
          <w:bCs w:val="0"/>
          <w:kern w:val="0"/>
          <w:szCs w:val="22"/>
        </w:rPr>
        <w:alias w:val="模块:遵循企业会计准则的声明"/>
        <w:tag w:val="_GBC_a0afbb5b3a444bce84ee78a2a282cb28"/>
        <w:id w:val="6774113"/>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7"/>
            </w:numPr>
          </w:pPr>
          <w:r>
            <w:t>遵循企业会计准则的声明</w:t>
          </w:r>
        </w:p>
        <w:sdt>
          <w:sdtPr>
            <w:rPr>
              <w:rFonts w:hint="eastAsia"/>
              <w:szCs w:val="21"/>
            </w:rPr>
            <w:alias w:val="会计准则和会计制度"/>
            <w:tag w:val="_GBC_a350b889163a4ef3bb500c021e6a6b47"/>
            <w:id w:val="6774112"/>
            <w:lock w:val="sdtLocked"/>
            <w:placeholder>
              <w:docPart w:val="GBC22222222222222222222222222222"/>
            </w:placeholder>
          </w:sdtPr>
          <w:sdtEndPr>
            <w:rPr>
              <w:rFonts w:hint="eastAsia"/>
              <w:szCs w:val="21"/>
            </w:rPr>
          </w:sdtEndPr>
          <w:sdtContent>
            <w:p>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pPr>
        <w:rPr>
          <w:szCs w:val="21"/>
        </w:rPr>
      </w:pPr>
    </w:p>
    <w:sdt>
      <w:sdtPr>
        <w:rPr>
          <w:rFonts w:ascii="宋体" w:hAnsi="宋体" w:cs="宋体"/>
          <w:b w:val="0"/>
          <w:bCs w:val="0"/>
          <w:kern w:val="0"/>
          <w:szCs w:val="24"/>
        </w:rPr>
        <w:alias w:val="模块:会计期间"/>
        <w:tag w:val="_GBC_2d7f332501c8461ea731797db5588ee5"/>
        <w:id w:val="6774115"/>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57"/>
            </w:numPr>
          </w:pPr>
          <w:r>
            <w:t>会计期间</w:t>
          </w:r>
        </w:p>
        <w:sdt>
          <w:sdtPr>
            <w:rPr>
              <w:rFonts w:hint="eastAsia"/>
              <w:szCs w:val="21"/>
            </w:rPr>
            <w:alias w:val="会计年度"/>
            <w:tag w:val="_GBC_fc896fba50b143f8a06984831f5d5600"/>
            <w:id w:val="6774114"/>
            <w:lock w:val="sdtLocked"/>
            <w:placeholder>
              <w:docPart w:val="GBC22222222222222222222222222222"/>
            </w:placeholder>
          </w:sdtPr>
          <w:sdtEndPr>
            <w:rPr>
              <w:rFonts w:hint="eastAsia"/>
              <w:szCs w:val="21"/>
            </w:rPr>
          </w:sdtEndPr>
          <w:sdtContent>
            <w:p>
              <w:pPr>
                <w:rPr>
                  <w:szCs w:val="21"/>
                </w:rPr>
              </w:pPr>
              <w:r>
                <w:rPr>
                  <w:szCs w:val="21"/>
                </w:rPr>
                <w:t>本公司会计年度自公历1月1日起至12月31日止。</w:t>
              </w:r>
            </w:p>
          </w:sdtContent>
        </w:sdt>
      </w:sdtContent>
    </w:sdt>
    <w:p>
      <w:pPr>
        <w:rPr>
          <w:szCs w:val="21"/>
        </w:rPr>
      </w:pPr>
    </w:p>
    <w:sdt>
      <w:sdtPr>
        <w:rPr>
          <w:rFonts w:hint="eastAsia" w:cs="宋体" w:asciiTheme="minorHAnsi" w:hAnsiTheme="minorHAnsi"/>
          <w:b w:val="0"/>
          <w:bCs w:val="0"/>
          <w:kern w:val="0"/>
          <w:szCs w:val="22"/>
        </w:rPr>
        <w:alias w:val="模块:营业周期"/>
        <w:tag w:val="_GBC_b045784ca7904d52a060134ffec0d88c"/>
        <w:id w:val="6774118"/>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7"/>
            </w:numPr>
          </w:pPr>
          <w:r>
            <w:rPr>
              <w:rFonts w:hint="eastAsia"/>
            </w:rPr>
            <w:t>营业周期</w:t>
          </w:r>
        </w:p>
        <w:sdt>
          <w:sdtPr>
            <w:rPr>
              <w:rFonts w:hint="eastAsia"/>
              <w:szCs w:val="21"/>
            </w:rPr>
            <w:alias w:val="是否适用：营业周期[双击切换]"/>
            <w:tag w:val="_GBC_41bd09d0a4bd429996597e58a613259e"/>
            <w:id w:val="677411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6774117"/>
            <w:lock w:val="sdtLocked"/>
            <w:placeholder>
              <w:docPart w:val="GBC22222222222222222222222222222"/>
            </w:placeholder>
          </w:sdtPr>
          <w:sdtEndPr>
            <w:rPr>
              <w:szCs w:val="21"/>
            </w:rPr>
          </w:sdtEndPr>
          <w:sdtContent>
            <w:p>
              <w:pPr>
                <w:rPr>
                  <w:rFonts w:cs="Times New Roman"/>
                  <w:kern w:val="2"/>
                  <w:szCs w:val="21"/>
                </w:rPr>
              </w:pPr>
              <w:r>
                <w:rPr>
                  <w:rFonts w:hint="eastAsia"/>
                  <w:szCs w:val="21"/>
                </w:rPr>
                <w:t>公司营业周期为</w:t>
              </w:r>
              <w:r>
                <w:rPr>
                  <w:szCs w:val="21"/>
                </w:rPr>
                <w:t>12个月。</w:t>
              </w:r>
            </w:p>
          </w:sdtContent>
        </w:sdt>
      </w:sdtContent>
    </w:sdt>
    <w:p>
      <w:pPr>
        <w:rPr>
          <w:szCs w:val="21"/>
        </w:rPr>
      </w:pPr>
    </w:p>
    <w:sdt>
      <w:sdtPr>
        <w:rPr>
          <w:rFonts w:cs="宋体" w:asciiTheme="minorHAnsi" w:hAnsiTheme="minorHAnsi"/>
          <w:b w:val="0"/>
          <w:bCs w:val="0"/>
          <w:kern w:val="0"/>
          <w:szCs w:val="22"/>
        </w:rPr>
        <w:alias w:val="模块:记账本位币"/>
        <w:tag w:val="_GBC_13b1061968754e20bebf2099281ed54f"/>
        <w:id w:val="6774120"/>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7"/>
            </w:numPr>
          </w:pPr>
          <w:r>
            <w:t>记账本位币</w:t>
          </w:r>
        </w:p>
        <w:sdt>
          <w:sdtPr>
            <w:rPr>
              <w:rFonts w:hint="eastAsia"/>
              <w:szCs w:val="21"/>
            </w:rPr>
            <w:alias w:val="记账本位币"/>
            <w:tag w:val="_GBC_3749a2357eba44e8b968cb41cda75ff1"/>
            <w:id w:val="6774119"/>
            <w:lock w:val="sdtLocked"/>
            <w:placeholder>
              <w:docPart w:val="GBC22222222222222222222222222222"/>
            </w:placeholder>
          </w:sdtPr>
          <w:sdtEndPr>
            <w:rPr>
              <w:rFonts w:hint="eastAsia"/>
              <w:szCs w:val="21"/>
            </w:rPr>
          </w:sdtEndPr>
          <w:sdtContent>
            <w:p>
              <w:pPr>
                <w:rPr>
                  <w:szCs w:val="21"/>
                </w:rPr>
              </w:pPr>
              <w:r>
                <w:rPr>
                  <w:szCs w:val="21"/>
                </w:rPr>
                <w:t>本公司的记账本位币为人民币。</w:t>
              </w:r>
            </w:p>
          </w:sdtContent>
        </w:sdt>
        <w:p>
          <w:pPr>
            <w:rPr>
              <w:szCs w:val="21"/>
            </w:rPr>
          </w:pPr>
        </w:p>
      </w:sdtContent>
    </w:sdt>
    <w:sdt>
      <w:sdtPr>
        <w:rPr>
          <w:rFonts w:cs="宋体" w:asciiTheme="minorHAnsi" w:hAnsiTheme="minorHAnsi"/>
          <w:b w:val="0"/>
          <w:bCs w:val="0"/>
          <w:kern w:val="0"/>
          <w:szCs w:val="22"/>
        </w:rPr>
        <w:alias w:val="模块:同一控制下和非同一控制下企业合并的会计处理方法"/>
        <w:tag w:val="_GBC_f44e1e76b2a3457ea36bc088adcbb4c3"/>
        <w:id w:val="6774122"/>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7"/>
            </w:numPr>
          </w:pPr>
          <w:r>
            <w:t>同一控制下和非同一控制下企业合并的会计处理方法</w:t>
          </w:r>
        </w:p>
        <w:sdt>
          <w:sdtPr>
            <w:rPr>
              <w:rFonts w:hint="eastAsia"/>
              <w:szCs w:val="21"/>
            </w:rPr>
            <w:alias w:val="是否适用：同一控制下和非同一控制下企业合并的会计处理方法[双击切换]"/>
            <w:tag w:val="_GBC_46d00db18b44411d8dd79543c30557e3"/>
            <w:id w:val="6774121"/>
            <w:lock w:val="sdtContentLocked"/>
            <w:placeholder>
              <w:docPart w:val="GBC22222222222222222222222222222"/>
            </w:placeholder>
          </w:sdtPr>
          <w:sdtEndPr>
            <w:rPr>
              <w:rFonts w:hint="eastAsia"/>
              <w:szCs w:val="21"/>
            </w:rPr>
          </w:sdtEndPr>
          <w:sdtContent>
            <w:p>
              <w:pPr>
                <w:rPr>
                  <w:rFonts w:cs="Times New Roman"/>
                  <w:kern w:val="2"/>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ascii="宋体" w:hAnsi="宋体" w:cs="宋体"/>
          <w:b w:val="0"/>
          <w:bCs w:val="0"/>
          <w:kern w:val="0"/>
          <w:szCs w:val="24"/>
        </w:rPr>
        <w:alias w:val="模块:合并财务报表的编制方法"/>
        <w:tag w:val="_GBC_c23be25e527044f689b710dabd312b04"/>
        <w:id w:val="6774124"/>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57"/>
            </w:numPr>
          </w:pPr>
          <w:r>
            <w:t>合并财务报表的编制方法</w:t>
          </w:r>
        </w:p>
        <w:sdt>
          <w:sdtPr>
            <w:rPr>
              <w:rFonts w:hint="eastAsia"/>
              <w:szCs w:val="21"/>
            </w:rPr>
            <w:alias w:val="是否适用：合并财务报表的编制方法[双击切换]"/>
            <w:tag w:val="_GBC_d8312ea572e647a59b796bf708b54713"/>
            <w:id w:val="677412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1"/>
        </w:rPr>
        <w:alias w:val="模块:合营安排分类及共同经营会计处理方法"/>
        <w:tag w:val="_GBC_a6643877dd0341e39dee12c064dc6fdc"/>
        <w:id w:val="6774126"/>
        <w:lock w:val="sdtLocked"/>
        <w:placeholder>
          <w:docPart w:val="GBC22222222222222222222222222222"/>
        </w:placeholder>
      </w:sdtPr>
      <w:sdtEndPr>
        <w:rPr>
          <w:rFonts w:hint="eastAsia" w:ascii="宋体" w:hAnsi="宋体" w:cs="宋体"/>
          <w:b/>
          <w:bCs/>
          <w:kern w:val="0"/>
          <w:szCs w:val="21"/>
        </w:rPr>
      </w:sdtEndPr>
      <w:sdtContent>
        <w:p>
          <w:pPr>
            <w:pStyle w:val="4"/>
            <w:numPr>
              <w:ilvl w:val="0"/>
              <w:numId w:val="57"/>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6774125"/>
            <w:lock w:val="sdtContentLocked"/>
            <w:placeholder>
              <w:docPart w:val="GBC22222222222222222222222222222"/>
            </w:placeholder>
          </w:sdtPr>
          <w:sdtEndPr>
            <w:rPr>
              <w:rFonts w:hint="eastAsia"/>
            </w:rPr>
          </w:sdtEndPr>
          <w:sdtContent>
            <w:p>
              <w:pPr>
                <w:rPr>
                  <w:b/>
                  <w:bCs/>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sdt>
      <w:sdtPr>
        <w:rPr>
          <w:rFonts w:ascii="宋体" w:hAnsi="宋体" w:cs="宋体"/>
          <w:b w:val="0"/>
          <w:bCs w:val="0"/>
          <w:kern w:val="0"/>
          <w:szCs w:val="24"/>
        </w:rPr>
        <w:alias w:val="模块:现金及现金等价物的确定标准"/>
        <w:tag w:val="_GBC_9f2dfe6521c4434b9ad3e7bb1a8a52b7"/>
        <w:id w:val="6774128"/>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57"/>
            </w:numPr>
          </w:pPr>
          <w:r>
            <w:t>现金及现金等价物的确定标准</w:t>
          </w:r>
        </w:p>
        <w:sdt>
          <w:sdtPr>
            <w:rPr>
              <w:rFonts w:hint="eastAsia"/>
              <w:szCs w:val="21"/>
            </w:rPr>
            <w:alias w:val="现金及现金等价物的确定标准"/>
            <w:tag w:val="_GBC_54f6bc3e44e840bc85cb3872600823b5"/>
            <w:id w:val="6774127"/>
            <w:lock w:val="sdtLocked"/>
            <w:placeholder>
              <w:docPart w:val="GBC22222222222222222222222222222"/>
            </w:placeholder>
          </w:sdtPr>
          <w:sdtEndPr>
            <w:rPr>
              <w:rFonts w:hint="eastAsia"/>
              <w:szCs w:val="21"/>
            </w:rPr>
          </w:sdtEndPr>
          <w:sdtContent>
            <w:p>
              <w:pPr>
                <w:rPr>
                  <w:szCs w:val="21"/>
                </w:rPr>
              </w:pPr>
              <w:r>
                <w:rPr>
                  <w:szCs w:val="21"/>
                </w:rPr>
                <w:t>现金等价物是指企业持有的期限短（一般指从购买日起三个月内到期）、流动性强、易于转换为已知金额现金、价值变动风险很小的投资。</w:t>
              </w:r>
            </w:p>
          </w:sdtContent>
        </w:sdt>
      </w:sdtContent>
    </w:sdt>
    <w:p>
      <w:pPr>
        <w:rPr>
          <w:szCs w:val="21"/>
        </w:rPr>
      </w:pPr>
    </w:p>
    <w:sdt>
      <w:sdtPr>
        <w:rPr>
          <w:rFonts w:cs="宋体" w:asciiTheme="minorHAnsi" w:hAnsiTheme="minorHAnsi"/>
          <w:b w:val="0"/>
          <w:bCs w:val="0"/>
          <w:kern w:val="0"/>
          <w:szCs w:val="22"/>
        </w:rPr>
        <w:alias w:val="模块:外币业务和外币报表折算"/>
        <w:tag w:val="_GBC_cff1e1487c3242a8a1be0ce9c2b7a554"/>
        <w:id w:val="6774131"/>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7"/>
            </w:numPr>
          </w:pPr>
          <w:r>
            <w:t>外币业务和外币报表折算</w:t>
          </w:r>
        </w:p>
        <w:sdt>
          <w:sdtPr>
            <w:rPr>
              <w:rFonts w:hint="eastAsia"/>
              <w:szCs w:val="21"/>
            </w:rPr>
            <w:alias w:val="是否适用：外币业务和外币报表折算[双击切换]"/>
            <w:tag w:val="_GBC_9c9def5a1d2241b5a3ee696d03433778"/>
            <w:id w:val="677412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6774130"/>
            <w:lock w:val="sdtLocked"/>
            <w:placeholder>
              <w:docPart w:val="GBC22222222222222222222222222222"/>
            </w:placeholder>
          </w:sdtPr>
          <w:sdtEndPr>
            <w:rPr>
              <w:rFonts w:hint="eastAsia"/>
              <w:szCs w:val="21"/>
            </w:rPr>
          </w:sdtEndPr>
          <w:sdtContent>
            <w:p>
              <w:pPr>
                <w:rPr>
                  <w:szCs w:val="21"/>
                </w:rPr>
              </w:pPr>
              <w:r>
                <w:rPr>
                  <w:rFonts w:hint="eastAsia"/>
                  <w:szCs w:val="21"/>
                </w:rPr>
                <w:t>本公司发生外币业务，按交易发生日的即期汇率折算为记账本位币金额。</w:t>
              </w:r>
            </w:p>
            <w:p>
              <w:pPr>
                <w:rPr>
                  <w:rFonts w:cs="Times New Roman"/>
                  <w:kern w:val="2"/>
                  <w:szCs w:val="21"/>
                </w:rPr>
              </w:pPr>
              <w:r>
                <w:rPr>
                  <w:rFonts w:hint="eastAsia"/>
                  <w:szCs w:val="21"/>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币金额与原记账本位币金额的差额，计入当期损益。</w:t>
              </w:r>
            </w:p>
          </w:sdtContent>
        </w:sdt>
      </w:sdtContent>
    </w:sdt>
    <w:p>
      <w:pPr>
        <w:rPr>
          <w:szCs w:val="21"/>
        </w:rPr>
      </w:pPr>
    </w:p>
    <w:sdt>
      <w:sdtPr>
        <w:rPr>
          <w:rFonts w:ascii="宋体" w:hAnsi="宋体" w:cs="宋体"/>
          <w:b w:val="0"/>
          <w:bCs w:val="0"/>
          <w:kern w:val="0"/>
          <w:szCs w:val="24"/>
        </w:rPr>
        <w:alias w:val="模块:金融工具"/>
        <w:tag w:val="_GBC_4b3a058b038b41689d379e6a2726a904"/>
        <w:id w:val="6774134"/>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57"/>
            </w:numPr>
          </w:pPr>
          <w:r>
            <w:t>金融工具</w:t>
          </w:r>
        </w:p>
        <w:sdt>
          <w:sdtPr>
            <w:rPr>
              <w:rFonts w:hint="eastAsia"/>
              <w:szCs w:val="21"/>
            </w:rPr>
            <w:alias w:val="是否适用：金融工具_重要会计政策和估计[双击切换]"/>
            <w:tag w:val="_GBC_1537cea503f244c2af870a2a0d5fd7a9"/>
            <w:id w:val="677413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6774133"/>
            <w:lock w:val="sdtLocked"/>
            <w:placeholder>
              <w:docPart w:val="GBC22222222222222222222222222222"/>
            </w:placeholder>
          </w:sdtPr>
          <w:sdtEndPr>
            <w:rPr>
              <w:rFonts w:hint="eastAsia"/>
              <w:szCs w:val="21"/>
            </w:rPr>
          </w:sdtEndPr>
          <w:sdtContent>
            <w:p>
              <w:pPr>
                <w:rPr>
                  <w:szCs w:val="21"/>
                </w:rPr>
              </w:pPr>
              <w:r>
                <w:rPr>
                  <w:rFonts w:hint="eastAsia"/>
                  <w:szCs w:val="21"/>
                </w:rPr>
                <w:t>（</w:t>
              </w:r>
              <w:r>
                <w:rPr>
                  <w:szCs w:val="21"/>
                </w:rPr>
                <w:t>1）金融工具的确认和终止确认</w:t>
              </w:r>
            </w:p>
            <w:p>
              <w:pPr>
                <w:rPr>
                  <w:szCs w:val="21"/>
                </w:rPr>
              </w:pPr>
              <w:r>
                <w:rPr>
                  <w:rFonts w:hint="eastAsia"/>
                  <w:szCs w:val="21"/>
                </w:rPr>
                <w:t>本公司于成为金融工具合同的一方时确认一项金融资产或金融负债。</w:t>
              </w:r>
            </w:p>
            <w:p>
              <w:pPr>
                <w:rPr>
                  <w:szCs w:val="21"/>
                </w:rPr>
              </w:pPr>
              <w:r>
                <w:rPr>
                  <w:rFonts w:hint="eastAsia"/>
                  <w:szCs w:val="21"/>
                </w:rPr>
                <w:t>金融资产满足下列条件之一的，终止确认：</w:t>
              </w:r>
            </w:p>
            <w:p>
              <w:pPr>
                <w:rPr>
                  <w:szCs w:val="21"/>
                </w:rPr>
              </w:pPr>
              <w:r>
                <w:rPr>
                  <w:rFonts w:hint="eastAsia"/>
                  <w:szCs w:val="21"/>
                </w:rPr>
                <w:t>①</w:t>
              </w:r>
              <w:r>
                <w:rPr>
                  <w:szCs w:val="21"/>
                </w:rPr>
                <w:t xml:space="preserve"> 收取该金融资产现金流量的合同权利终止；</w:t>
              </w:r>
            </w:p>
            <w:p>
              <w:pPr>
                <w:rPr>
                  <w:szCs w:val="21"/>
                </w:rPr>
              </w:pPr>
              <w:r>
                <w:rPr>
                  <w:rFonts w:hint="eastAsia"/>
                  <w:szCs w:val="21"/>
                </w:rPr>
                <w:t>②</w:t>
              </w:r>
              <w:r>
                <w:rPr>
                  <w:szCs w:val="21"/>
                </w:rPr>
                <w:t xml:space="preserve"> 该金融资产已转移，且符合下述金融资产转移的终止确认条件。</w:t>
              </w:r>
            </w:p>
            <w:p>
              <w:pPr>
                <w:rPr>
                  <w:szCs w:val="21"/>
                </w:rPr>
              </w:pPr>
              <w:r>
                <w:rPr>
                  <w:szCs w:val="21"/>
                </w:rPr>
                <w:t xml:space="preserve"> 金融负债的现时义务全部或部分已经解除的，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p>
            <w:p>
              <w:pPr>
                <w:rPr>
                  <w:szCs w:val="21"/>
                </w:rPr>
              </w:pPr>
              <w:r>
                <w:rPr>
                  <w:rFonts w:hint="eastAsia"/>
                  <w:szCs w:val="21"/>
                </w:rPr>
                <w:t>以常规方式买卖金融资产，按交易日进行会计确认和终止确认。</w:t>
              </w:r>
            </w:p>
            <w:p>
              <w:pPr>
                <w:rPr>
                  <w:szCs w:val="21"/>
                </w:rPr>
              </w:pPr>
              <w:r>
                <w:rPr>
                  <w:rFonts w:hint="eastAsia"/>
                  <w:szCs w:val="21"/>
                </w:rPr>
                <w:t>（</w:t>
              </w:r>
              <w:r>
                <w:rPr>
                  <w:szCs w:val="21"/>
                </w:rPr>
                <w:t>2）金融资产分类和计量</w:t>
              </w:r>
            </w:p>
            <w:p>
              <w:pPr>
                <w:rPr>
                  <w:szCs w:val="21"/>
                </w:rPr>
              </w:pPr>
              <w:r>
                <w:rPr>
                  <w:rFonts w:hint="eastAsia"/>
                  <w:szCs w:val="21"/>
                </w:rPr>
                <w:t>本公司的金融资产于初始确认时分为以下两类：以公允价值计量且其变动计入当期损益的金融资产和应收款项。金融资产在初始确认时以公允价值计量。对于以公允价值计量且其变动计入当期损益的金融资产，相关交易费用直接计入当期损益，其他类别的金融资产相关交易费用计入其初始确认金额。</w:t>
              </w:r>
            </w:p>
            <w:p>
              <w:pPr>
                <w:rPr>
                  <w:szCs w:val="21"/>
                </w:rPr>
              </w:pPr>
              <w:r>
                <w:rPr>
                  <w:rFonts w:hint="eastAsia"/>
                  <w:szCs w:val="21"/>
                </w:rPr>
                <w:t>以公允价值计量且其变动计入当期损益的金融资产</w:t>
              </w:r>
            </w:p>
            <w:p>
              <w:pPr>
                <w:rPr>
                  <w:szCs w:val="21"/>
                </w:rPr>
              </w:pPr>
              <w:r>
                <w:rPr>
                  <w:rFonts w:hint="eastAsia"/>
                  <w:szCs w:val="21"/>
                </w:rPr>
                <w:t>以公允价值计量且其变动计入当期损益的金融资产，包括交易性金融资产和初始确认时指定为以公允价值计量且其变动计入当期损益的金融资产。对于此类金融资产，采用公允价值进行后续计量，公允价值变动形成的利得或损失以及与该等金融资产相关的股利和利息收入计入当期损益。应收款项</w:t>
              </w:r>
            </w:p>
            <w:p>
              <w:pPr>
                <w:rPr>
                  <w:szCs w:val="21"/>
                </w:rPr>
              </w:pPr>
              <w:r>
                <w:rPr>
                  <w:rFonts w:hint="eastAsia"/>
                  <w:szCs w:val="21"/>
                </w:rPr>
                <w:t>应收款项，是指在活跃市场中没有报价、回收金额固定或可确定的非衍生金融资产，包括应收账款和其他应收款等。应收款项采用实际利率法，按摊余成本进行后续计量，在终止确认、发生减值或摊销时产生的利得或损失，计入当期损益。</w:t>
              </w:r>
            </w:p>
            <w:p>
              <w:pPr>
                <w:rPr>
                  <w:szCs w:val="21"/>
                </w:rPr>
              </w:pPr>
              <w:r>
                <w:rPr>
                  <w:rFonts w:hint="eastAsia"/>
                  <w:szCs w:val="21"/>
                </w:rPr>
                <w:t>（</w:t>
              </w:r>
              <w:r>
                <w:rPr>
                  <w:szCs w:val="21"/>
                </w:rPr>
                <w:t>3）金融负债分类和计量</w:t>
              </w:r>
            </w:p>
            <w:p>
              <w:pPr>
                <w:rPr>
                  <w:szCs w:val="21"/>
                </w:rPr>
              </w:pPr>
              <w:r>
                <w:rPr>
                  <w:rFonts w:hint="eastAsia"/>
                  <w:szCs w:val="21"/>
                </w:rPr>
                <w:t>本公司的金融负债均为其他金融负债，主要包括应付账款、应付债券等。其他金融负债按其公允价值和相关交易费用之和作为初始确认金额，采用实际利率法，按摊余成本进行后续计量，终止确认或摊销产生的利得或损失计入当期损益。</w:t>
              </w:r>
            </w:p>
            <w:p>
              <w:pPr>
                <w:rPr>
                  <w:szCs w:val="21"/>
                </w:rPr>
              </w:pPr>
              <w:r>
                <w:rPr>
                  <w:rFonts w:hint="eastAsia"/>
                  <w:szCs w:val="21"/>
                </w:rPr>
                <w:t>（</w:t>
              </w:r>
              <w:r>
                <w:rPr>
                  <w:szCs w:val="21"/>
                </w:rPr>
                <w:t>4）金融工具的公允价值</w:t>
              </w:r>
            </w:p>
            <w:p>
              <w:pPr>
                <w:rPr>
                  <w:szCs w:val="21"/>
                </w:rPr>
              </w:pPr>
              <w:r>
                <w:rPr>
                  <w:rFonts w:hint="eastAsia"/>
                  <w:szCs w:val="21"/>
                </w:rPr>
                <w:t>存在活跃市场的金融资产或金融负债，本公司将活跃市场中的现行出价或现行要价用于确定其公允价值。</w:t>
              </w:r>
            </w:p>
            <w:p>
              <w:pPr>
                <w:rPr>
                  <w:szCs w:val="21"/>
                </w:rPr>
              </w:pPr>
              <w:r>
                <w:rPr>
                  <w:rFonts w:hint="eastAsia"/>
                  <w:szCs w:val="21"/>
                </w:rPr>
                <w:t>金融工具不存在活跃市场的，本公司采用估值技术确定其公允价值。采用估值技术得出的结果，反映估值日在公平交易中可能采用的交易价格。估值技术包括参考熟悉情况并自愿交易的各方最近进行的市场交易中使用的价格、参照实质上相同的其他金融工具的当前公允价值、现金流量折现法和期权定价模型等。</w:t>
              </w:r>
            </w:p>
            <w:p>
              <w:pPr>
                <w:rPr>
                  <w:szCs w:val="21"/>
                </w:rPr>
              </w:pPr>
              <w:r>
                <w:rPr>
                  <w:rFonts w:hint="eastAsia"/>
                  <w:szCs w:val="21"/>
                </w:rPr>
                <w:t>本公司选择市场参与者普遍认同，且被以往市场实际交易价格验证具有可靠性的估值技术确定金融工具的公允价值。采用估值技术确定金融工具的公允价值时，本公司尽可能使用市场参与者在金融工具定价时考虑的所有市场参数和相同金融工具当前市场的可观察到的交易价格来测试估值技术的有效性。</w:t>
              </w:r>
            </w:p>
            <w:p>
              <w:pPr>
                <w:rPr>
                  <w:szCs w:val="21"/>
                </w:rPr>
              </w:pPr>
              <w:r>
                <w:rPr>
                  <w:rFonts w:hint="eastAsia"/>
                  <w:szCs w:val="21"/>
                </w:rPr>
                <w:t>（</w:t>
              </w:r>
              <w:r>
                <w:rPr>
                  <w:szCs w:val="21"/>
                </w:rPr>
                <w:t>5）金融资产减值</w:t>
              </w:r>
            </w:p>
            <w:p>
              <w:pPr>
                <w:rPr>
                  <w:szCs w:val="21"/>
                </w:rPr>
              </w:pPr>
              <w:r>
                <w:rPr>
                  <w:rFonts w:hint="eastAsia"/>
                  <w:szCs w:val="21"/>
                </w:rPr>
                <w:t>本公司于资产负债表日对金融资产的账面价值进行检查，有客观证据表明该金融资产发生减值的，计提减值准备。表明金融资产发生减值的客观证据，是指金融资产初始确认后实际发生的、对该金融资产的预计未来现金流量有影响，且企业能够对该影响进行可靠计量的事项。</w:t>
              </w:r>
            </w:p>
            <w:p>
              <w:pPr>
                <w:rPr>
                  <w:szCs w:val="21"/>
                </w:rPr>
              </w:pPr>
              <w:r>
                <w:rPr>
                  <w:szCs w:val="21"/>
                </w:rPr>
                <w:t xml:space="preserve"> 以摊余成本计量的金融资产</w:t>
              </w:r>
            </w:p>
            <w:p>
              <w:pPr>
                <w:rPr>
                  <w:szCs w:val="21"/>
                </w:rPr>
              </w:pPr>
              <w:r>
                <w:rPr>
                  <w:rFonts w:hint="eastAsia"/>
                  <w:szCs w:val="21"/>
                </w:rPr>
                <w:t>如果有客观证据表明该金融资产发生减值，则将该金融资产的账面价值减记至预计未来现金流量（不包括尚未发生的未来信用损失）现值，减记金额计入当期损益。预计未来现金流量现值，按照该金融资产原实际利率折现确定，并考虑相关担保物的价值。</w:t>
              </w:r>
            </w:p>
            <w:p>
              <w:pPr>
                <w:rPr>
                  <w:szCs w:val="21"/>
                </w:rPr>
              </w:pPr>
              <w:r>
                <w:rPr>
                  <w:rFonts w:hint="eastAsia"/>
                  <w:szCs w:val="21"/>
                </w:rPr>
                <w:t>对单项金额重大的金融资产单独进行减值测试，如有客观证据表明其已发生减值，确认减值损失，计入当期损益。对单项金额不重大的金融资产，包括在具有类似信用风险特征的金融资产组合中进行减值测试或单独进行减值测试。单独测试未发生减值的金融资产（包括单项金额重大和不重大的金融资产），包括在具有类似信用风险特征的金融资产组合中再进行减值测试。已单项确认减值损失的金融资产，不包括在具有类似信用风险特征的金融资产组合中进行减值测试。</w:t>
              </w:r>
            </w:p>
            <w:p>
              <w:pPr>
                <w:rPr>
                  <w:szCs w:val="21"/>
                </w:rPr>
              </w:pPr>
              <w:r>
                <w:rPr>
                  <w:rFonts w:hint="eastAsia"/>
                  <w:szCs w:val="21"/>
                </w:rPr>
                <w:t>本公司对以摊余成本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转回日的摊余成本。</w:t>
              </w:r>
            </w:p>
            <w:p>
              <w:pPr>
                <w:rPr>
                  <w:szCs w:val="21"/>
                </w:rPr>
              </w:pPr>
              <w:r>
                <w:rPr>
                  <w:rFonts w:hint="eastAsia"/>
                  <w:szCs w:val="21"/>
                </w:rPr>
                <w:t>（</w:t>
              </w:r>
              <w:r>
                <w:rPr>
                  <w:szCs w:val="21"/>
                </w:rPr>
                <w:t>6）金融资产转移</w:t>
              </w:r>
            </w:p>
            <w:p>
              <w:pPr>
                <w:rPr>
                  <w:szCs w:val="21"/>
                </w:rPr>
              </w:pPr>
              <w:r>
                <w:rPr>
                  <w:rFonts w:hint="eastAsia"/>
                  <w:szCs w:val="21"/>
                </w:rPr>
                <w:t>金融资产转移，是指将金融资产让与或交付给该金融资产发行方以外的另一方（转入方）。</w:t>
              </w:r>
            </w:p>
            <w:p>
              <w:pPr>
                <w:rPr>
                  <w:szCs w:val="21"/>
                </w:rPr>
              </w:pPr>
              <w:r>
                <w:rPr>
                  <w:rFonts w:hint="eastAsia"/>
                  <w:szCs w:val="21"/>
                </w:rPr>
                <w:t>本公司已将金融资产所有权上几乎所有的风险和报酬转移给转入方的，终止确认该金融资产；保留了金融资产所有权上几乎所有的风险和报酬的，不终止确认该金融资产。</w:t>
              </w:r>
            </w:p>
            <w:p>
              <w:pPr>
                <w:rPr>
                  <w:szCs w:val="21"/>
                </w:rPr>
              </w:pPr>
              <w:r>
                <w:rPr>
                  <w:rFonts w:hint="eastAsia"/>
                  <w:szCs w:val="21"/>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sdtContent>
        </w:sdt>
        <w:p>
          <w:pPr>
            <w:rPr>
              <w:szCs w:val="21"/>
            </w:rPr>
          </w:pPr>
        </w:p>
      </w:sdtContent>
    </w:sdt>
    <w:p>
      <w:pPr>
        <w:pStyle w:val="4"/>
        <w:numPr>
          <w:ilvl w:val="0"/>
          <w:numId w:val="57"/>
        </w:numPr>
      </w:pPr>
      <w:r>
        <w:t>应收款项</w:t>
      </w:r>
    </w:p>
    <w:sdt>
      <w:sdtPr>
        <w:rPr>
          <w:rFonts w:cs="宋体" w:asciiTheme="minorHAnsi" w:hAnsiTheme="minorHAnsi"/>
          <w:b w:val="0"/>
          <w:bCs w:val="0"/>
          <w:kern w:val="0"/>
          <w:szCs w:val="22"/>
        </w:rPr>
        <w:alias w:val="模块:单项金额重大并单项计提坏账准备的应收款项"/>
        <w:tag w:val="_GBC_1049cb1c0c11493f89bf524d2060bec8"/>
        <w:id w:val="6774138"/>
        <w:lock w:val="sdtLocked"/>
        <w:placeholder>
          <w:docPart w:val="GBC22222222222222222222222222222"/>
        </w:placeholder>
      </w:sdtPr>
      <w:sdtEndPr>
        <w:rPr>
          <w:rFonts w:ascii="宋体" w:hAnsi="宋体" w:cs="宋体"/>
          <w:b w:val="0"/>
          <w:bCs w:val="0"/>
          <w:kern w:val="0"/>
          <w:szCs w:val="24"/>
        </w:rPr>
      </w:sdtEndPr>
      <w:sdtContent>
        <w:p>
          <w:pPr>
            <w:pStyle w:val="5"/>
            <w:numPr>
              <w:ilvl w:val="0"/>
              <w:numId w:val="58"/>
            </w:numPr>
          </w:pPr>
          <w:r>
            <w:t>单项金额重大并单</w:t>
          </w:r>
          <w:r>
            <w:rPr>
              <w:rFonts w:hint="eastAsia"/>
            </w:rPr>
            <w:t>独</w:t>
          </w:r>
          <w:r>
            <w:t>计提坏账准备的应收款项</w:t>
          </w:r>
        </w:p>
        <w:sdt>
          <w:sdtPr>
            <w:alias w:val="是否适用：单项金额重大并单独计提坏账准备的应收款项[双击切换]"/>
            <w:tag w:val="_GBC_ac4f85c0ea044e59bfcb2dd490301125"/>
            <w:id w:val="677413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b9ad35292bf4a918b0b6fb7e1cfb637"/>
                <w:id w:val="6774136"/>
                <w:lock w:val="sdtLocked"/>
              </w:sdtPr>
              <w:sdtContent>
                <w:tc>
                  <w:tcPr>
                    <w:tcW w:w="4582" w:type="dxa"/>
                  </w:tcPr>
                  <w:p>
                    <w:pPr>
                      <w:rPr>
                        <w:szCs w:val="21"/>
                      </w:rPr>
                    </w:pPr>
                    <w:r>
                      <w:rPr>
                        <w:szCs w:val="21"/>
                      </w:rPr>
                      <w:t>单项金额重大的判断依据或金额标准</w:t>
                    </w:r>
                  </w:p>
                </w:tc>
              </w:sdtContent>
            </w:sdt>
            <w:tc>
              <w:tcPr>
                <w:tcW w:w="4467" w:type="dxa"/>
              </w:tcPr>
              <w:p>
                <w:pPr>
                  <w:rPr>
                    <w:szCs w:val="21"/>
                  </w:rPr>
                </w:pPr>
                <w:r>
                  <w:t>期末余额达到100万元（含100万元）以上的应收款项为单项金额重大的应收款项。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4c9b761af6a4aca8e61318a24e83f05"/>
                <w:id w:val="6774137"/>
                <w:lock w:val="sdtLocked"/>
              </w:sdtPr>
              <w:sdtContent>
                <w:tc>
                  <w:tcPr>
                    <w:tcW w:w="4582" w:type="dxa"/>
                  </w:tcPr>
                  <w:p>
                    <w:pPr>
                      <w:rPr>
                        <w:szCs w:val="21"/>
                      </w:rPr>
                    </w:pPr>
                    <w:r>
                      <w:rPr>
                        <w:szCs w:val="21"/>
                      </w:rPr>
                      <w:t>单项金额重大并单项计提坏账准备的计提方法</w:t>
                    </w:r>
                  </w:p>
                </w:tc>
              </w:sdtContent>
            </w:sdt>
            <w:tc>
              <w:tcPr>
                <w:tcW w:w="4467" w:type="dxa"/>
              </w:tcPr>
              <w:p>
                <w:pPr>
                  <w:rPr>
                    <w:szCs w:val="21"/>
                  </w:rPr>
                </w:pPr>
                <w:r>
                  <w:t>（1）对于单项金额重大的应收款项单独进行减值测试，有客观证据表明发生了减值，根据其未来现金流量现值低于其账面价值的差额计提坏账准备。（2）单项金额重大经单独测试未发生减值的应收款项，再按组合计提坏账准备。</w:t>
                </w:r>
              </w:p>
            </w:tc>
          </w:tr>
        </w:tbl>
        <w:p/>
      </w:sdtContent>
    </w:sdt>
    <w:p/>
    <w:sdt>
      <w:sdtPr>
        <w:rPr>
          <w:rFonts w:ascii="宋体" w:hAnsi="宋体" w:cs="宋体"/>
          <w:b w:val="0"/>
          <w:bCs w:val="0"/>
          <w:kern w:val="0"/>
          <w:szCs w:val="24"/>
        </w:rPr>
        <w:alias w:val="模块:按组合计提坏账准备应收款项"/>
        <w:tag w:val="_GBC_8f8efa32335c4dda8872c175bbc98aa6"/>
        <w:id w:val="6774144"/>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58"/>
            </w:numPr>
          </w:pPr>
          <w:r>
            <w:t>按信用风险特征组合计提坏账准备的应收款项：</w:t>
          </w:r>
        </w:p>
        <w:sdt>
          <w:sdtPr>
            <w:alias w:val="是否适用：按信用风险特征组合计提坏账准备的应收款项[双击切换]"/>
            <w:tag w:val="_GBC_43e0acfb984643bf8e9362440e6d3d30"/>
            <w:id w:val="677413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c49c022f0c64207878761f96645e827"/>
                <w:id w:val="6774140"/>
                <w:lock w:val="sdtLocked"/>
              </w:sdtPr>
              <w:sdtContent>
                <w:tc>
                  <w:tcPr>
                    <w:tcW w:w="9049" w:type="dxa"/>
                    <w:gridSpan w:val="2"/>
                  </w:tcPr>
                  <w:p>
                    <w:pPr>
                      <w:rPr>
                        <w:szCs w:val="21"/>
                      </w:rPr>
                    </w:pPr>
                    <w:r>
                      <w:rPr>
                        <w:rFonts w:hint="eastAsia"/>
                        <w:szCs w:val="21"/>
                      </w:rPr>
                      <w:t>按信用风险特征组合计提坏账准备的计提方法（账龄分析法、余额百分比法、其他方法）</w:t>
                    </w:r>
                  </w:p>
                </w:tc>
              </w:sdtContent>
            </w:sdt>
          </w:tr>
          <w:sdt>
            <w:sdtPr>
              <w:rPr>
                <w:szCs w:val="21"/>
              </w:rPr>
              <w:alias w:val="按信用风险特征组合计提坏账准备的应收款项明细"/>
              <w:tag w:val="_GBC_757caf6360334ab4802eb9d1db5ddf44"/>
              <w:id w:val="6774143"/>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rPr>
                      <w:szCs w:val="21"/>
                    </w:rPr>
                    <w:alias w:val="按信用风险特征组合计提坏账准备的应收款项明细-组合名称"/>
                    <w:tag w:val="_GBC_6310d006f2d94cf7b43e56f6f3fda59f"/>
                    <w:id w:val="6774141"/>
                    <w:lock w:val="sdtLocked"/>
                  </w:sdtPr>
                  <w:sdtEndPr>
                    <w:rPr>
                      <w:rFonts w:cs="Times New Roman"/>
                      <w:sz w:val="20"/>
                      <w:szCs w:val="21"/>
                    </w:rPr>
                  </w:sdtEndPr>
                  <w:sdtContent>
                    <w:tc>
                      <w:tcPr>
                        <w:tcW w:w="4582" w:type="dxa"/>
                      </w:tcPr>
                      <w:p>
                        <w:pPr>
                          <w:rPr>
                            <w:szCs w:val="21"/>
                          </w:rPr>
                        </w:pPr>
                        <w:r>
                          <w:rPr>
                            <w:szCs w:val="21"/>
                          </w:rPr>
                          <w:t>账龄组合</w:t>
                        </w:r>
                      </w:p>
                    </w:tc>
                  </w:sdtContent>
                </w:sdt>
                <w:sdt>
                  <w:sdtPr>
                    <w:rPr>
                      <w:szCs w:val="21"/>
                    </w:rPr>
                    <w:alias w:val="按信用风险特征组合计提坏账准备的应收款项明细-应收账款计提坏账准备方法"/>
                    <w:tag w:val="_GBC_f0223d8eed774f6d88e69c4a34cefffc"/>
                    <w:id w:val="6774142"/>
                    <w:lock w:val="sdtLocked"/>
                  </w:sdtPr>
                  <w:sdtEndPr>
                    <w:rPr>
                      <w:szCs w:val="21"/>
                    </w:rPr>
                  </w:sdtEndPr>
                  <w:sdtContent>
                    <w:tc>
                      <w:tcPr>
                        <w:tcW w:w="4467" w:type="dxa"/>
                      </w:tcPr>
                      <w:p>
                        <w:pPr>
                          <w:rPr>
                            <w:szCs w:val="21"/>
                          </w:rPr>
                        </w:pPr>
                        <w:r>
                          <w:rPr>
                            <w:szCs w:val="21"/>
                          </w:rPr>
                          <w:t>账龄分析法</w:t>
                        </w:r>
                      </w:p>
                    </w:tc>
                  </w:sdtContent>
                </w:sdt>
              </w:tr>
            </w:sdtContent>
          </w:sdt>
        </w:tbl>
        <w:p>
          <w:pPr>
            <w:rPr>
              <w:szCs w:val="21"/>
            </w:rPr>
          </w:pPr>
        </w:p>
      </w:sdtContent>
    </w:sdt>
    <w:sdt>
      <w:sdtPr>
        <w:rPr>
          <w:szCs w:val="21"/>
        </w:rPr>
        <w:alias w:val="模块:组合中，采用账龄分析法计提坏账准备的"/>
        <w:tag w:val="_GBC_d2b0bcab648248b28260e0b64daec338"/>
        <w:id w:val="6774155"/>
        <w:lock w:val="sdtLocked"/>
        <w:placeholder>
          <w:docPart w:val="GBC22222222222222222222222222222"/>
        </w:placeholder>
      </w:sdtPr>
      <w:sdtEndPr>
        <w:rPr>
          <w:szCs w:val="24"/>
        </w:rPr>
      </w:sdtEndPr>
      <w:sdtContent>
        <w:p>
          <w:pPr>
            <w:rPr>
              <w:szCs w:val="21"/>
            </w:rPr>
          </w:pPr>
          <w:r>
            <w:rPr>
              <w:szCs w:val="21"/>
            </w:rPr>
            <w:t>组合中，采用账龄分析法计提坏账准备的</w:t>
          </w:r>
        </w:p>
        <w:sdt>
          <w:sdtPr>
            <w:rPr>
              <w:szCs w:val="21"/>
            </w:rPr>
            <w:alias w:val="是否适用：组合中，采用账龄分析法计提坏账准备的[双击切换]"/>
            <w:tag w:val="_GBC_b5e08279d3c945f58a62f6698ddc01d3"/>
            <w:id w:val="6774145"/>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2963"/>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97d65cce1bf4a6a8f99879893cc91b7"/>
                <w:id w:val="6774146"/>
                <w:lock w:val="sdtLocked"/>
              </w:sdtPr>
              <w:sdtContent>
                <w:tc>
                  <w:tcPr>
                    <w:tcW w:w="3122" w:type="dxa"/>
                    <w:vAlign w:val="center"/>
                  </w:tcPr>
                  <w:p>
                    <w:pPr>
                      <w:jc w:val="center"/>
                      <w:rPr>
                        <w:szCs w:val="21"/>
                      </w:rPr>
                    </w:pPr>
                    <w:r>
                      <w:rPr>
                        <w:szCs w:val="21"/>
                      </w:rPr>
                      <w:t>账龄</w:t>
                    </w:r>
                  </w:p>
                </w:tc>
              </w:sdtContent>
            </w:sdt>
            <w:sdt>
              <w:sdtPr>
                <w:tag w:val="_PLD_9da6d6a2c6224c1c9b9a84e7c47a9d2a"/>
                <w:id w:val="6774147"/>
                <w:lock w:val="sdtLocked"/>
              </w:sdtPr>
              <w:sdtContent>
                <w:tc>
                  <w:tcPr>
                    <w:tcW w:w="2963" w:type="dxa"/>
                    <w:vAlign w:val="center"/>
                  </w:tcPr>
                  <w:p>
                    <w:pPr>
                      <w:jc w:val="center"/>
                      <w:rPr>
                        <w:szCs w:val="21"/>
                      </w:rPr>
                    </w:pPr>
                    <w:r>
                      <w:rPr>
                        <w:szCs w:val="21"/>
                      </w:rPr>
                      <w:t>应收账款计提比例(%)</w:t>
                    </w:r>
                  </w:p>
                </w:tc>
              </w:sdtContent>
            </w:sdt>
            <w:sdt>
              <w:sdtPr>
                <w:tag w:val="_PLD_764b32984227485fad9b6089c57af395"/>
                <w:id w:val="6774148"/>
                <w:lock w:val="sdtLocked"/>
              </w:sdtPr>
              <w:sdtContent>
                <w:tc>
                  <w:tcPr>
                    <w:tcW w:w="2964" w:type="dxa"/>
                    <w:vAlign w:val="center"/>
                  </w:tcPr>
                  <w:p>
                    <w:pPr>
                      <w:jc w:val="center"/>
                      <w:rPr>
                        <w:szCs w:val="21"/>
                      </w:rPr>
                    </w:pPr>
                    <w:r>
                      <w:rPr>
                        <w:rFonts w:hint="eastAsia"/>
                        <w:szCs w:val="21"/>
                      </w:rPr>
                      <w:t>其他应收款计提比例</w:t>
                    </w:r>
                    <w:r>
                      <w:rPr>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4e6cc4f6e8545bba8d62c3f4da4b7d3"/>
                <w:id w:val="6774149"/>
                <w:lock w:val="sdtLocked"/>
              </w:sdtPr>
              <w:sdtContent>
                <w:tc>
                  <w:tcPr>
                    <w:tcW w:w="3122" w:type="dxa"/>
                  </w:tcPr>
                  <w:p>
                    <w:pPr>
                      <w:rPr>
                        <w:szCs w:val="21"/>
                      </w:rPr>
                    </w:pPr>
                    <w:r>
                      <w:rPr>
                        <w:szCs w:val="21"/>
                      </w:rPr>
                      <w:t>1年以内（含1年）</w:t>
                    </w:r>
                  </w:p>
                </w:tc>
              </w:sdtContent>
            </w:sdt>
            <w:tc>
              <w:tcPr>
                <w:tcW w:w="2963" w:type="dxa"/>
              </w:tcPr>
              <w:p>
                <w:pPr>
                  <w:jc w:val="right"/>
                  <w:rPr>
                    <w:szCs w:val="21"/>
                  </w:rPr>
                </w:pPr>
                <w:r>
                  <w:t>3</w:t>
                </w:r>
              </w:p>
            </w:tc>
            <w:tc>
              <w:tcPr>
                <w:tcW w:w="2964" w:type="dxa"/>
              </w:tcPr>
              <w:p>
                <w:pPr>
                  <w:jc w:val="right"/>
                  <w:rPr>
                    <w:szCs w:val="21"/>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07abb0cb4ee4388a8eba75ca3c78a28"/>
                <w:id w:val="6774150"/>
                <w:lock w:val="sdtLocked"/>
              </w:sdtPr>
              <w:sdtContent>
                <w:tc>
                  <w:tcPr>
                    <w:tcW w:w="3122" w:type="dxa"/>
                  </w:tcPr>
                  <w:p>
                    <w:pPr>
                      <w:rPr>
                        <w:szCs w:val="21"/>
                      </w:rPr>
                    </w:pPr>
                    <w:r>
                      <w:rPr>
                        <w:szCs w:val="21"/>
                      </w:rPr>
                      <w:t>1－2年</w:t>
                    </w:r>
                  </w:p>
                </w:tc>
              </w:sdtContent>
            </w:sdt>
            <w:tc>
              <w:tcPr>
                <w:tcW w:w="2963" w:type="dxa"/>
              </w:tcPr>
              <w:p>
                <w:pPr>
                  <w:jc w:val="right"/>
                  <w:rPr>
                    <w:szCs w:val="21"/>
                  </w:rPr>
                </w:pPr>
                <w:r>
                  <w:t>10</w:t>
                </w:r>
              </w:p>
            </w:tc>
            <w:tc>
              <w:tcPr>
                <w:tcW w:w="2964" w:type="dxa"/>
              </w:tcPr>
              <w:p>
                <w:pPr>
                  <w:jc w:val="right"/>
                  <w:rPr>
                    <w:szCs w:val="21"/>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44122e8868746d1985922312e0cb28d"/>
                <w:id w:val="6774151"/>
                <w:lock w:val="sdtLocked"/>
              </w:sdtPr>
              <w:sdtContent>
                <w:tc>
                  <w:tcPr>
                    <w:tcW w:w="3122" w:type="dxa"/>
                  </w:tcPr>
                  <w:p>
                    <w:pPr>
                      <w:rPr>
                        <w:szCs w:val="21"/>
                      </w:rPr>
                    </w:pPr>
                    <w:r>
                      <w:rPr>
                        <w:szCs w:val="21"/>
                      </w:rPr>
                      <w:t>2－3年</w:t>
                    </w:r>
                  </w:p>
                </w:tc>
              </w:sdtContent>
            </w:sdt>
            <w:tc>
              <w:tcPr>
                <w:tcW w:w="2963" w:type="dxa"/>
              </w:tcPr>
              <w:p>
                <w:pPr>
                  <w:jc w:val="right"/>
                  <w:rPr>
                    <w:szCs w:val="21"/>
                  </w:rPr>
                </w:pPr>
                <w:r>
                  <w:t>30</w:t>
                </w:r>
              </w:p>
            </w:tc>
            <w:tc>
              <w:tcPr>
                <w:tcW w:w="2964" w:type="dxa"/>
              </w:tcPr>
              <w:p>
                <w:pPr>
                  <w:jc w:val="right"/>
                  <w:rPr>
                    <w:szCs w:val="21"/>
                  </w:rP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adbe8d19d9749acb2965c7c270109b2"/>
                <w:id w:val="6774152"/>
                <w:lock w:val="sdtLocked"/>
              </w:sdtPr>
              <w:sdtContent>
                <w:tc>
                  <w:tcPr>
                    <w:tcW w:w="3122" w:type="dxa"/>
                  </w:tcPr>
                  <w:p>
                    <w:pPr>
                      <w:rPr>
                        <w:szCs w:val="21"/>
                      </w:rPr>
                    </w:pPr>
                    <w:r>
                      <w:rPr>
                        <w:szCs w:val="21"/>
                      </w:rPr>
                      <w:t>3－4年</w:t>
                    </w:r>
                  </w:p>
                </w:tc>
              </w:sdtContent>
            </w:sdt>
            <w:tc>
              <w:tcPr>
                <w:tcW w:w="2963" w:type="dxa"/>
              </w:tcPr>
              <w:p>
                <w:pPr>
                  <w:jc w:val="right"/>
                  <w:rPr>
                    <w:szCs w:val="21"/>
                  </w:rPr>
                </w:pPr>
                <w:r>
                  <w:t>50</w:t>
                </w:r>
              </w:p>
            </w:tc>
            <w:tc>
              <w:tcPr>
                <w:tcW w:w="2964" w:type="dxa"/>
              </w:tcPr>
              <w:p>
                <w:pPr>
                  <w:jc w:val="right"/>
                  <w:rPr>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9a36d37134f43398f4b801225278a87"/>
                <w:id w:val="6774153"/>
                <w:lock w:val="sdtLocked"/>
              </w:sdtPr>
              <w:sdtContent>
                <w:tc>
                  <w:tcPr>
                    <w:tcW w:w="3122" w:type="dxa"/>
                  </w:tcPr>
                  <w:p>
                    <w:pPr>
                      <w:rPr>
                        <w:szCs w:val="21"/>
                      </w:rPr>
                    </w:pPr>
                    <w:r>
                      <w:rPr>
                        <w:szCs w:val="21"/>
                      </w:rPr>
                      <w:t>4－5年</w:t>
                    </w:r>
                  </w:p>
                </w:tc>
              </w:sdtContent>
            </w:sdt>
            <w:tc>
              <w:tcPr>
                <w:tcW w:w="2963" w:type="dxa"/>
              </w:tcPr>
              <w:p>
                <w:pPr>
                  <w:jc w:val="right"/>
                  <w:rPr>
                    <w:szCs w:val="21"/>
                  </w:rPr>
                </w:pPr>
                <w:r>
                  <w:t>80</w:t>
                </w:r>
              </w:p>
            </w:tc>
            <w:tc>
              <w:tcPr>
                <w:tcW w:w="2964" w:type="dxa"/>
              </w:tcPr>
              <w:p>
                <w:pPr>
                  <w:jc w:val="right"/>
                  <w:rPr>
                    <w:szCs w:val="21"/>
                  </w:rPr>
                </w:pPr>
                <w: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ac3f1d4135c4b34a82bb0850b80d99c"/>
                <w:id w:val="6774154"/>
                <w:lock w:val="sdtLocked"/>
              </w:sdtPr>
              <w:sdtContent>
                <w:tc>
                  <w:tcPr>
                    <w:tcW w:w="3122" w:type="dxa"/>
                  </w:tcPr>
                  <w:p>
                    <w:pPr>
                      <w:rPr>
                        <w:szCs w:val="21"/>
                      </w:rPr>
                    </w:pPr>
                    <w:r>
                      <w:rPr>
                        <w:szCs w:val="21"/>
                      </w:rPr>
                      <w:t>5年以上</w:t>
                    </w:r>
                  </w:p>
                </w:tc>
              </w:sdtContent>
            </w:sdt>
            <w:tc>
              <w:tcPr>
                <w:tcW w:w="2963" w:type="dxa"/>
              </w:tcPr>
              <w:p>
                <w:pPr>
                  <w:jc w:val="right"/>
                  <w:rPr>
                    <w:szCs w:val="21"/>
                  </w:rPr>
                </w:pPr>
                <w:r>
                  <w:t>100</w:t>
                </w:r>
              </w:p>
            </w:tc>
            <w:tc>
              <w:tcPr>
                <w:tcW w:w="2964" w:type="dxa"/>
              </w:tcPr>
              <w:p>
                <w:pPr>
                  <w:jc w:val="right"/>
                  <w:rPr>
                    <w:szCs w:val="21"/>
                  </w:rPr>
                </w:pPr>
                <w:r>
                  <w:t>100</w:t>
                </w:r>
              </w:p>
            </w:tc>
          </w:tr>
        </w:tbl>
        <w:p/>
      </w:sdtContent>
    </w:sdt>
    <w:p>
      <w:pPr>
        <w:rPr>
          <w:szCs w:val="21"/>
        </w:rPr>
      </w:pPr>
    </w:p>
    <w:sdt>
      <w:sdtPr>
        <w:rPr>
          <w:szCs w:val="21"/>
        </w:rPr>
        <w:alias w:val="模块:组合中，采用余额百分比法计提坏账准备的"/>
        <w:tag w:val="_GBC_42695328443346a19705a83f0dd76480"/>
        <w:id w:val="6774157"/>
        <w:lock w:val="sdtLocked"/>
        <w:placeholder>
          <w:docPart w:val="GBC22222222222222222222222222222"/>
        </w:placeholder>
      </w:sdtPr>
      <w:sdtEndPr>
        <w:rPr>
          <w:rFonts w:hint="eastAsia"/>
          <w:szCs w:val="21"/>
        </w:rPr>
      </w:sdtEndPr>
      <w:sdtContent>
        <w:p>
          <w:pPr>
            <w:rPr>
              <w:szCs w:val="21"/>
            </w:rPr>
          </w:pPr>
          <w:r>
            <w:rPr>
              <w:szCs w:val="21"/>
            </w:rPr>
            <w:t>组合中，采用余额百分比法计提坏账准备的</w:t>
          </w:r>
        </w:p>
        <w:sdt>
          <w:sdtPr>
            <w:rPr>
              <w:szCs w:val="21"/>
            </w:rPr>
            <w:alias w:val="是否适用：组合中，采用余额百分比法计提坏账准备的[双击切换]"/>
            <w:tag w:val="_GBC_0eccb222d72349268fdc0a5fc9e980d4"/>
            <w:id w:val="6774156"/>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szCs w:val="21"/>
        </w:rPr>
        <w:alias w:val="模块:组合中，采用其他方法计提坏账准备的"/>
        <w:tag w:val="_GBC_db23f085620a4d63bafe8cc2cb3288ea"/>
        <w:id w:val="6774159"/>
        <w:lock w:val="sdtLocked"/>
        <w:placeholder>
          <w:docPart w:val="GBC22222222222222222222222222222"/>
        </w:placeholder>
      </w:sdtPr>
      <w:sdtEndPr>
        <w:rPr>
          <w:szCs w:val="21"/>
        </w:rPr>
      </w:sdtEndPr>
      <w:sdtContent>
        <w:p>
          <w:pPr>
            <w:rPr>
              <w:szCs w:val="21"/>
            </w:rPr>
          </w:pPr>
          <w:r>
            <w:rPr>
              <w:szCs w:val="21"/>
            </w:rPr>
            <w:t>组合中，采用其他方法计提坏账准备的</w:t>
          </w:r>
        </w:p>
        <w:sdt>
          <w:sdtPr>
            <w:rPr>
              <w:szCs w:val="21"/>
            </w:rPr>
            <w:alias w:val="是否适用：组合中，采用其他方法计提坏账准备的[双击切换]"/>
            <w:tag w:val="_GBC_4a57d5dbea2e4160b5f534b1ea6f2935"/>
            <w:id w:val="6774158"/>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alias w:val="模块:单项金额虽不重大但单项计提坏账准备的应收账款"/>
        <w:tag w:val="_GBC_33896797ad594644807d9982b1d20f12"/>
        <w:id w:val="6774163"/>
        <w:lock w:val="sdtLocked"/>
        <w:placeholder>
          <w:docPart w:val="GBC22222222222222222222222222222"/>
        </w:placeholder>
      </w:sdtPr>
      <w:sdtEndPr>
        <w:rPr>
          <w:rFonts w:ascii="宋体" w:hAnsi="宋体" w:cs="宋体"/>
          <w:b w:val="0"/>
          <w:bCs w:val="0"/>
          <w:kern w:val="0"/>
          <w:szCs w:val="24"/>
        </w:rPr>
      </w:sdtEndPr>
      <w:sdtContent>
        <w:p>
          <w:pPr>
            <w:pStyle w:val="5"/>
            <w:numPr>
              <w:ilvl w:val="0"/>
              <w:numId w:val="58"/>
            </w:numPr>
          </w:pPr>
          <w:r>
            <w:rPr>
              <w:rFonts w:hint="eastAsia"/>
            </w:rPr>
            <w:t>单项金额不重大但单独计提坏账准备的应收款项：</w:t>
          </w:r>
        </w:p>
        <w:sdt>
          <w:sdtPr>
            <w:alias w:val="是否适用：单项金额不重大但单独计提坏账准备的应收款项[双击切换]"/>
            <w:tag w:val="_GBC_534344bf7eb34f10b7dbb5288d105894"/>
            <w:id w:val="677416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8"/>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e3fad9ee2b9414e8c3991c3d6eb472d"/>
                <w:id w:val="6774161"/>
                <w:lock w:val="sdtLocked"/>
              </w:sdtPr>
              <w:sdtContent>
                <w:tc>
                  <w:tcPr>
                    <w:tcW w:w="4338" w:type="dxa"/>
                  </w:tcPr>
                  <w:p>
                    <w:pPr>
                      <w:rPr>
                        <w:szCs w:val="21"/>
                      </w:rPr>
                    </w:pPr>
                    <w:r>
                      <w:rPr>
                        <w:szCs w:val="21"/>
                      </w:rPr>
                      <w:t>单项计提坏账准备的理由</w:t>
                    </w:r>
                  </w:p>
                </w:tc>
              </w:sdtContent>
            </w:sdt>
            <w:tc>
              <w:tcPr>
                <w:tcW w:w="4711" w:type="dxa"/>
              </w:tcPr>
              <w:p>
                <w:pPr>
                  <w:rPr>
                    <w:szCs w:val="21"/>
                  </w:rPr>
                </w:pPr>
                <w:r>
                  <w:t>(A)债务人发生重大经营困难，出现严重资不低债、企业被迫关停并转、进入破产清算程序等情况；(B)客户信誉较差，逾期三年未能收回且三年内无业务往来；(C)其他表明应收款项发生减值的客观依据。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b484c546328b4be5a217cba1daafe825"/>
                <w:id w:val="6774162"/>
                <w:lock w:val="sdtLocked"/>
              </w:sdtPr>
              <w:sdtContent>
                <w:tc>
                  <w:tcPr>
                    <w:tcW w:w="4338" w:type="dxa"/>
                  </w:tcPr>
                  <w:p>
                    <w:pPr>
                      <w:rPr>
                        <w:szCs w:val="21"/>
                      </w:rPr>
                    </w:pPr>
                    <w:r>
                      <w:rPr>
                        <w:szCs w:val="21"/>
                      </w:rPr>
                      <w:t>坏账准备的计提方法</w:t>
                    </w:r>
                  </w:p>
                </w:tc>
              </w:sdtContent>
            </w:sdt>
            <w:tc>
              <w:tcPr>
                <w:tcW w:w="4711" w:type="dxa"/>
              </w:tcPr>
              <w:p>
                <w:pPr>
                  <w:rPr>
                    <w:szCs w:val="21"/>
                  </w:rPr>
                </w:pPr>
                <w:r>
                  <w:t>根据其未来现金流量现值低于其账面价值的差额计提坏账准备</w:t>
                </w:r>
              </w:p>
            </w:tc>
          </w:tr>
        </w:tbl>
        <w:p/>
      </w:sdtContent>
    </w:sdt>
    <w:p>
      <w:pPr>
        <w:rPr>
          <w:szCs w:val="21"/>
        </w:rPr>
      </w:pPr>
    </w:p>
    <w:sdt>
      <w:sdtPr>
        <w:rPr>
          <w:rFonts w:asciiTheme="minorHAnsi" w:hAnsiTheme="minorHAnsi" w:cstheme="minorBidi"/>
          <w:b w:val="0"/>
          <w:bCs w:val="0"/>
          <w:kern w:val="0"/>
          <w:szCs w:val="22"/>
        </w:rPr>
        <w:alias w:val="模块:存货"/>
        <w:tag w:val="_GBC_b0f90fdf6c7749dbb9bd3cde55d5c0c3"/>
        <w:id w:val="6774166"/>
        <w:lock w:val="sdtLocked"/>
        <w:placeholder>
          <w:docPart w:val="GBC22222222222222222222222222222"/>
        </w:placeholder>
      </w:sdtPr>
      <w:sdtEndPr>
        <w:rPr>
          <w:rFonts w:ascii="宋体" w:hAnsi="宋体" w:cs="Times New Roman"/>
          <w:b w:val="0"/>
          <w:bCs w:val="0"/>
          <w:kern w:val="0"/>
          <w:szCs w:val="21"/>
        </w:rPr>
      </w:sdtEndPr>
      <w:sdtContent>
        <w:p>
          <w:pPr>
            <w:pStyle w:val="4"/>
            <w:numPr>
              <w:ilvl w:val="0"/>
              <w:numId w:val="57"/>
            </w:numPr>
          </w:pPr>
          <w:r>
            <w:t>存货</w:t>
          </w:r>
        </w:p>
        <w:sdt>
          <w:sdtPr>
            <w:rPr>
              <w:rFonts w:hint="eastAsia"/>
              <w:szCs w:val="21"/>
            </w:rPr>
            <w:alias w:val="是否适用：存货_重要会计政策和估计[双击切换]"/>
            <w:tag w:val="_GBC_dcacbe0db27e4ea5b80fa4aefb3bdbac"/>
            <w:id w:val="6774164"/>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存货的核算方法"/>
            <w:tag w:val="_GBC_553fb8cba06d4979b05ae3dabe788fa6"/>
            <w:id w:val="6774165"/>
            <w:lock w:val="sdtLocked"/>
            <w:placeholder>
              <w:docPart w:val="GBC22222222222222222222222222222"/>
            </w:placeholder>
          </w:sdtPr>
          <w:sdtEndPr>
            <w:rPr>
              <w:szCs w:val="21"/>
            </w:rPr>
          </w:sdtEndPr>
          <w:sdtContent>
            <w:p>
              <w:pPr>
                <w:rPr>
                  <w:szCs w:val="21"/>
                </w:rPr>
              </w:pPr>
              <w:r>
                <w:rPr>
                  <w:rFonts w:hint="eastAsia"/>
                  <w:szCs w:val="21"/>
                </w:rPr>
                <w:t>（</w:t>
              </w:r>
              <w:r>
                <w:rPr>
                  <w:szCs w:val="21"/>
                </w:rPr>
                <w:t>1）存货的分类</w:t>
              </w:r>
            </w:p>
            <w:p>
              <w:pPr>
                <w:rPr>
                  <w:szCs w:val="21"/>
                </w:rPr>
              </w:pPr>
              <w:r>
                <w:rPr>
                  <w:rFonts w:hint="eastAsia"/>
                  <w:szCs w:val="21"/>
                </w:rPr>
                <w:t>本公司存货分为原材料、在产品、库存商品等。</w:t>
              </w:r>
            </w:p>
            <w:p>
              <w:pPr>
                <w:rPr>
                  <w:szCs w:val="21"/>
                </w:rPr>
              </w:pPr>
              <w:r>
                <w:rPr>
                  <w:rFonts w:hint="eastAsia"/>
                  <w:szCs w:val="21"/>
                </w:rPr>
                <w:t>（</w:t>
              </w:r>
              <w:r>
                <w:rPr>
                  <w:szCs w:val="21"/>
                </w:rPr>
                <w:t>2）发出存货的计价方法</w:t>
              </w:r>
            </w:p>
            <w:p>
              <w:pPr>
                <w:rPr>
                  <w:szCs w:val="21"/>
                </w:rPr>
              </w:pPr>
              <w:r>
                <w:rPr>
                  <w:rFonts w:hint="eastAsia"/>
                  <w:szCs w:val="21"/>
                </w:rPr>
                <w:t>加权平均法</w:t>
              </w:r>
            </w:p>
            <w:p>
              <w:pPr>
                <w:rPr>
                  <w:szCs w:val="21"/>
                </w:rPr>
              </w:pPr>
              <w:r>
                <w:rPr>
                  <w:rFonts w:hint="eastAsia"/>
                  <w:szCs w:val="21"/>
                </w:rPr>
                <w:t>（</w:t>
              </w:r>
              <w:r>
                <w:rPr>
                  <w:szCs w:val="21"/>
                </w:rPr>
                <w:t>3）存货可变现净值的确定依据及存货跌价准备的计提方法</w:t>
              </w:r>
            </w:p>
            <w:p>
              <w:pPr>
                <w:rPr>
                  <w:szCs w:val="21"/>
                </w:rPr>
              </w:pPr>
              <w:r>
                <w:rPr>
                  <w:rFonts w:hint="eastAsia"/>
                  <w:szCs w:val="21"/>
                </w:rPr>
                <w:t>存货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p>
            <w:p>
              <w:pPr>
                <w:rPr>
                  <w:szCs w:val="21"/>
                </w:rPr>
              </w:pPr>
              <w:r>
                <w:rPr>
                  <w:szCs w:val="21"/>
                </w:rPr>
                <w:t xml:space="preserve"> 资产负债表日，存货成本高于其可变现净值的，计提存货跌价准备。本公司通常按照单个存货项目计提存货跌价准备，资产负债表日，以前减记存货价值的影响因素已经消失的，存货跌价准备在原已计提的金额内转回。</w:t>
              </w:r>
            </w:p>
            <w:p>
              <w:pPr>
                <w:rPr>
                  <w:szCs w:val="21"/>
                </w:rPr>
              </w:pPr>
              <w:r>
                <w:rPr>
                  <w:rFonts w:hint="eastAsia"/>
                  <w:szCs w:val="21"/>
                </w:rPr>
                <w:t>（</w:t>
              </w:r>
              <w:r>
                <w:rPr>
                  <w:szCs w:val="21"/>
                </w:rPr>
                <w:t>4）存货的盘存制度</w:t>
              </w:r>
            </w:p>
            <w:p>
              <w:pPr>
                <w:rPr>
                  <w:szCs w:val="21"/>
                </w:rPr>
              </w:pPr>
              <w:r>
                <w:rPr>
                  <w:rFonts w:hint="eastAsia"/>
                  <w:szCs w:val="21"/>
                </w:rPr>
                <w:t>永续盘存制</w:t>
              </w:r>
            </w:p>
            <w:p>
              <w:pPr>
                <w:rPr>
                  <w:szCs w:val="21"/>
                </w:rPr>
              </w:pPr>
              <w:r>
                <w:rPr>
                  <w:rFonts w:hint="eastAsia"/>
                  <w:szCs w:val="21"/>
                </w:rPr>
                <w:t>（</w:t>
              </w:r>
              <w:r>
                <w:rPr>
                  <w:szCs w:val="21"/>
                </w:rPr>
                <w:t>5）低值易耗品和包装物的摊销方法</w:t>
              </w:r>
            </w:p>
            <w:p>
              <w:pPr>
                <w:rPr>
                  <w:szCs w:val="21"/>
                </w:rPr>
              </w:pPr>
              <w:r>
                <w:rPr>
                  <w:rFonts w:hint="eastAsia"/>
                  <w:szCs w:val="21"/>
                </w:rPr>
                <w:t>一次摊销法</w:t>
              </w:r>
            </w:p>
          </w:sdtContent>
        </w:sdt>
        <w:p>
          <w:pPr>
            <w:rPr>
              <w:rFonts w:cs="Times New Roman"/>
              <w:szCs w:val="21"/>
            </w:rPr>
          </w:pPr>
        </w:p>
      </w:sdtContent>
    </w:sdt>
    <w:sdt>
      <w:sdtPr>
        <w:rPr>
          <w:rFonts w:hint="eastAsia" w:ascii="宋体" w:hAnsi="宋体" w:cs="宋体"/>
          <w:b w:val="0"/>
          <w:bCs w:val="0"/>
          <w:kern w:val="0"/>
          <w:szCs w:val="21"/>
        </w:rPr>
        <w:alias w:val="模块:持有待售资产"/>
        <w:tag w:val="_GBC_a1a86a762feb43c3bed478ce8a19ae7c"/>
        <w:id w:val="6774168"/>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57"/>
            </w:numPr>
            <w:rPr>
              <w:szCs w:val="21"/>
            </w:rPr>
          </w:pP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f860c57547b540e0980c826c493b2d75"/>
            <w:id w:val="6774167"/>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asciiTheme="minorHAnsi" w:hAnsiTheme="minorHAnsi" w:cstheme="minorBidi"/>
          <w:b w:val="0"/>
          <w:bCs w:val="0"/>
          <w:kern w:val="0"/>
          <w:szCs w:val="22"/>
        </w:rPr>
        <w:alias w:val="模块:长期股权投资"/>
        <w:tag w:val="_GBC_d82c12cf13554acd90dfb7880244798c"/>
        <w:id w:val="6774171"/>
        <w:lock w:val="sdtLocked"/>
        <w:placeholder>
          <w:docPart w:val="GBC22222222222222222222222222222"/>
        </w:placeholder>
      </w:sdtPr>
      <w:sdtEndPr>
        <w:rPr>
          <w:rFonts w:ascii="宋体" w:hAnsi="宋体" w:cs="Times New Roman"/>
          <w:b w:val="0"/>
          <w:bCs w:val="0"/>
          <w:kern w:val="0"/>
          <w:szCs w:val="21"/>
        </w:rPr>
      </w:sdtEndPr>
      <w:sdtContent>
        <w:p>
          <w:pPr>
            <w:pStyle w:val="4"/>
            <w:numPr>
              <w:ilvl w:val="0"/>
              <w:numId w:val="57"/>
            </w:numPr>
          </w:pPr>
          <w:r>
            <w:t>长期股权投资</w:t>
          </w:r>
        </w:p>
        <w:sdt>
          <w:sdtPr>
            <w:rPr>
              <w:rFonts w:hint="eastAsia"/>
              <w:szCs w:val="21"/>
            </w:rPr>
            <w:alias w:val="是否适用：长期股权投资_重要会计政策和估计[双击切换]"/>
            <w:tag w:val="_GBC_990faa4da4e64a5389a573293ba4981b"/>
            <w:id w:val="677416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长期股权投资的核算方法"/>
            <w:tag w:val="_GBC_3e77074cd50946b1bccdff9bc1c9556f"/>
            <w:id w:val="6774170"/>
            <w:lock w:val="sdtLocked"/>
            <w:placeholder>
              <w:docPart w:val="GBC22222222222222222222222222222"/>
            </w:placeholder>
          </w:sdtPr>
          <w:sdtEndPr>
            <w:rPr>
              <w:szCs w:val="21"/>
            </w:rPr>
          </w:sdtEndPr>
          <w:sdtContent>
            <w:p>
              <w:pPr>
                <w:ind w:firstLine="420" w:firstLineChars="200"/>
                <w:rPr>
                  <w:szCs w:val="21"/>
                </w:rPr>
              </w:pPr>
              <w:r>
                <w:rPr>
                  <w:rFonts w:hint="eastAsia"/>
                  <w:szCs w:val="21"/>
                </w:rPr>
                <w:t>长期股权投资包括对子公司、合营企业和联营企业的权益性投资。</w:t>
              </w:r>
            </w:p>
            <w:p>
              <w:pPr>
                <w:ind w:firstLine="420"/>
                <w:rPr>
                  <w:szCs w:val="21"/>
                </w:rPr>
              </w:pPr>
              <w:r>
                <w:rPr>
                  <w:szCs w:val="21"/>
                </w:rPr>
                <w:t>长期股权投资在取得时以初始投资成本进行初始计量。通过同一控制下的企业合并取得的长期股权投资，以合并日取得被合并方所有者权益在最终控制方合并财务报表中的账面价值的份额 作为初始投资成本；初始投资成本与合并对价账面价值之间差额，调整资本公积(不足冲减的， 冲减留存收益)；合并日之前的其他综合收益，在处置该项投资时采用与被投资单位直接处置相关资产或负债相同的基础进行会计处理，因被投资方除净损益、其他综合收益和利润分配以外的其他股东权益变动而确认的股东权</w:t>
              </w:r>
              <w:r>
                <w:rPr>
                  <w:rFonts w:hint="eastAsia"/>
                  <w:szCs w:val="21"/>
                </w:rPr>
                <w:t>益，在处置该项投资时转入当期损益；其中，处置后仍为长期股权投资的按比例结转，处置后转换为金融工具的则全额结转。通过非同一控制下的企业合并取得的长期股权投资，以合并成本作为初始投资成本</w:t>
              </w:r>
              <w:r>
                <w:rPr>
                  <w:szCs w:val="21"/>
                </w:rPr>
                <w:t>(通过多次交易分步实现非同一控制下的企业合并的，以购买日之前所持被购买方的股权投资的账面价值与购买日新增投资成本之和 作为初始投资成本)，合并成本包括购买方付出的资产、发生或承担的负债、发行的权益性证券的公允价值之和；购买日之前持有的因采用权益法核算而确认的其他综合收益，在处置该项投 资时采用与被投资单位直接处置相关资产或负债相</w:t>
              </w:r>
              <w:r>
                <w:rPr>
                  <w:rFonts w:hint="eastAsia"/>
                  <w:szCs w:val="21"/>
                </w:rPr>
                <w:t>同的基础进行会计处理，因被投资方除净损益、其他综合收益和利润分配以外的其他股东权益变动而确认的股东权益，在处置该项投资时转入当期损益；其中，处置后仍为长期股权投资的按比例结转，处置后转换为金融工具的则全额结转。除企业合并形成的长期股权投资以外方式取得的长期股权投资，按照下列方法确定初始投资成本：支付现金取得的，以实际支付的购买价款及与取得长期股权投资直接相关的费用、税金及其他必要支出作为初始投资成本；发行权益性证券取得的，以发行权益性证券的公允价值作为初始投资成本。</w:t>
              </w:r>
            </w:p>
            <w:p>
              <w:pPr>
                <w:ind w:firstLine="420"/>
                <w:rPr>
                  <w:szCs w:val="21"/>
                </w:rPr>
              </w:pPr>
              <w:r>
                <w:rPr>
                  <w:szCs w:val="21"/>
                </w:rPr>
                <w:t>本公司能够对被投资单位实施控制的长期股权</w:t>
              </w:r>
              <w:r>
                <w:rPr>
                  <w:rFonts w:hint="eastAsia"/>
                  <w:szCs w:val="21"/>
                </w:rPr>
                <w:t>投资，在本公司个别财务报表中采用成本法核算。控制，是指拥有对被投资方的权力，通过参与被投资方的相关活动而享有可变回报，并且有能力运用对被投资方的权力影响回报金额。</w:t>
              </w:r>
              <w:r>
                <w:rPr>
                  <w:szCs w:val="21"/>
                </w:rPr>
                <w:t>采用成本法时,长期股权投资按初始投资成本计价。追加或收回投资的，调整长期股权投资的成本。被投资单位宣告分派的现金股利或利润，确认为当期投资收益。</w:t>
              </w:r>
            </w:p>
            <w:p>
              <w:pPr>
                <w:ind w:firstLine="315" w:firstLineChars="150"/>
                <w:rPr>
                  <w:szCs w:val="21"/>
                </w:rPr>
              </w:pPr>
              <w:r>
                <w:rPr>
                  <w:szCs w:val="21"/>
                </w:rPr>
                <w:t xml:space="preserve"> 本公司对被投资单位具有共同控制或重大影响的，长期股权投资采用权益法核算。共同控制，是指按照相关约定对某项安排所共有的控制，并且该安排的相关活动必须经过分享控制权的参 与方一致同意后才能决策。重大影响，是</w:t>
              </w:r>
              <w:r>
                <w:rPr>
                  <w:rFonts w:hint="eastAsia"/>
                  <w:szCs w:val="21"/>
                </w:rPr>
                <w:t>指对被投资单位的财务和经营政策有参与决策的权力，</w:t>
              </w:r>
              <w:r>
                <w:rPr>
                  <w:szCs w:val="21"/>
                </w:rPr>
                <w:t xml:space="preserve"> 但并不能够控制或者与其他方一起共同控制这些政策的制定。采用权益法时，长期股权投资的初始投资成本大于投资时应享有被投资单位可辨认净资产公允价值份额的，归入长期股权投资的初始投资成本；长期股权投资的初始投资成本小于投资时应享有被投资单位可辨认净资产公允价值份额的，其差额计入当期损益，同时调整长期股权投资的成本。采用权益法时，取得长期股权投资后，按照应享有或应分担的被投资单位实现的净损益和其他综合收益的份额，分别确认投资损益和其他综合收益并调整长期股权投资</w:t>
              </w:r>
              <w:r>
                <w:rPr>
                  <w:rFonts w:hint="eastAsia"/>
                  <w:szCs w:val="21"/>
                </w:rPr>
                <w:t>的账面价值。在确认应享有被投资单位净损益的份额时，以取得投资时被投资单位可辨认资产等的公允价值为基础，</w:t>
              </w:r>
              <w:r>
                <w:rPr>
                  <w:szCs w:val="21"/>
                </w:rPr>
                <w:t>按照本</w:t>
              </w:r>
              <w:r>
                <w:rPr>
                  <w:rFonts w:hint="eastAsia"/>
                  <w:szCs w:val="21"/>
                </w:rPr>
                <w:t>公司</w:t>
              </w:r>
              <w:r>
                <w:rPr>
                  <w:szCs w:val="21"/>
                </w:rPr>
                <w:t>的会计政策及会计期间，并抵销与联营企业及合营企业之间发生的内部交易损益按照应享有的比例计算归属于投资方的部分(但内部交易损失属于资产减值损失的，应全额确认)，对被投资单位的净利润进行调整后确认，但投出或出售的资产构成业务的除外。按照被投资单位宣告分派的利润或现金股利计算应享有的部分，相应减少长期股权投资的账面价值。本</w:t>
              </w:r>
              <w:r>
                <w:rPr>
                  <w:rFonts w:hint="eastAsia"/>
                  <w:szCs w:val="21"/>
                </w:rPr>
                <w:t>公司</w:t>
              </w:r>
              <w:r>
                <w:rPr>
                  <w:szCs w:val="21"/>
                </w:rPr>
                <w:t>确认被投资单位发生的净亏损，以长期股权投资的账面价值以及其他实质上构</w:t>
              </w:r>
              <w:r>
                <w:rPr>
                  <w:rFonts w:hint="eastAsia"/>
                  <w:szCs w:val="21"/>
                </w:rPr>
                <w:t>成对被投资单位</w:t>
              </w:r>
              <w:r>
                <w:rPr>
                  <w:szCs w:val="21"/>
                </w:rPr>
                <w:t>净投资的长期权益减记至零为限，本</w:t>
              </w:r>
              <w:r>
                <w:rPr>
                  <w:rFonts w:hint="eastAsia"/>
                  <w:szCs w:val="21"/>
                </w:rPr>
                <w:t>公司</w:t>
              </w:r>
              <w:r>
                <w:rPr>
                  <w:szCs w:val="21"/>
                </w:rPr>
                <w:t>负有承担额外损失义务的除外。对于被投资单位除净 损益、其他综合收益和利润分配以外所有者权益的其他变动，调整长期股权投资的账面价值并计入所有者权益。处置长期股权投资，其账面价值与实际取得价款的差额，计入当期损益。采用权益法核算的长期股权投资，在终止采用权益法的，原权益法核算的相关其他综合收益采用与被投资单位直接处置相关资产或负债相同的基础进行会计处理，因被投资方除净损益、其他综合收益和利润分配以外的其他股东权益变动而确认的股东权益，全部转入当期损益；</w:t>
              </w:r>
              <w:r>
                <w:rPr>
                  <w:rFonts w:hint="eastAsia"/>
                  <w:szCs w:val="21"/>
                </w:rPr>
                <w:t>仍采用权益法的，原权益法核算的相关其他综合收益采用与被投资单位直接处置相关资产或负债相同的基础进行会计处理并按比例转入当期损益，因被投资方除净损益、其他综合收益和利润分配以外的其他股东权益变动而确认的股东权益按相应的比例转入当期损益。</w:t>
              </w:r>
              <w:r>
                <w:rPr>
                  <w:szCs w:val="21"/>
                </w:rPr>
                <w:t xml:space="preserve"> 因处置部分权益性投资等原因丧失了对被投资单位的控制的，在编制个别财务报表时，处置后的剩余股权能够对被投资单位实施共同控制或施加重大影响的，应当改按权益法核算，并对该剩余股权视同自取得时即采用权益法核算进行调整。</w:t>
              </w:r>
            </w:p>
          </w:sdtContent>
        </w:sdt>
        <w:p>
          <w:pPr>
            <w:rPr>
              <w:szCs w:val="21"/>
            </w:rPr>
          </w:pPr>
        </w:p>
      </w:sdtContent>
    </w:sdt>
    <w:p>
      <w:pPr>
        <w:pStyle w:val="4"/>
        <w:numPr>
          <w:ilvl w:val="0"/>
          <w:numId w:val="57"/>
        </w:numPr>
      </w:pPr>
      <w:r>
        <w:t>投资性房地产</w:t>
      </w:r>
    </w:p>
    <w:sdt>
      <w:sdtPr>
        <w:rPr>
          <w:rFonts w:hint="eastAsia"/>
        </w:rPr>
        <w:tag w:val="_GBC_6983d9e24ed54c18a335cb0386f36c2c"/>
        <w:id w:val="6774172"/>
        <w:lock w:val="sdtLocked"/>
        <w:placeholder>
          <w:docPart w:val="GBC22222222222222222222222222222"/>
        </w:placeholder>
      </w:sdtPr>
      <w:sdtEndPr>
        <w:rPr>
          <w:rFonts w:hint="eastAsia"/>
          <w:szCs w:val="21"/>
        </w:rPr>
      </w:sdtEndPr>
      <w:sdtContent>
        <w:p>
          <w:pPr>
            <w:rPr>
              <w:szCs w:val="21"/>
            </w:rPr>
          </w:pPr>
          <w:r>
            <w:rPr>
              <w:rFonts w:hint="eastAsia"/>
              <w:szCs w:val="21"/>
            </w:rPr>
            <w:t>不适用</w:t>
          </w:r>
        </w:p>
      </w:sdtContent>
    </w:sdt>
    <w:p>
      <w:pPr>
        <w:rPr>
          <w:szCs w:val="21"/>
        </w:rPr>
      </w:pPr>
    </w:p>
    <w:p>
      <w:pPr>
        <w:pStyle w:val="4"/>
        <w:numPr>
          <w:ilvl w:val="0"/>
          <w:numId w:val="57"/>
        </w:numPr>
      </w:pPr>
      <w:r>
        <w:t>固定资产</w:t>
      </w:r>
    </w:p>
    <w:sdt>
      <w:sdtPr>
        <w:rPr>
          <w:rFonts w:ascii="宋体" w:hAnsi="宋体" w:cs="宋体"/>
          <w:b w:val="0"/>
          <w:bCs w:val="0"/>
          <w:kern w:val="0"/>
          <w:szCs w:val="24"/>
        </w:rPr>
        <w:alias w:val="模块:固定资产确认条件"/>
        <w:tag w:val="_GBC_662771796da549e1b2a02fb7d497f077"/>
        <w:id w:val="6774175"/>
        <w:lock w:val="sdtLocked"/>
        <w:placeholder>
          <w:docPart w:val="GBC22222222222222222222222222222"/>
        </w:placeholder>
      </w:sdtPr>
      <w:sdtEndPr>
        <w:rPr>
          <w:rFonts w:ascii="Times New Roman" w:hAnsi="Times New Roman" w:cs="宋体"/>
          <w:b w:val="0"/>
          <w:bCs w:val="0"/>
          <w:kern w:val="0"/>
          <w:szCs w:val="24"/>
        </w:rPr>
      </w:sdtEndPr>
      <w:sdtContent>
        <w:p>
          <w:pPr>
            <w:pStyle w:val="5"/>
            <w:numPr>
              <w:ilvl w:val="0"/>
              <w:numId w:val="59"/>
            </w:numPr>
          </w:pPr>
          <w:r>
            <w:rPr>
              <w:rFonts w:hint="eastAsia"/>
            </w:rPr>
            <w:t>确认条件</w:t>
          </w:r>
        </w:p>
        <w:sdt>
          <w:sdtPr>
            <w:alias w:val="是否适用：固定资产确认条件[双击切换]"/>
            <w:tag w:val="_GBC_4c768c6eca804bab9e4fc027185bcda6"/>
            <w:id w:val="677417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bCs/>
              <w:szCs w:val="21"/>
            </w:rPr>
            <w:alias w:val="固定资产确认条件"/>
            <w:tag w:val="_GBC_3044d53470b143fa9477fa34b85d4ec5"/>
            <w:id w:val="6774174"/>
            <w:lock w:val="sdtLocked"/>
            <w:placeholder>
              <w:docPart w:val="GBC22222222222222222222222222222"/>
            </w:placeholder>
          </w:sdtPr>
          <w:sdtEndPr>
            <w:rPr>
              <w:b/>
              <w:bCs/>
              <w:szCs w:val="21"/>
            </w:rPr>
          </w:sdtEndPr>
          <w:sdtContent>
            <w:p>
              <w:pPr>
                <w:rPr>
                  <w:b/>
                  <w:bCs/>
                  <w:szCs w:val="21"/>
                </w:rPr>
              </w:pPr>
              <w:r>
                <w:rPr>
                  <w:rFonts w:hint="eastAsia"/>
                  <w:bCs/>
                  <w:szCs w:val="21"/>
                </w:rPr>
                <w:t>固定资产是指为生产商品、提供劳务、出租或经营管理而持有的，使用年限超过一年，单位价值较高的有形资产。</w:t>
              </w:r>
            </w:p>
          </w:sdtContent>
        </w:sdt>
      </w:sdtContent>
    </w:sdt>
    <w:p>
      <w:pPr>
        <w:rPr>
          <w:szCs w:val="21"/>
        </w:rPr>
      </w:pPr>
    </w:p>
    <w:sdt>
      <w:sdtPr>
        <w:rPr>
          <w:rFonts w:asciiTheme="minorHAnsi" w:hAnsiTheme="minorHAnsi" w:cstheme="minorBidi"/>
          <w:b w:val="0"/>
          <w:bCs w:val="0"/>
          <w:kern w:val="0"/>
          <w:szCs w:val="22"/>
        </w:rPr>
        <w:alias w:val="模块:固定资产折旧方法"/>
        <w:tag w:val="_GBC_7c749a57d4094b3386978c34c3487e2a"/>
        <w:id w:val="6774186"/>
        <w:lock w:val="sdtLocked"/>
        <w:placeholder>
          <w:docPart w:val="GBC22222222222222222222222222222"/>
        </w:placeholder>
      </w:sdtPr>
      <w:sdtEndPr>
        <w:rPr>
          <w:rFonts w:ascii="宋体" w:hAnsi="宋体" w:cs="宋体"/>
          <w:b w:val="0"/>
          <w:bCs w:val="0"/>
          <w:kern w:val="0"/>
          <w:szCs w:val="24"/>
        </w:rPr>
      </w:sdtEndPr>
      <w:sdtContent>
        <w:p>
          <w:pPr>
            <w:pStyle w:val="5"/>
            <w:numPr>
              <w:ilvl w:val="0"/>
              <w:numId w:val="59"/>
            </w:numPr>
          </w:pPr>
          <w:r>
            <w:t>折旧方法</w:t>
          </w:r>
        </w:p>
        <w:sdt>
          <w:sdtPr>
            <w:alias w:val="是否适用：固定资产折旧方法[双击切换]"/>
            <w:tag w:val="_GBC_f89f129fe73045168ebdc30031da9fdd"/>
            <w:id w:val="677417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832"/>
            <w:gridCol w:w="1833"/>
            <w:gridCol w:w="183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93b748ee97a4a8bae6f8263364d91d5"/>
                <w:id w:val="6774177"/>
                <w:lock w:val="sdtLocked"/>
              </w:sdtPr>
              <w:sdtContent>
                <w:tc>
                  <w:tcPr>
                    <w:tcW w:w="1718" w:type="dxa"/>
                    <w:vAlign w:val="center"/>
                  </w:tcPr>
                  <w:p>
                    <w:pPr>
                      <w:jc w:val="center"/>
                      <w:rPr>
                        <w:szCs w:val="21"/>
                      </w:rPr>
                    </w:pPr>
                    <w:r>
                      <w:rPr>
                        <w:szCs w:val="21"/>
                      </w:rPr>
                      <w:t>类别</w:t>
                    </w:r>
                  </w:p>
                </w:tc>
              </w:sdtContent>
            </w:sdt>
            <w:sdt>
              <w:sdtPr>
                <w:tag w:val="_PLD_8eb75a8ba4fb45a3be1c35e2609526fb"/>
                <w:id w:val="6774178"/>
                <w:lock w:val="sdtLocked"/>
              </w:sdtPr>
              <w:sdtContent>
                <w:tc>
                  <w:tcPr>
                    <w:tcW w:w="1832" w:type="dxa"/>
                    <w:vAlign w:val="center"/>
                  </w:tcPr>
                  <w:p>
                    <w:pPr>
                      <w:jc w:val="center"/>
                      <w:rPr>
                        <w:szCs w:val="21"/>
                      </w:rPr>
                    </w:pPr>
                    <w:r>
                      <w:rPr>
                        <w:rFonts w:hint="eastAsia"/>
                        <w:szCs w:val="21"/>
                      </w:rPr>
                      <w:t>折旧方法</w:t>
                    </w:r>
                  </w:p>
                </w:tc>
              </w:sdtContent>
            </w:sdt>
            <w:sdt>
              <w:sdtPr>
                <w:tag w:val="_PLD_288e4cb255e44ed98e0c53f336ac01e0"/>
                <w:id w:val="6774179"/>
                <w:lock w:val="sdtLocked"/>
              </w:sdtPr>
              <w:sdtContent>
                <w:tc>
                  <w:tcPr>
                    <w:tcW w:w="1833" w:type="dxa"/>
                    <w:vAlign w:val="center"/>
                  </w:tcPr>
                  <w:p>
                    <w:pPr>
                      <w:jc w:val="center"/>
                      <w:rPr>
                        <w:szCs w:val="21"/>
                      </w:rPr>
                    </w:pPr>
                    <w:r>
                      <w:rPr>
                        <w:szCs w:val="21"/>
                      </w:rPr>
                      <w:t>折旧年限（年）</w:t>
                    </w:r>
                  </w:p>
                </w:tc>
              </w:sdtContent>
            </w:sdt>
            <w:sdt>
              <w:sdtPr>
                <w:tag w:val="_PLD_b978331f5a784568b426597e450ebc7a"/>
                <w:id w:val="6774180"/>
                <w:lock w:val="sdtLocked"/>
              </w:sdtPr>
              <w:sdtContent>
                <w:tc>
                  <w:tcPr>
                    <w:tcW w:w="1833" w:type="dxa"/>
                    <w:vAlign w:val="center"/>
                  </w:tcPr>
                  <w:p>
                    <w:pPr>
                      <w:jc w:val="center"/>
                      <w:rPr>
                        <w:szCs w:val="21"/>
                      </w:rPr>
                    </w:pPr>
                    <w:r>
                      <w:rPr>
                        <w:szCs w:val="21"/>
                      </w:rPr>
                      <w:t>残值率</w:t>
                    </w:r>
                  </w:p>
                </w:tc>
              </w:sdtContent>
            </w:sdt>
            <w:sdt>
              <w:sdtPr>
                <w:tag w:val="_PLD_02921e2cbb3b427bb4fe2aba2949e56a"/>
                <w:id w:val="6774181"/>
                <w:lock w:val="sdtLocked"/>
              </w:sdtPr>
              <w:sdtContent>
                <w:tc>
                  <w:tcPr>
                    <w:tcW w:w="1833" w:type="dxa"/>
                    <w:vAlign w:val="center"/>
                  </w:tcPr>
                  <w:p>
                    <w:pPr>
                      <w:jc w:val="center"/>
                      <w:rPr>
                        <w:szCs w:val="21"/>
                      </w:rPr>
                    </w:pPr>
                    <w:r>
                      <w:rPr>
                        <w:szCs w:val="21"/>
                      </w:rPr>
                      <w:t>年折旧率</w:t>
                    </w:r>
                  </w:p>
                </w:tc>
              </w:sdtContent>
            </w:sdt>
          </w:tr>
          <w:sdt>
            <w:sdtPr>
              <w:rPr>
                <w:szCs w:val="21"/>
              </w:rPr>
              <w:alias w:val="其他固定资产计价、折旧、减值方法"/>
              <w:tag w:val="_GBC_f1ad6125c5d74d2a98f593d2ba574474"/>
              <w:id w:val="6774182"/>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rPr>
                        <w:szCs w:val="21"/>
                      </w:rPr>
                    </w:pPr>
                    <w:r>
                      <w:t>房屋及建筑物</w:t>
                    </w:r>
                  </w:p>
                </w:tc>
                <w:tc>
                  <w:tcPr>
                    <w:tcW w:w="1832" w:type="dxa"/>
                  </w:tcPr>
                  <w:p>
                    <w:pPr>
                      <w:rPr>
                        <w:szCs w:val="21"/>
                      </w:rPr>
                    </w:pPr>
                    <w:r>
                      <w:t>直线法</w:t>
                    </w:r>
                  </w:p>
                </w:tc>
                <w:tc>
                  <w:tcPr>
                    <w:tcW w:w="1833" w:type="dxa"/>
                  </w:tcPr>
                  <w:p>
                    <w:pPr>
                      <w:rPr>
                        <w:szCs w:val="21"/>
                      </w:rPr>
                    </w:pPr>
                    <w:r>
                      <w:t>30—40</w:t>
                    </w:r>
                  </w:p>
                </w:tc>
                <w:tc>
                  <w:tcPr>
                    <w:tcW w:w="1833" w:type="dxa"/>
                  </w:tcPr>
                  <w:p>
                    <w:pPr>
                      <w:rPr>
                        <w:szCs w:val="21"/>
                      </w:rPr>
                    </w:pPr>
                    <w:r>
                      <w:t>0</w:t>
                    </w:r>
                  </w:p>
                </w:tc>
                <w:tc>
                  <w:tcPr>
                    <w:tcW w:w="1833" w:type="dxa"/>
                  </w:tcPr>
                  <w:p>
                    <w:pPr>
                      <w:rPr>
                        <w:szCs w:val="21"/>
                      </w:rPr>
                    </w:pPr>
                    <w:r>
                      <w:t>2.5—3.33</w:t>
                    </w:r>
                  </w:p>
                </w:tc>
              </w:tr>
            </w:sdtContent>
          </w:sdt>
          <w:sdt>
            <w:sdtPr>
              <w:rPr>
                <w:szCs w:val="21"/>
              </w:rPr>
              <w:alias w:val="其他固定资产计价、折旧、减值方法"/>
              <w:tag w:val="_GBC_f1ad6125c5d74d2a98f593d2ba574474"/>
              <w:id w:val="6774183"/>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rPr>
                        <w:szCs w:val="21"/>
                      </w:rPr>
                    </w:pPr>
                    <w:r>
                      <w:t>机器设备</w:t>
                    </w:r>
                  </w:p>
                </w:tc>
                <w:tc>
                  <w:tcPr>
                    <w:tcW w:w="1832" w:type="dxa"/>
                  </w:tcPr>
                  <w:p>
                    <w:pPr>
                      <w:rPr>
                        <w:szCs w:val="21"/>
                      </w:rPr>
                    </w:pPr>
                    <w:r>
                      <w:t>直线法</w:t>
                    </w:r>
                  </w:p>
                </w:tc>
                <w:tc>
                  <w:tcPr>
                    <w:tcW w:w="1833" w:type="dxa"/>
                  </w:tcPr>
                  <w:p>
                    <w:pPr>
                      <w:rPr>
                        <w:szCs w:val="21"/>
                      </w:rPr>
                    </w:pPr>
                    <w:r>
                      <w:t>15</w:t>
                    </w:r>
                  </w:p>
                </w:tc>
                <w:tc>
                  <w:tcPr>
                    <w:tcW w:w="1833" w:type="dxa"/>
                  </w:tcPr>
                  <w:p>
                    <w:pPr>
                      <w:rPr>
                        <w:szCs w:val="21"/>
                      </w:rPr>
                    </w:pPr>
                    <w:r>
                      <w:t>0</w:t>
                    </w:r>
                  </w:p>
                </w:tc>
                <w:tc>
                  <w:tcPr>
                    <w:tcW w:w="1833" w:type="dxa"/>
                  </w:tcPr>
                  <w:p>
                    <w:pPr>
                      <w:rPr>
                        <w:szCs w:val="21"/>
                      </w:rPr>
                    </w:pPr>
                    <w:r>
                      <w:t>6.67</w:t>
                    </w:r>
                  </w:p>
                </w:tc>
              </w:tr>
            </w:sdtContent>
          </w:sdt>
          <w:sdt>
            <w:sdtPr>
              <w:rPr>
                <w:szCs w:val="21"/>
              </w:rPr>
              <w:alias w:val="其他固定资产计价、折旧、减值方法"/>
              <w:tag w:val="_GBC_f1ad6125c5d74d2a98f593d2ba574474"/>
              <w:id w:val="6774184"/>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rPr>
                        <w:szCs w:val="21"/>
                      </w:rPr>
                    </w:pPr>
                    <w:r>
                      <w:t>电子设备</w:t>
                    </w:r>
                  </w:p>
                </w:tc>
                <w:tc>
                  <w:tcPr>
                    <w:tcW w:w="1832" w:type="dxa"/>
                  </w:tcPr>
                  <w:p>
                    <w:pPr>
                      <w:rPr>
                        <w:szCs w:val="21"/>
                      </w:rPr>
                    </w:pPr>
                    <w:r>
                      <w:t>直线法</w:t>
                    </w:r>
                  </w:p>
                </w:tc>
                <w:tc>
                  <w:tcPr>
                    <w:tcW w:w="1833" w:type="dxa"/>
                  </w:tcPr>
                  <w:p>
                    <w:pPr>
                      <w:rPr>
                        <w:szCs w:val="21"/>
                      </w:rPr>
                    </w:pPr>
                    <w:r>
                      <w:t>5</w:t>
                    </w:r>
                  </w:p>
                </w:tc>
                <w:tc>
                  <w:tcPr>
                    <w:tcW w:w="1833" w:type="dxa"/>
                  </w:tcPr>
                  <w:p>
                    <w:pPr>
                      <w:rPr>
                        <w:szCs w:val="21"/>
                      </w:rPr>
                    </w:pPr>
                    <w:r>
                      <w:t>0</w:t>
                    </w:r>
                  </w:p>
                </w:tc>
                <w:tc>
                  <w:tcPr>
                    <w:tcW w:w="1833" w:type="dxa"/>
                  </w:tcPr>
                  <w:p>
                    <w:pPr>
                      <w:rPr>
                        <w:szCs w:val="21"/>
                      </w:rPr>
                    </w:pPr>
                    <w:r>
                      <w:t>20</w:t>
                    </w:r>
                  </w:p>
                </w:tc>
              </w:tr>
            </w:sdtContent>
          </w:sdt>
          <w:sdt>
            <w:sdtPr>
              <w:rPr>
                <w:szCs w:val="21"/>
              </w:rPr>
              <w:alias w:val="其他固定资产计价、折旧、减值方法"/>
              <w:tag w:val="_GBC_f1ad6125c5d74d2a98f593d2ba574474"/>
              <w:id w:val="6774185"/>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rPr>
                        <w:szCs w:val="21"/>
                      </w:rPr>
                    </w:pPr>
                    <w:r>
                      <w:t>运输设备</w:t>
                    </w:r>
                  </w:p>
                </w:tc>
                <w:tc>
                  <w:tcPr>
                    <w:tcW w:w="1832" w:type="dxa"/>
                  </w:tcPr>
                  <w:p>
                    <w:pPr>
                      <w:rPr>
                        <w:szCs w:val="21"/>
                      </w:rPr>
                    </w:pPr>
                    <w:r>
                      <w:t>直线法</w:t>
                    </w:r>
                  </w:p>
                </w:tc>
                <w:tc>
                  <w:tcPr>
                    <w:tcW w:w="1833" w:type="dxa"/>
                  </w:tcPr>
                  <w:p>
                    <w:pPr>
                      <w:rPr>
                        <w:szCs w:val="21"/>
                      </w:rPr>
                    </w:pPr>
                    <w:r>
                      <w:t>5</w:t>
                    </w:r>
                  </w:p>
                </w:tc>
                <w:tc>
                  <w:tcPr>
                    <w:tcW w:w="1833" w:type="dxa"/>
                  </w:tcPr>
                  <w:p>
                    <w:pPr>
                      <w:rPr>
                        <w:szCs w:val="21"/>
                      </w:rPr>
                    </w:pPr>
                    <w:r>
                      <w:t>0</w:t>
                    </w:r>
                  </w:p>
                </w:tc>
                <w:tc>
                  <w:tcPr>
                    <w:tcW w:w="1833" w:type="dxa"/>
                  </w:tcPr>
                  <w:p>
                    <w:pPr>
                      <w:rPr>
                        <w:szCs w:val="21"/>
                      </w:rPr>
                    </w:pPr>
                    <w:r>
                      <w:t>20</w:t>
                    </w:r>
                  </w:p>
                </w:tc>
              </w:tr>
            </w:sdtContent>
          </w:sdt>
        </w:tbl>
        <w:p/>
      </w:sdtContent>
    </w:sdt>
    <w:p>
      <w:pPr>
        <w:rPr>
          <w:szCs w:val="21"/>
        </w:rPr>
      </w:pPr>
    </w:p>
    <w:sdt>
      <w:sdtPr>
        <w:rPr>
          <w:rFonts w:cs="宋体" w:asciiTheme="minorHAnsi" w:hAnsiTheme="minorHAnsi"/>
          <w:b w:val="0"/>
          <w:bCs w:val="0"/>
          <w:kern w:val="0"/>
          <w:szCs w:val="22"/>
        </w:rPr>
        <w:alias w:val="模块:固定资产计价和折旧方法及减值准备的计提方法"/>
        <w:tag w:val="_GBC_a1560089c32f441f92e145c3cdc25289"/>
        <w:id w:val="6774189"/>
        <w:lock w:val="sdtLocked"/>
        <w:placeholder>
          <w:docPart w:val="GBC22222222222222222222222222222"/>
        </w:placeholder>
      </w:sdtPr>
      <w:sdtEndPr>
        <w:rPr>
          <w:rFonts w:hint="eastAsia" w:ascii="Times New Roman" w:hAnsi="Times New Roman" w:cs="Times New Roman"/>
          <w:b w:val="0"/>
          <w:bCs w:val="0"/>
          <w:kern w:val="2"/>
          <w:szCs w:val="24"/>
        </w:rPr>
      </w:sdtEndPr>
      <w:sdtContent>
        <w:p>
          <w:pPr>
            <w:pStyle w:val="5"/>
            <w:numPr>
              <w:ilvl w:val="0"/>
              <w:numId w:val="59"/>
            </w:numPr>
          </w:pPr>
          <w:r>
            <w:rPr>
              <w:rFonts w:hint="eastAsia" w:ascii="宋体" w:hAnsi="宋体"/>
              <w:szCs w:val="21"/>
            </w:rPr>
            <w:t>融资租入固定资产的认定依据、计价和折旧方法</w:t>
          </w:r>
        </w:p>
        <w:sdt>
          <w:sdtPr>
            <w:rPr>
              <w:rFonts w:hint="eastAsia"/>
              <w:szCs w:val="21"/>
            </w:rPr>
            <w:alias w:val="是否适用：融资租入固定资产的认定依据、计价和折旧方法[双击切换]"/>
            <w:tag w:val="_GBC_bd21629c9c534b4fb4447eeb15e0bc7e"/>
            <w:id w:val="6774187"/>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固定资产计价和折旧方法及减值准备的计提方法"/>
            <w:tag w:val="_GBC_42d68e0aaa744ab7aaa46e6c7964e66f"/>
            <w:id w:val="6774188"/>
            <w:lock w:val="sdtLocked"/>
            <w:placeholder>
              <w:docPart w:val="GBC22222222222222222222222222222"/>
            </w:placeholder>
          </w:sdtPr>
          <w:sdtEndPr>
            <w:rPr>
              <w:rFonts w:hint="eastAsia"/>
              <w:szCs w:val="21"/>
            </w:rPr>
          </w:sdtEndPr>
          <w:sdtContent>
            <w:p>
              <w:pPr>
                <w:rPr>
                  <w:szCs w:val="21"/>
                </w:rPr>
              </w:pPr>
              <w:r>
                <w:rPr>
                  <w:rFonts w:hint="eastAsia"/>
                  <w:szCs w:val="21"/>
                </w:rPr>
                <w:t>融资租入固定资产的认定依据为实质上转移了与资产所有权有关的全部风险和报酬的租赁。公司在承租开始日，将租赁资产公允价值与最低租赁付款额现值两者中较低者作为租入资产的入账价值，将最低租赁付款额作为长期应付款的入账价值，其差额作为未确认的融资费用。</w:t>
              </w:r>
              <w:r>
                <w:rPr>
                  <w:szCs w:val="21"/>
                </w:rPr>
                <w:t xml:space="preserve"> 公司采用实际利率法对未确认的融资费用，在资产租赁期间内摊销，计入财务费用。</w:t>
              </w:r>
            </w:p>
          </w:sdtContent>
        </w:sdt>
        <w:p>
          <w:pPr>
            <w:rPr>
              <w:szCs w:val="21"/>
            </w:rPr>
          </w:pPr>
        </w:p>
      </w:sdtContent>
    </w:sdt>
    <w:sdt>
      <w:sdtPr>
        <w:rPr>
          <w:rFonts w:ascii="宋体" w:hAnsi="宋体" w:cs="宋体"/>
          <w:b w:val="0"/>
          <w:bCs w:val="0"/>
          <w:kern w:val="0"/>
          <w:szCs w:val="24"/>
        </w:rPr>
        <w:alias w:val="模块:在建工程会计处理方法"/>
        <w:tag w:val="_GBC_3eb5f960df3e47f0a4bf3af0bc67ca96"/>
        <w:id w:val="6774192"/>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57"/>
            </w:numPr>
          </w:pPr>
          <w:r>
            <w:t>在建工程</w:t>
          </w:r>
        </w:p>
        <w:sdt>
          <w:sdtPr>
            <w:rPr>
              <w:rFonts w:hint="eastAsia"/>
              <w:szCs w:val="21"/>
            </w:rPr>
            <w:alias w:val="是否适用：在建工程_重要会计政策和估计[双击切换]"/>
            <w:tag w:val="_GBC_00730441e5ea4f57b3cd3ff1ecc5c1bd"/>
            <w:id w:val="6774190"/>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6774191"/>
            <w:lock w:val="sdtLocked"/>
            <w:placeholder>
              <w:docPart w:val="GBC22222222222222222222222222222"/>
            </w:placeholder>
          </w:sdtPr>
          <w:sdtEndPr>
            <w:rPr>
              <w:rFonts w:hint="eastAsia"/>
              <w:szCs w:val="21"/>
            </w:rPr>
          </w:sdtEndPr>
          <w:sdtContent>
            <w:p>
              <w:pPr>
                <w:rPr>
                  <w:szCs w:val="21"/>
                </w:rPr>
              </w:pPr>
              <w:r>
                <w:rPr>
                  <w:rFonts w:hint="eastAsia"/>
                  <w:szCs w:val="21"/>
                </w:rPr>
                <w:t>本公司在建工程成本按实际工程支出确定，包括在建期间发生的各项必要工程支出、工程达到预定可使用状态前的应予资本化的借款费用以及其他相关费用等。</w:t>
              </w:r>
            </w:p>
            <w:p>
              <w:pPr>
                <w:rPr>
                  <w:szCs w:val="21"/>
                </w:rPr>
              </w:pPr>
              <w:r>
                <w:rPr>
                  <w:rFonts w:hint="eastAsia"/>
                  <w:szCs w:val="21"/>
                </w:rPr>
                <w:t>在建工程在达到预定可使用状态时转入固定资产。</w:t>
              </w:r>
            </w:p>
          </w:sdtContent>
        </w:sdt>
      </w:sdtContent>
    </w:sdt>
    <w:p>
      <w:pPr>
        <w:rPr>
          <w:szCs w:val="21"/>
        </w:rPr>
      </w:pPr>
    </w:p>
    <w:sdt>
      <w:sdtPr>
        <w:rPr>
          <w:rFonts w:cs="宋体" w:asciiTheme="minorHAnsi" w:hAnsiTheme="minorHAnsi"/>
          <w:b w:val="0"/>
          <w:bCs w:val="0"/>
          <w:kern w:val="0"/>
          <w:szCs w:val="22"/>
        </w:rPr>
        <w:alias w:val="模块:借款费用会计处理方法"/>
        <w:tag w:val="_GBC_e3e4d07ea08d4589a9293563ea655b42"/>
        <w:id w:val="6774195"/>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7"/>
            </w:numPr>
          </w:pPr>
          <w:r>
            <w:t>借款费用</w:t>
          </w:r>
        </w:p>
        <w:sdt>
          <w:sdtPr>
            <w:rPr>
              <w:rFonts w:hint="eastAsia"/>
              <w:szCs w:val="21"/>
            </w:rPr>
            <w:alias w:val="是否适用：借款费用_重要会计政策和估计[双击切换]"/>
            <w:tag w:val="_GBC_84ea3b60fd54474487b81f25f176d989"/>
            <w:id w:val="677419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6774194"/>
            <w:lock w:val="sdtLocked"/>
            <w:placeholder>
              <w:docPart w:val="GBC22222222222222222222222222222"/>
            </w:placeholder>
          </w:sdtPr>
          <w:sdtEndPr>
            <w:rPr>
              <w:rFonts w:hint="eastAsia"/>
              <w:szCs w:val="21"/>
            </w:rPr>
          </w:sdtEndPr>
          <w:sdtContent>
            <w:p>
              <w:pPr>
                <w:rPr>
                  <w:szCs w:val="21"/>
                </w:rPr>
              </w:pPr>
              <w:r>
                <w:rPr>
                  <w:rFonts w:hint="eastAsia"/>
                  <w:szCs w:val="21"/>
                </w:rPr>
                <w:t>（</w:t>
              </w:r>
              <w:r>
                <w:rPr>
                  <w:szCs w:val="21"/>
                </w:rPr>
                <w:t>1）借款费用资本化的确认原则</w:t>
              </w:r>
            </w:p>
            <w:p>
              <w:pPr>
                <w:rPr>
                  <w:szCs w:val="21"/>
                </w:rPr>
              </w:pPr>
              <w:r>
                <w:rPr>
                  <w:rFonts w:hint="eastAsia"/>
                  <w:szCs w:val="21"/>
                </w:rPr>
                <w:t>本公司发生的借款费用，可直接归属于符合资本化条件的资产的购建或者生产的，予以资本化，计入相关资产成本；其他借款费用，在发生时根据其发生额确认为费用，计入当期损益。借款费用同时满足下列条件的，开始资本化：</w:t>
              </w:r>
            </w:p>
            <w:p>
              <w:pPr>
                <w:rPr>
                  <w:szCs w:val="21"/>
                </w:rPr>
              </w:pPr>
              <w:r>
                <w:rPr>
                  <w:szCs w:val="21"/>
                </w:rPr>
                <w:t xml:space="preserve">  ① 资产支出已经发生，资产支出包括为购建或者生产符合资本化条件的资产而以支付现金、转移非现金资产或者承担带息债务形式发生的支出；</w:t>
              </w:r>
            </w:p>
            <w:p>
              <w:pPr>
                <w:rPr>
                  <w:szCs w:val="21"/>
                </w:rPr>
              </w:pPr>
              <w:r>
                <w:rPr>
                  <w:szCs w:val="21"/>
                </w:rPr>
                <w:t xml:space="preserve"> ② 借款费用已经发生；</w:t>
              </w:r>
            </w:p>
            <w:p>
              <w:pPr>
                <w:rPr>
                  <w:szCs w:val="21"/>
                </w:rPr>
              </w:pPr>
              <w:r>
                <w:rPr>
                  <w:rFonts w:hint="eastAsia"/>
                  <w:szCs w:val="21"/>
                </w:rPr>
                <w:t>③</w:t>
              </w:r>
              <w:r>
                <w:rPr>
                  <w:szCs w:val="21"/>
                </w:rPr>
                <w:t xml:space="preserve"> 为使资产达到预定可使用或者可销售状态所必要的购建或者生产活动已经开始。</w:t>
              </w:r>
            </w:p>
            <w:p>
              <w:pPr>
                <w:rPr>
                  <w:szCs w:val="21"/>
                </w:rPr>
              </w:pPr>
              <w:r>
                <w:rPr>
                  <w:szCs w:val="21"/>
                </w:rPr>
                <w:t xml:space="preserve"> （2）借款费用资本化期间</w:t>
              </w:r>
            </w:p>
            <w:p>
              <w:pPr>
                <w:rPr>
                  <w:szCs w:val="21"/>
                </w:rPr>
              </w:pPr>
              <w:r>
                <w:rPr>
                  <w:szCs w:val="21"/>
                </w:rPr>
                <w:t xml:space="preserve"> 本公司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p>
            <w:p>
              <w:pPr>
                <w:rPr>
                  <w:szCs w:val="21"/>
                </w:rPr>
              </w:pPr>
              <w:r>
                <w:rPr>
                  <w:rFonts w:hint="eastAsia"/>
                  <w:szCs w:val="21"/>
                </w:rPr>
                <w:t>符合资本化条件的资产在购建或者生产过程中发生非正常中断、且中断时间连续超过</w:t>
              </w:r>
              <w:r>
                <w:rPr>
                  <w:szCs w:val="21"/>
                </w:rPr>
                <w:t>3个月的，暂停借款费用的资本化；正常中断期间的借款费用继续资本化。</w:t>
              </w:r>
            </w:p>
            <w:p>
              <w:pPr>
                <w:rPr>
                  <w:rFonts w:cs="Times New Roman"/>
                  <w:kern w:val="2"/>
                  <w:szCs w:val="21"/>
                </w:rPr>
              </w:pPr>
              <w:r>
                <w:rPr>
                  <w:rFonts w:hint="eastAsia"/>
                  <w:szCs w:val="21"/>
                </w:rPr>
                <w:t>专门借款当期实际发生的利息费用，减去将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加权平均利率计算确定。</w:t>
              </w:r>
            </w:p>
          </w:sdtContent>
        </w:sdt>
      </w:sdtContent>
    </w:sdt>
    <w:p>
      <w:pPr>
        <w:rPr>
          <w:szCs w:val="21"/>
        </w:rPr>
      </w:pPr>
    </w:p>
    <w:sdt>
      <w:sdtPr>
        <w:rPr>
          <w:rFonts w:cs="宋体" w:asciiTheme="minorHAnsi" w:hAnsiTheme="minorHAnsi"/>
          <w:b w:val="0"/>
          <w:bCs w:val="0"/>
          <w:kern w:val="0"/>
          <w:szCs w:val="22"/>
        </w:rPr>
        <w:alias w:val="模块:生物资产会计处理方法"/>
        <w:tag w:val="_GBC_0b83f813710f436286429917c8c39567"/>
        <w:id w:val="6774197"/>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7"/>
            </w:numPr>
          </w:pPr>
          <w:r>
            <w:t>生物资产</w:t>
          </w:r>
        </w:p>
        <w:sdt>
          <w:sdtPr>
            <w:rPr>
              <w:rFonts w:hint="eastAsia"/>
              <w:szCs w:val="21"/>
            </w:rPr>
            <w:alias w:val="是否适用：生物资产_重要会计政策和估计[双击切换]"/>
            <w:tag w:val="_GBC_f511e8d0a6dc417eb1d10eeecb5b05a5"/>
            <w:id w:val="6774196"/>
            <w:lock w:val="sdtContentLocked"/>
            <w:placeholder>
              <w:docPart w:val="GBC22222222222222222222222222222"/>
            </w:placeholder>
          </w:sdtPr>
          <w:sdtEndPr>
            <w:rPr>
              <w:rFonts w:hint="eastAsia"/>
              <w:szCs w:val="21"/>
            </w:rPr>
          </w:sdtEndPr>
          <w:sdtContent>
            <w:p>
              <w:pPr>
                <w:rPr>
                  <w:rFonts w:cs="Times New Roman"/>
                  <w:kern w:val="2"/>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cs="宋体" w:asciiTheme="minorHAnsi" w:hAnsiTheme="minorHAnsi"/>
          <w:b w:val="0"/>
          <w:bCs w:val="0"/>
          <w:kern w:val="0"/>
          <w:szCs w:val="22"/>
        </w:rPr>
        <w:alias w:val="模块:油气资产会计处理方法"/>
        <w:tag w:val="_GBC_ed738d1d51d04aad8efd3fb3e88bf021"/>
        <w:id w:val="6774199"/>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7"/>
            </w:numPr>
          </w:pPr>
          <w:r>
            <w:t>油气资产</w:t>
          </w:r>
        </w:p>
        <w:sdt>
          <w:sdtPr>
            <w:rPr>
              <w:rFonts w:hint="eastAsia"/>
              <w:szCs w:val="21"/>
            </w:rPr>
            <w:alias w:val="是否适用：油气资产_重要会计政策和估计[双击切换]"/>
            <w:tag w:val="_GBC_fb60dd1d8d2346fb9b2e461875c070c9"/>
            <w:id w:val="6774198"/>
            <w:lock w:val="sdtContentLocked"/>
            <w:placeholder>
              <w:docPart w:val="GBC22222222222222222222222222222"/>
            </w:placeholder>
          </w:sdtPr>
          <w:sdtEndPr>
            <w:rPr>
              <w:rFonts w:hint="eastAsia"/>
              <w:szCs w:val="21"/>
            </w:rPr>
          </w:sdtEndPr>
          <w:sdtContent>
            <w:p>
              <w:pPr>
                <w:rPr>
                  <w:rFonts w:cs="Times New Roman"/>
                  <w:kern w:val="2"/>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cs="宋体" w:asciiTheme="minorHAnsi" w:hAnsiTheme="minorHAnsi"/>
          <w:b w:val="0"/>
          <w:bCs w:val="0"/>
          <w:kern w:val="0"/>
          <w:szCs w:val="22"/>
        </w:rPr>
        <w:alias w:val="模块:无形资产会计处理方法"/>
        <w:tag w:val="_GBC_0a8b293ff9e94173b2e385f4ef2a8c89"/>
        <w:id w:val="6774204"/>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7"/>
            </w:numPr>
          </w:pPr>
          <w:r>
            <w:t>无形资产</w:t>
          </w:r>
        </w:p>
        <w:p>
          <w:pPr>
            <w:pStyle w:val="5"/>
            <w:numPr>
              <w:ilvl w:val="3"/>
              <w:numId w:val="60"/>
            </w:numPr>
            <w:tabs>
              <w:tab w:val="left" w:pos="448"/>
            </w:tabs>
          </w:pPr>
          <w:r>
            <w:rPr>
              <w:rFonts w:hint="eastAsia"/>
            </w:rPr>
            <w:t>计价方法、使用寿命、减值测试</w:t>
          </w:r>
        </w:p>
        <w:sdt>
          <w:sdtPr>
            <w:alias w:val="是否适用：无形资产计价方法、使用寿命、减值测试[双击切换]"/>
            <w:tag w:val="_GBC_40df8c87b47d48bbbf73a71cc533a892"/>
            <w:id w:val="677420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6774201"/>
            <w:lock w:val="sdtLocked"/>
            <w:placeholder>
              <w:docPart w:val="GBC22222222222222222222222222222"/>
            </w:placeholder>
          </w:sdtPr>
          <w:sdtEndPr>
            <w:rPr>
              <w:szCs w:val="21"/>
            </w:rPr>
          </w:sdtEndPr>
          <w:sdtContent>
            <w:p>
              <w:pPr>
                <w:rPr>
                  <w:szCs w:val="21"/>
                </w:rPr>
              </w:pPr>
              <w:r>
                <w:rPr>
                  <w:rFonts w:hint="eastAsia"/>
                  <w:szCs w:val="21"/>
                </w:rPr>
                <w:t>无形资产按照取得成本进行初始计量。对使用寿命有限的无形资产，在受益期内平均摊销。每年度末，对其使用寿命进行复核，若与以前估计不同的，改变摊销期限。</w:t>
              </w:r>
            </w:p>
            <w:p>
              <w:pPr>
                <w:rPr>
                  <w:szCs w:val="21"/>
                </w:rPr>
              </w:pPr>
              <w:r>
                <w:rPr>
                  <w:rFonts w:hint="eastAsia"/>
                  <w:szCs w:val="21"/>
                </w:rPr>
                <w:t>对使用寿命不确定的无形资产不摊销。</w:t>
              </w:r>
            </w:p>
            <w:p>
              <w:pPr>
                <w:rPr>
                  <w:szCs w:val="21"/>
                </w:rPr>
              </w:pPr>
              <w:r>
                <w:rPr>
                  <w:rFonts w:hint="eastAsia"/>
                  <w:szCs w:val="21"/>
                </w:rPr>
                <w:t>年末对无形资产逐项进行检查，如果其可收回金额低于账面价值，则按单项无形资产可收回金额低于其账面价值的差额，计提无形资产减值准备。无形资产减值准备一经计提，不予转回。</w:t>
              </w:r>
            </w:p>
          </w:sdtContent>
        </w:sdt>
        <w:p>
          <w:pPr>
            <w:rPr>
              <w:szCs w:val="21"/>
            </w:rPr>
          </w:pPr>
        </w:p>
        <w:p>
          <w:pPr>
            <w:pStyle w:val="5"/>
            <w:numPr>
              <w:ilvl w:val="3"/>
              <w:numId w:val="60"/>
            </w:numPr>
            <w:tabs>
              <w:tab w:val="left" w:pos="448"/>
            </w:tabs>
          </w:pPr>
          <w:r>
            <w:rPr>
              <w:rFonts w:hint="eastAsia"/>
            </w:rPr>
            <w:t>内部研究开发支出会计政策</w:t>
          </w:r>
        </w:p>
        <w:sdt>
          <w:sdtPr>
            <w:alias w:val="是否适用：无形资产内部研究开发支出会计政策[双击切换]"/>
            <w:tag w:val="_GBC_8f6b939ea36a42808f60b7c024994f2b"/>
            <w:id w:val="677420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内部研究、开发支出会计政策"/>
            <w:tag w:val="_GBC_af7b1338d88344dfb8cd34ed66bfe672"/>
            <w:id w:val="6774203"/>
            <w:lock w:val="sdtLocked"/>
            <w:placeholder>
              <w:docPart w:val="GBC22222222222222222222222222222"/>
            </w:placeholder>
          </w:sdtPr>
          <w:sdtEndPr>
            <w:rPr>
              <w:szCs w:val="21"/>
            </w:rPr>
          </w:sdtEndPr>
          <w:sdtContent>
            <w:p>
              <w:pPr>
                <w:rPr>
                  <w:szCs w:val="21"/>
                </w:rPr>
              </w:pPr>
              <w:r>
                <w:rPr>
                  <w:rFonts w:hint="eastAsia"/>
                  <w:szCs w:val="21"/>
                </w:rPr>
                <w:t>本公司将内部研究开发项目的支出，区分为研究阶段支出和开发阶段支出。</w:t>
              </w:r>
            </w:p>
            <w:p>
              <w:pPr>
                <w:rPr>
                  <w:szCs w:val="21"/>
                </w:rPr>
              </w:pPr>
              <w:r>
                <w:rPr>
                  <w:rFonts w:hint="eastAsia"/>
                  <w:szCs w:val="21"/>
                </w:rPr>
                <w:t>研究阶段的支出，于发生时计入当期损益。</w:t>
              </w:r>
            </w:p>
            <w:p>
              <w:pPr>
                <w:rPr>
                  <w:szCs w:val="21"/>
                </w:rPr>
              </w:pPr>
              <w:r>
                <w:rPr>
                  <w:rFonts w:hint="eastAsia"/>
                  <w:szCs w:val="21"/>
                </w:rPr>
                <w:t>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pPr>
                <w:rPr>
                  <w:szCs w:val="21"/>
                </w:rPr>
              </w:pPr>
              <w:r>
                <w:rPr>
                  <w:rFonts w:hint="eastAsia"/>
                  <w:szCs w:val="21"/>
                </w:rPr>
                <w:t>本公司研究开发项目在满足上述条件，通过技术可行性及经济可行性研究，形成项目立项后，进入开发阶段。</w:t>
              </w:r>
            </w:p>
            <w:p>
              <w:pPr>
                <w:rPr>
                  <w:szCs w:val="21"/>
                </w:rPr>
              </w:pPr>
              <w:r>
                <w:rPr>
                  <w:rFonts w:hint="eastAsia"/>
                  <w:szCs w:val="21"/>
                </w:rPr>
                <w:t>已资本化的开发阶段的支出在资产负债表上列示为开发支出，自该项目达到预定可使用状态之日转为无形资产</w:t>
              </w:r>
            </w:p>
          </w:sdtContent>
        </w:sdt>
        <w:p>
          <w:pPr>
            <w:rPr>
              <w:szCs w:val="21"/>
            </w:rPr>
          </w:pPr>
        </w:p>
      </w:sdtContent>
    </w:sdt>
    <w:sdt>
      <w:sdtPr>
        <w:rPr>
          <w:rFonts w:hint="eastAsia" w:ascii="宋体" w:hAnsi="宋体" w:cs="宋体"/>
          <w:b w:val="0"/>
          <w:bCs w:val="0"/>
          <w:kern w:val="0"/>
          <w:szCs w:val="21"/>
        </w:rPr>
        <w:alias w:val="模块:非金融长期资产减值"/>
        <w:tag w:val="_GBC_da2f3f0531094e5e9dcd987c45223bec"/>
        <w:id w:val="6774207"/>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57"/>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6774205"/>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6774206"/>
            <w:lock w:val="sdtLocked"/>
            <w:placeholder>
              <w:docPart w:val="GBC22222222222222222222222222222"/>
            </w:placeholder>
          </w:sdtPr>
          <w:sdtEndPr>
            <w:rPr>
              <w:rFonts w:hint="eastAsia"/>
              <w:szCs w:val="21"/>
            </w:rPr>
          </w:sdtEndPr>
          <w:sdtContent>
            <w:p>
              <w:pPr>
                <w:rPr>
                  <w:szCs w:val="21"/>
                </w:rPr>
              </w:pPr>
              <w:r>
                <w:rPr>
                  <w:rFonts w:hint="eastAsia"/>
                  <w:szCs w:val="21"/>
                </w:rPr>
                <w:t>本公司于资产负债表日判断资产是否存在可能发生减值的迹象，存在减值迹象的，本公司将估计其可收回金额，进行减值测试。</w:t>
              </w:r>
            </w:p>
            <w:p>
              <w:pPr>
                <w:rPr>
                  <w:szCs w:val="21"/>
                </w:rPr>
              </w:pPr>
              <w:r>
                <w:rPr>
                  <w:rFonts w:hint="eastAsia"/>
                  <w:szCs w:val="21"/>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pPr>
                <w:rPr>
                  <w:szCs w:val="21"/>
                </w:rPr>
              </w:pPr>
              <w:r>
                <w:rPr>
                  <w:rFonts w:hint="eastAsia"/>
                  <w:szCs w:val="21"/>
                </w:rPr>
                <w:t>当资产或资产组的可收回金额低于其账面价值时，本公司将其账面价值减记至可收回金额，减记的金额计入当期损益，同时计提相应的资产减值准备。</w:t>
              </w:r>
            </w:p>
            <w:p>
              <w:pPr>
                <w:rPr>
                  <w:szCs w:val="21"/>
                </w:rPr>
              </w:pPr>
              <w:r>
                <w:rPr>
                  <w:rFonts w:hint="eastAsia"/>
                  <w:szCs w:val="21"/>
                </w:rPr>
                <w:t>资产减值损失一经确认，在以后会计期间不再转回。</w:t>
              </w:r>
            </w:p>
          </w:sdtContent>
        </w:sdt>
        <w:p>
          <w:pPr>
            <w:rPr>
              <w:szCs w:val="21"/>
            </w:rPr>
          </w:pPr>
        </w:p>
      </w:sdtContent>
    </w:sdt>
    <w:sdt>
      <w:sdtPr>
        <w:rPr>
          <w:rFonts w:cs="宋体" w:asciiTheme="minorHAnsi" w:hAnsiTheme="minorHAnsi"/>
          <w:b w:val="0"/>
          <w:bCs w:val="0"/>
          <w:kern w:val="0"/>
          <w:szCs w:val="22"/>
        </w:rPr>
        <w:alias w:val="模块:长期待摊费用会计处理方法"/>
        <w:tag w:val="_GBC_fffe6f948ebb468ba812d16acce5c0b9"/>
        <w:id w:val="6774209"/>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7"/>
            </w:numPr>
          </w:pPr>
          <w:r>
            <w:t>长期待摊费用</w:t>
          </w:r>
        </w:p>
        <w:sdt>
          <w:sdtPr>
            <w:rPr>
              <w:rFonts w:hint="eastAsia"/>
              <w:szCs w:val="21"/>
            </w:rPr>
            <w:alias w:val="是否适用：长期待摊费用_重要会计政策和估计[双击切换]"/>
            <w:tag w:val="_GBC_5f2bbee5e66644d489f8d74ae8f96539"/>
            <w:id w:val="6774208"/>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hint="eastAsia" w:asciiTheme="minorHAnsi" w:hAnsiTheme="minorHAnsi" w:cstheme="minorBidi"/>
          <w:b w:val="0"/>
          <w:bCs w:val="0"/>
          <w:kern w:val="0"/>
          <w:szCs w:val="22"/>
        </w:rPr>
        <w:alias w:val="模块:职工薪酬"/>
        <w:tag w:val="_GBC_8ec8855eb4d5447ab785e4bd4b0b73aa"/>
        <w:id w:val="6774218"/>
        <w:lock w:val="sdtLocked"/>
        <w:placeholder>
          <w:docPart w:val="GBC22222222222222222222222222222"/>
        </w:placeholder>
      </w:sdtPr>
      <w:sdtEndPr>
        <w:rPr>
          <w:rFonts w:hint="eastAsia" w:ascii="宋体" w:hAnsi="宋体" w:cs="Times New Roman"/>
          <w:b w:val="0"/>
          <w:bCs w:val="0"/>
          <w:kern w:val="0"/>
          <w:szCs w:val="21"/>
        </w:rPr>
      </w:sdtEndPr>
      <w:sdtContent>
        <w:p>
          <w:pPr>
            <w:pStyle w:val="4"/>
            <w:numPr>
              <w:ilvl w:val="0"/>
              <w:numId w:val="57"/>
            </w:numPr>
          </w:pPr>
          <w:r>
            <w:rPr>
              <w:rFonts w:hint="eastAsia"/>
            </w:rPr>
            <w:t>职工薪酬</w:t>
          </w:r>
        </w:p>
        <w:p>
          <w:pPr>
            <w:pStyle w:val="5"/>
            <w:numPr>
              <w:ilvl w:val="0"/>
              <w:numId w:val="61"/>
            </w:numPr>
          </w:pPr>
          <w:r>
            <w:rPr>
              <w:rFonts w:hint="eastAsia"/>
            </w:rPr>
            <w:t>短期薪酬的会计处理方法</w:t>
          </w:r>
        </w:p>
        <w:sdt>
          <w:sdtPr>
            <w:rPr>
              <w:rFonts w:hint="eastAsia"/>
              <w:szCs w:val="21"/>
            </w:rPr>
            <w:alias w:val="是否适用：短期薪酬的会计处理方法[双击切换]"/>
            <w:tag w:val="_GBC_efadddc5ff4a48fb9432574c3528c6b3"/>
            <w:id w:val="6774210"/>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6774211"/>
            <w:lock w:val="sdtLocked"/>
            <w:placeholder>
              <w:docPart w:val="GBC22222222222222222222222222222"/>
            </w:placeholder>
          </w:sdtPr>
          <w:sdtEndPr>
            <w:rPr>
              <w:szCs w:val="21"/>
            </w:rPr>
          </w:sdtEndPr>
          <w:sdtContent>
            <w:p>
              <w:pPr>
                <w:rPr>
                  <w:szCs w:val="21"/>
                </w:rPr>
              </w:pPr>
              <w:r>
                <w:rPr>
                  <w:rFonts w:hint="eastAsia"/>
                  <w:szCs w:val="21"/>
                </w:rPr>
                <w:t>在职工为本公司提供服务的会计期间，将实际发生的短期薪酬确认为负债，并计入当期损益，其他会计准则要求或允许计入资产成本的除外。本公司发生的职工福利费，在实际发生时根据实际发生额计入当期损益或相关资产成本。职工福利费为非货币性福利的，按照公允价值计量。企业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pPr>
            <w:rPr>
              <w:szCs w:val="21"/>
            </w:rPr>
          </w:pPr>
        </w:p>
        <w:p>
          <w:pPr>
            <w:pStyle w:val="5"/>
            <w:numPr>
              <w:ilvl w:val="0"/>
              <w:numId w:val="61"/>
            </w:numPr>
          </w:pPr>
          <w:r>
            <w:rPr>
              <w:rFonts w:hint="eastAsia"/>
            </w:rPr>
            <w:t>离职后福利的会计处理方法</w:t>
          </w:r>
        </w:p>
        <w:sdt>
          <w:sdtPr>
            <w:rPr>
              <w:rFonts w:hint="eastAsia"/>
              <w:szCs w:val="21"/>
            </w:rPr>
            <w:alias w:val="是否适用：离职后福利的会计处理方法[双击切换]"/>
            <w:tag w:val="_GBC_64248844b1544474ae8d85d08e7479af"/>
            <w:id w:val="677421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6774213"/>
            <w:lock w:val="sdtLocked"/>
            <w:placeholder>
              <w:docPart w:val="GBC22222222222222222222222222222"/>
            </w:placeholder>
          </w:sdtPr>
          <w:sdtEndPr>
            <w:rPr>
              <w:szCs w:val="21"/>
            </w:rPr>
          </w:sdtEndPr>
          <w:sdtContent>
            <w:p>
              <w:pPr>
                <w:rPr>
                  <w:szCs w:val="21"/>
                </w:rPr>
              </w:pPr>
              <w:r>
                <w:rPr>
                  <w:rFonts w:hint="eastAsia"/>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pPr>
            <w:rPr>
              <w:szCs w:val="21"/>
            </w:rPr>
          </w:pPr>
        </w:p>
        <w:p>
          <w:pPr>
            <w:pStyle w:val="5"/>
            <w:numPr>
              <w:ilvl w:val="0"/>
              <w:numId w:val="61"/>
            </w:numPr>
          </w:pPr>
          <w:r>
            <w:rPr>
              <w:rFonts w:hint="eastAsia"/>
            </w:rPr>
            <w:t>辞退福利的会计处理方法</w:t>
          </w:r>
        </w:p>
        <w:sdt>
          <w:sdtPr>
            <w:rPr>
              <w:rFonts w:hint="eastAsia"/>
              <w:szCs w:val="21"/>
            </w:rPr>
            <w:alias w:val="是否适用：辞退福利的会计处理方法[双击切换]"/>
            <w:tag w:val="_GBC_7a3bf6905df64c658fb0148a81f2964d"/>
            <w:id w:val="6774214"/>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6774215"/>
            <w:lock w:val="sdtLocked"/>
            <w:placeholder>
              <w:docPart w:val="GBC22222222222222222222222222222"/>
            </w:placeholder>
          </w:sdtPr>
          <w:sdtEndPr>
            <w:rPr>
              <w:szCs w:val="21"/>
            </w:rPr>
          </w:sdtEndPr>
          <w:sdtContent>
            <w:p>
              <w:pPr>
                <w:rPr>
                  <w:szCs w:val="21"/>
                </w:rPr>
              </w:pPr>
              <w:r>
                <w:rPr>
                  <w:rFonts w:hint="eastAsia"/>
                  <w:szCs w:val="21"/>
                </w:rPr>
                <w:t>企业向职工提供辞退福利时，在下列两者孰早日确认辞退福利产生的职工薪酬负债，并计入当期损益：企业不能单方面撤回因解除劳动关系计划或裁减建议所提供的辞退福利时；企业确认与涉及支付辞退福利的重组相关的成本或费用时。</w:t>
              </w:r>
            </w:p>
          </w:sdtContent>
        </w:sdt>
        <w:p>
          <w:pPr>
            <w:rPr>
              <w:szCs w:val="21"/>
            </w:rPr>
          </w:pPr>
        </w:p>
        <w:p>
          <w:pPr>
            <w:pStyle w:val="5"/>
            <w:numPr>
              <w:ilvl w:val="0"/>
              <w:numId w:val="61"/>
            </w:numPr>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677421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6774217"/>
            <w:lock w:val="sdtLocked"/>
            <w:placeholder>
              <w:docPart w:val="GBC22222222222222222222222222222"/>
            </w:placeholder>
          </w:sdtPr>
          <w:sdtEndPr>
            <w:rPr>
              <w:szCs w:val="21"/>
            </w:rPr>
          </w:sdtEndPr>
          <w:sdtContent>
            <w:p>
              <w:pPr>
                <w:rPr>
                  <w:szCs w:val="21"/>
                </w:rPr>
              </w:pPr>
              <w:r>
                <w:rPr>
                  <w:rFonts w:hint="eastAsia"/>
                  <w:szCs w:val="21"/>
                </w:rPr>
                <w:t>本公司向职工提供的其他长期职工福利，符合设定提存计划条件的，应当有关设定提存计划的规定进行处理；除此外，根据设定受益计划的有关规定，确认和计量其他长期职工福利净负债或净资产。</w:t>
              </w:r>
            </w:p>
          </w:sdtContent>
        </w:sdt>
        <w:p>
          <w:pPr>
            <w:rPr>
              <w:rFonts w:cs="Times New Roman"/>
              <w:szCs w:val="21"/>
            </w:rPr>
          </w:pPr>
        </w:p>
      </w:sdtContent>
    </w:sdt>
    <w:sdt>
      <w:sdtPr>
        <w:rPr>
          <w:rFonts w:ascii="宋体" w:hAnsi="宋体" w:cs="宋体"/>
          <w:b w:val="0"/>
          <w:bCs w:val="0"/>
          <w:kern w:val="0"/>
          <w:szCs w:val="24"/>
        </w:rPr>
        <w:alias w:val="模块:预计负债会计处理方法"/>
        <w:tag w:val="_GBC_b5b71a4d3cc1425c80f55e751e7e18c2"/>
        <w:id w:val="6774221"/>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57"/>
            </w:numPr>
          </w:pPr>
          <w:r>
            <w:t>预计负债</w:t>
          </w:r>
        </w:p>
        <w:sdt>
          <w:sdtPr>
            <w:rPr>
              <w:rFonts w:hint="eastAsia"/>
              <w:szCs w:val="21"/>
            </w:rPr>
            <w:alias w:val="是否适用：预计负债_重要会计政策和估计[双击切换]"/>
            <w:tag w:val="_GBC_546a7423773c46d2b57f08fc5fdbc638"/>
            <w:id w:val="677421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6774220"/>
            <w:lock w:val="sdtLocked"/>
            <w:placeholder>
              <w:docPart w:val="GBC22222222222222222222222222222"/>
            </w:placeholder>
          </w:sdtPr>
          <w:sdtEndPr>
            <w:rPr>
              <w:rFonts w:hint="eastAsia"/>
              <w:szCs w:val="21"/>
            </w:rPr>
          </w:sdtEndPr>
          <w:sdtContent>
            <w:p>
              <w:pPr>
                <w:rPr>
                  <w:szCs w:val="21"/>
                </w:rPr>
              </w:pPr>
              <w:r>
                <w:rPr>
                  <w:rFonts w:hint="eastAsia"/>
                  <w:szCs w:val="21"/>
                </w:rPr>
                <w:t>如果与或有事项相关的义务同时符合以下条件，本公司将其确认为预计负债：</w:t>
              </w:r>
            </w:p>
            <w:p>
              <w:pPr>
                <w:rPr>
                  <w:szCs w:val="21"/>
                </w:rPr>
              </w:pPr>
              <w:r>
                <w:rPr>
                  <w:szCs w:val="21"/>
                </w:rPr>
                <w:t xml:space="preserve">   （1）该义务是本公司承担的现时义务；</w:t>
              </w:r>
            </w:p>
            <w:p>
              <w:pPr>
                <w:rPr>
                  <w:szCs w:val="21"/>
                </w:rPr>
              </w:pPr>
              <w:r>
                <w:rPr>
                  <w:szCs w:val="21"/>
                </w:rPr>
                <w:t xml:space="preserve">   （2）该义务的履行很可能导致经济利益流出本公司；</w:t>
              </w:r>
            </w:p>
            <w:p>
              <w:pPr>
                <w:rPr>
                  <w:szCs w:val="21"/>
                </w:rPr>
              </w:pPr>
              <w:r>
                <w:rPr>
                  <w:szCs w:val="21"/>
                </w:rPr>
                <w:t xml:space="preserve">   （3）该义务的金额能够可靠地计量。</w:t>
              </w:r>
            </w:p>
            <w:p>
              <w:pPr>
                <w:rPr>
                  <w:szCs w:val="21"/>
                </w:rPr>
              </w:pPr>
              <w:r>
                <w:rPr>
                  <w:rFonts w:hint="eastAsia"/>
                  <w:szCs w:val="21"/>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p>
            <w:p>
              <w:pPr>
                <w:rPr>
                  <w:szCs w:val="21"/>
                </w:rPr>
              </w:pPr>
              <w:r>
                <w:rPr>
                  <w:rFonts w:hint="eastAsia"/>
                  <w:szCs w:val="21"/>
                </w:rPr>
                <w:t>如果清偿已确认预计负债所需支出全部或部分预期由第三方或其他方补偿，则补偿金额只能在基本确定能收到时，作为资产单独确认。确认的补偿金额不超过所确认负债的账面价值。</w:t>
              </w:r>
            </w:p>
          </w:sdtContent>
        </w:sdt>
        <w:p>
          <w:pPr>
            <w:rPr>
              <w:szCs w:val="21"/>
            </w:rPr>
          </w:pPr>
        </w:p>
      </w:sdtContent>
    </w:sdt>
    <w:sdt>
      <w:sdtPr>
        <w:rPr>
          <w:rFonts w:hint="eastAsia" w:asciiTheme="minorHAnsi" w:hAnsiTheme="minorHAnsi" w:cstheme="minorBidi"/>
          <w:b w:val="0"/>
          <w:bCs w:val="0"/>
          <w:kern w:val="0"/>
          <w:szCs w:val="22"/>
        </w:rPr>
        <w:alias w:val="模块:股份支付"/>
        <w:tag w:val="_GBC_5300d3ce4b5f4c1690fe13bde0a610e3"/>
        <w:id w:val="6774223"/>
        <w:lock w:val="sdtLocked"/>
        <w:placeholder>
          <w:docPart w:val="GBC22222222222222222222222222222"/>
        </w:placeholder>
      </w:sdtPr>
      <w:sdtEndPr>
        <w:rPr>
          <w:rFonts w:hint="eastAsia" w:ascii="宋体" w:hAnsi="宋体" w:cs="Times New Roman"/>
          <w:b w:val="0"/>
          <w:bCs w:val="0"/>
          <w:kern w:val="0"/>
          <w:szCs w:val="21"/>
        </w:rPr>
      </w:sdtEndPr>
      <w:sdtContent>
        <w:p>
          <w:pPr>
            <w:pStyle w:val="4"/>
            <w:numPr>
              <w:ilvl w:val="0"/>
              <w:numId w:val="57"/>
            </w:numPr>
          </w:pPr>
          <w:r>
            <w:rPr>
              <w:rFonts w:hint="eastAsia"/>
            </w:rPr>
            <w:t>股份支付</w:t>
          </w:r>
        </w:p>
        <w:sdt>
          <w:sdtPr>
            <w:rPr>
              <w:rFonts w:hint="eastAsia"/>
              <w:szCs w:val="21"/>
            </w:rPr>
            <w:alias w:val="是否适用：股份支付_重要会计政策和估计[双击切换]"/>
            <w:tag w:val="_GBC_7741eb89da65434190830ba1cd87e4dc"/>
            <w:id w:val="677422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Theme="minorHAnsi" w:hAnsiTheme="minorHAnsi" w:cstheme="minorBidi"/>
          <w:b w:val="0"/>
          <w:bCs w:val="0"/>
          <w:kern w:val="0"/>
          <w:szCs w:val="22"/>
        </w:rPr>
        <w:alias w:val="模块:优先股、永续债"/>
        <w:tag w:val="_GBC_d3c9524999e647d78f354bb216cfb1aa"/>
        <w:id w:val="6774225"/>
        <w:lock w:val="sdtLocked"/>
        <w:placeholder>
          <w:docPart w:val="GBC22222222222222222222222222222"/>
        </w:placeholder>
      </w:sdtPr>
      <w:sdtEndPr>
        <w:rPr>
          <w:rFonts w:hint="eastAsia" w:ascii="宋体" w:hAnsi="宋体" w:cs="Times New Roman"/>
          <w:b w:val="0"/>
          <w:bCs w:val="0"/>
          <w:kern w:val="0"/>
          <w:szCs w:val="21"/>
        </w:rPr>
      </w:sdtEndPr>
      <w:sdtContent>
        <w:p>
          <w:pPr>
            <w:pStyle w:val="4"/>
            <w:numPr>
              <w:ilvl w:val="0"/>
              <w:numId w:val="57"/>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6774224"/>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cs="宋体" w:asciiTheme="minorHAnsi" w:hAnsiTheme="minorHAnsi"/>
          <w:b w:val="0"/>
          <w:bCs w:val="0"/>
          <w:kern w:val="0"/>
          <w:szCs w:val="22"/>
        </w:rPr>
        <w:alias w:val="模块:收入会计处理方法"/>
        <w:tag w:val="_GBC_19704df9fd714cad895419bf4903f70e"/>
        <w:id w:val="6774228"/>
        <w:lock w:val="sdtLocked"/>
        <w:placeholder>
          <w:docPart w:val="GBC22222222222222222222222222222"/>
        </w:placeholder>
      </w:sdtPr>
      <w:sdtEndPr>
        <w:rPr>
          <w:rFonts w:ascii="宋体" w:hAnsi="宋体" w:cs="Times New Roman"/>
          <w:b w:val="0"/>
          <w:bCs w:val="0"/>
          <w:kern w:val="2"/>
          <w:szCs w:val="21"/>
        </w:rPr>
      </w:sdtEndPr>
      <w:sdtContent>
        <w:p>
          <w:pPr>
            <w:pStyle w:val="4"/>
            <w:numPr>
              <w:ilvl w:val="0"/>
              <w:numId w:val="57"/>
            </w:numPr>
          </w:pPr>
          <w:r>
            <w:t>收入</w:t>
          </w:r>
        </w:p>
        <w:sdt>
          <w:sdtPr>
            <w:rPr>
              <w:rFonts w:hint="eastAsia"/>
              <w:szCs w:val="21"/>
            </w:rPr>
            <w:alias w:val="是否适用：收入_重要会计政策和估计[双击切换]"/>
            <w:tag w:val="_GBC_c9b9a5090b964788a710da0cc599e591"/>
            <w:id w:val="677422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收入确认原则"/>
            <w:tag w:val="_GBC_7930489d04b948768d013ac15783bb2e"/>
            <w:id w:val="6774227"/>
            <w:lock w:val="sdtLocked"/>
            <w:placeholder>
              <w:docPart w:val="GBC22222222222222222222222222222"/>
            </w:placeholder>
          </w:sdtPr>
          <w:sdtEndPr>
            <w:rPr>
              <w:szCs w:val="21"/>
            </w:rPr>
          </w:sdtEndPr>
          <w:sdtContent>
            <w:p>
              <w:pPr>
                <w:rPr>
                  <w:szCs w:val="21"/>
                </w:rPr>
              </w:pPr>
              <w:r>
                <w:rPr>
                  <w:rFonts w:hint="eastAsia"/>
                  <w:szCs w:val="21"/>
                </w:rPr>
                <w:t>（</w:t>
              </w:r>
              <w:r>
                <w:rPr>
                  <w:szCs w:val="21"/>
                </w:rPr>
                <w:t>1）一般原则</w:t>
              </w:r>
            </w:p>
            <w:p>
              <w:pPr>
                <w:rPr>
                  <w:szCs w:val="21"/>
                </w:rPr>
              </w:pPr>
              <w:r>
                <w:rPr>
                  <w:szCs w:val="21"/>
                </w:rPr>
                <w:t xml:space="preserve"> ①销售商品</w:t>
              </w:r>
            </w:p>
            <w:p>
              <w:pPr>
                <w:rPr>
                  <w:szCs w:val="21"/>
                </w:rPr>
              </w:pPr>
              <w:r>
                <w:rPr>
                  <w:szCs w:val="21"/>
                </w:rPr>
                <w:t xml:space="preserve"> 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p>
            <w:p>
              <w:pPr>
                <w:rPr>
                  <w:szCs w:val="21"/>
                </w:rPr>
              </w:pPr>
              <w:r>
                <w:rPr>
                  <w:szCs w:val="21"/>
                </w:rPr>
                <w:t xml:space="preserve"> ②提供劳务</w:t>
              </w:r>
            </w:p>
            <w:p>
              <w:pPr>
                <w:rPr>
                  <w:szCs w:val="21"/>
                </w:rPr>
              </w:pPr>
              <w:r>
                <w:rPr>
                  <w:szCs w:val="21"/>
                </w:rPr>
                <w:t xml:space="preserve"> 对在提供劳务交易的结果能够可靠估计的情况下，本公司于资产负债表日按完工百分比法确认收入。</w:t>
              </w:r>
            </w:p>
            <w:p>
              <w:pPr>
                <w:rPr>
                  <w:szCs w:val="21"/>
                </w:rPr>
              </w:pPr>
              <w:r>
                <w:rPr>
                  <w:rFonts w:hint="eastAsia"/>
                  <w:szCs w:val="21"/>
                </w:rPr>
                <w:t>劳务交易的完工进度按已经提供的劳务占应提供劳务总量的比例确定。</w:t>
              </w:r>
            </w:p>
            <w:p>
              <w:pPr>
                <w:rPr>
                  <w:szCs w:val="21"/>
                </w:rPr>
              </w:pPr>
              <w:r>
                <w:rPr>
                  <w:szCs w:val="21"/>
                </w:rPr>
                <w:t xml:space="preserve"> 提供劳务交易的结果能够可靠估计是指同时满足：A、收入的金额能够可靠地计量；B、相关的经济利益很可能流入企业；C、交易的完工程度能够可靠地确定；D、交易中已发生和将发生的成本能够可靠地计量。</w:t>
              </w:r>
            </w:p>
            <w:p>
              <w:pPr>
                <w:rPr>
                  <w:szCs w:val="21"/>
                </w:rPr>
              </w:pPr>
              <w:r>
                <w:rPr>
                  <w:rFonts w:hint="eastAsia"/>
                  <w:szCs w:val="21"/>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pPr>
                <w:rPr>
                  <w:szCs w:val="21"/>
                </w:rPr>
              </w:pPr>
              <w:r>
                <w:rPr>
                  <w:szCs w:val="21"/>
                </w:rPr>
                <w:t xml:space="preserve"> ③让渡资产使用权</w:t>
              </w:r>
            </w:p>
            <w:p>
              <w:pPr>
                <w:rPr>
                  <w:szCs w:val="21"/>
                </w:rPr>
              </w:pPr>
              <w:r>
                <w:rPr>
                  <w:szCs w:val="21"/>
                </w:rPr>
                <w:t xml:space="preserve"> 与资产使用权让渡相关的经济利益能够流入及收入的金额能够可靠地计量时，本公司确认收入。</w:t>
              </w:r>
            </w:p>
            <w:p>
              <w:pPr>
                <w:rPr>
                  <w:szCs w:val="21"/>
                </w:rPr>
              </w:pPr>
              <w:r>
                <w:rPr>
                  <w:rFonts w:hint="eastAsia"/>
                  <w:szCs w:val="21"/>
                </w:rPr>
                <w:t>（</w:t>
              </w:r>
              <w:r>
                <w:rPr>
                  <w:szCs w:val="21"/>
                </w:rPr>
                <w:t>2）收入确认的具体方法</w:t>
              </w:r>
            </w:p>
            <w:p>
              <w:pPr>
                <w:rPr>
                  <w:szCs w:val="21"/>
                </w:rPr>
              </w:pPr>
              <w:r>
                <w:rPr>
                  <w:szCs w:val="21"/>
                </w:rPr>
                <w:t xml:space="preserve"> 本公司在销售钢铁、焦化及其他产品时，在同时满足下列条件下，确认销售收入，即：①与客户签订了产品销售合同；②产品已发货；③已收取货款或取得收款权利；④相关的已发生或将发生的成本能够可靠地计量。</w:t>
              </w:r>
            </w:p>
            <w:p>
              <w:pPr>
                <w:rPr>
                  <w:szCs w:val="21"/>
                </w:rPr>
              </w:pPr>
              <w:r>
                <w:rPr>
                  <w:szCs w:val="21"/>
                </w:rPr>
                <w:t xml:space="preserve"> 本公司在销售工程材料、耐火材料及其他材料时，在同时满足下列条件下，确认销售收入，即：①商品已发货；②已收取货款或取得收款权利；③相关的已发生或将发生的成本能够可靠地计量。</w:t>
              </w:r>
            </w:p>
          </w:sdtContent>
        </w:sdt>
      </w:sdtContent>
    </w:sdt>
    <w:p>
      <w:pPr>
        <w:rPr>
          <w:szCs w:val="21"/>
        </w:rPr>
      </w:pPr>
    </w:p>
    <w:sdt>
      <w:sdtPr>
        <w:rPr>
          <w:rFonts w:ascii="宋体" w:hAnsi="宋体" w:cs="宋体"/>
          <w:b w:val="0"/>
          <w:bCs w:val="0"/>
          <w:kern w:val="0"/>
          <w:szCs w:val="24"/>
        </w:rPr>
        <w:alias w:val="模块:政府补助会计处理方法"/>
        <w:tag w:val="_GBC_b03bd816e50b42ae97b660897ca33234"/>
        <w:id w:val="6774233"/>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57"/>
            </w:numPr>
          </w:pPr>
          <w:r>
            <w:t>政府补助</w:t>
          </w:r>
        </w:p>
        <w:p>
          <w:r>
            <w:rPr>
              <w:rFonts w:hint="eastAsia"/>
            </w:rPr>
            <w:t>政府补助是指公司从政府无偿取得货币性资产或非货币性资产，具有以下两大特征：①来源于政府的经济资源，②无偿性。</w:t>
          </w:r>
        </w:p>
        <w:p>
          <w:r>
            <w:rPr>
              <w:rFonts w:hint="eastAsia"/>
            </w:rPr>
            <w:t>（</w:t>
          </w:r>
          <w:r>
            <w:t>1）确认和计量的基本条件</w:t>
          </w:r>
        </w:p>
        <w:p>
          <w:r>
            <w:rPr>
              <w:rFonts w:hint="eastAsia"/>
            </w:rPr>
            <w:t>①政府补助同时满足下列条件的，才能予以确认：</w:t>
          </w:r>
          <w:r>
            <w:t>A、公司能够满足政府补助所附条件;B、公司能够收到政府补助。</w:t>
          </w:r>
        </w:p>
        <w:p>
          <w:r>
            <w:rPr>
              <w:rFonts w:hint="eastAsia"/>
            </w:rPr>
            <w:t>②政府补助为货币性资产的，应当按照收到或应收的金额计量。政府补助为非货币性资产的，应当按照公允价值计量</w:t>
          </w:r>
          <w:r>
            <w:t>;公允价值不能可靠取得的，按照名义金额（1元）计量。</w:t>
          </w:r>
        </w:p>
        <w:p>
          <w:r>
            <w:rPr>
              <w:rFonts w:hint="eastAsia"/>
            </w:rPr>
            <w:t>（</w:t>
          </w:r>
          <w:r>
            <w:t>2）账务处理</w:t>
          </w:r>
        </w:p>
        <w:p>
          <w:r>
            <w:rPr>
              <w:rFonts w:hint="eastAsia"/>
            </w:rPr>
            <w:t>公司采用总额法核算政府补助，增设损益类科目“其他收益”。</w:t>
          </w:r>
        </w:p>
        <w:p>
          <w:r>
            <w:rPr>
              <w:rFonts w:hint="eastAsia"/>
            </w:rPr>
            <w:t>收到政府补助时，应按照经济业务实质判断是否与企业日常活动相关：与企业日常活动相关的政府补助，计入递延收益或其他收益；与企业日常活动无关的政府补助，计入递延收益或营业外收入。日常活动，是指企业为完成其经营目标所从事的经常性活动以及与之相关的活动。</w:t>
          </w:r>
        </w:p>
        <w:p>
          <w:pPr>
            <w:pStyle w:val="5"/>
            <w:numPr>
              <w:ilvl w:val="0"/>
              <w:numId w:val="62"/>
            </w:numPr>
          </w:pPr>
          <w:r>
            <w:rPr>
              <w:rFonts w:hint="eastAsia"/>
            </w:rPr>
            <w:t>与资产相关的政府补助判断依据及会计处理方法</w:t>
          </w:r>
        </w:p>
        <w:sdt>
          <w:sdtPr>
            <w:rPr>
              <w:rFonts w:hint="eastAsia"/>
              <w:szCs w:val="21"/>
            </w:rPr>
            <w:alias w:val="是否适用：与资产相关的政府补助判断依据及会计处理方法[双击切换]"/>
            <w:tag w:val="_GBC_70804f2999134ae68097c5b6ec2bfbcb"/>
            <w:id w:val="677422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与资产相关的政府补助判断依据及会计处理方法"/>
            <w:tag w:val="_GBC_cd66a39ff16b420ab048fe3969a2b94e"/>
            <w:id w:val="6774230"/>
            <w:lock w:val="sdtLocked"/>
            <w:placeholder>
              <w:docPart w:val="GBC22222222222222222222222222222"/>
            </w:placeholder>
          </w:sdtPr>
          <w:sdtEndPr>
            <w:rPr>
              <w:szCs w:val="21"/>
            </w:rPr>
          </w:sdtEndPr>
          <w:sdtContent>
            <w:p>
              <w:pPr>
                <w:rPr>
                  <w:szCs w:val="21"/>
                </w:rPr>
              </w:pPr>
              <w:r>
                <w:rPr>
                  <w:rFonts w:hint="eastAsia"/>
                  <w:szCs w:val="21"/>
                </w:rPr>
                <w:t>与资产相关的政府补助，应当确认为递延收益，在相关资产使用寿命内按照合理、系统的方法分期计入损益。按照名义金额计量的政府补助，直接计入当期损益。</w:t>
              </w:r>
            </w:p>
            <w:p>
              <w:pPr>
                <w:rPr>
                  <w:szCs w:val="21"/>
                </w:rPr>
              </w:pPr>
              <w:r>
                <w:rPr>
                  <w:rFonts w:hint="eastAsia"/>
                  <w:szCs w:val="21"/>
                </w:rPr>
                <w:t>相关资产在使用寿命结束前被出售、转让、报废或发生毁损的，应当将尚未分配的相关递延收益余额转入资产处置当期的损益。</w:t>
              </w:r>
            </w:p>
          </w:sdtContent>
        </w:sdt>
        <w:p>
          <w:pPr>
            <w:rPr>
              <w:szCs w:val="21"/>
            </w:rPr>
          </w:pPr>
        </w:p>
        <w:p>
          <w:pPr>
            <w:pStyle w:val="5"/>
            <w:numPr>
              <w:ilvl w:val="0"/>
              <w:numId w:val="62"/>
            </w:numPr>
          </w:pPr>
          <w:r>
            <w:rPr>
              <w:rFonts w:hint="eastAsia"/>
            </w:rPr>
            <w:t>与收益相关的政府补助判断依据及会计处理方法</w:t>
          </w:r>
        </w:p>
        <w:sdt>
          <w:sdtPr>
            <w:rPr>
              <w:rFonts w:hint="eastAsia"/>
              <w:szCs w:val="21"/>
            </w:rPr>
            <w:alias w:val="是否适用：与收益相关的政府补助判断依据及会计处理方法[双击切换]"/>
            <w:tag w:val="_GBC_bd1581a110b549559a7efecb9543a554"/>
            <w:id w:val="6774231"/>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与收益相关的政府补助判断依据及会计处理方法"/>
            <w:tag w:val="_GBC_88abd245f8724ebeacecc0583258503c"/>
            <w:id w:val="6774232"/>
            <w:lock w:val="sdtLocked"/>
            <w:placeholder>
              <w:docPart w:val="GBC22222222222222222222222222222"/>
            </w:placeholder>
          </w:sdtPr>
          <w:sdtEndPr>
            <w:rPr>
              <w:szCs w:val="21"/>
            </w:rPr>
          </w:sdtEndPr>
          <w:sdtContent>
            <w:p>
              <w:pPr>
                <w:rPr>
                  <w:szCs w:val="21"/>
                </w:rPr>
              </w:pPr>
              <w:r>
                <w:rPr>
                  <w:rFonts w:hint="eastAsia"/>
                  <w:szCs w:val="21"/>
                </w:rPr>
                <w:t>与收益相关的政府补助，应当分情况按照以下规定进行会计处理：</w:t>
              </w:r>
            </w:p>
            <w:p>
              <w:pPr>
                <w:rPr>
                  <w:szCs w:val="21"/>
                </w:rPr>
              </w:pPr>
              <w:r>
                <w:rPr>
                  <w:szCs w:val="21"/>
                </w:rPr>
                <w:t>A、用于补偿公司以后期间的相关成本费用或损失的，确认为递延收益，并在确认相关成本费用或损失的期间，计入当期损益;</w:t>
              </w:r>
            </w:p>
            <w:p>
              <w:pPr>
                <w:rPr>
                  <w:szCs w:val="21"/>
                </w:rPr>
              </w:pPr>
              <w:r>
                <w:rPr>
                  <w:szCs w:val="21"/>
                </w:rPr>
                <w:t>B、用于补偿公司已发生的相关成本费用或损失的，直接计入当期损益。</w:t>
              </w:r>
            </w:p>
            <w:p>
              <w:pPr>
                <w:rPr>
                  <w:szCs w:val="21"/>
                </w:rPr>
              </w:pPr>
              <w:r>
                <w:rPr>
                  <w:rFonts w:hint="eastAsia"/>
                  <w:szCs w:val="21"/>
                </w:rPr>
                <w:t>③财政贴息</w:t>
              </w:r>
            </w:p>
            <w:p>
              <w:pPr>
                <w:rPr>
                  <w:szCs w:val="21"/>
                </w:rPr>
              </w:pPr>
              <w:r>
                <w:rPr>
                  <w:szCs w:val="21"/>
                </w:rPr>
                <w:t>A、财政将贴息资金拨付给贷款银行，由贷款银行以政策性优惠利率向公司提供贷款的：以实际收到的借款金额作为借款的入账价值，按照借款本金和该政策性优惠利率计算相关借款费用。</w:t>
              </w:r>
            </w:p>
            <w:p>
              <w:pPr>
                <w:rPr>
                  <w:szCs w:val="21"/>
                </w:rPr>
              </w:pPr>
              <w:r>
                <w:rPr>
                  <w:szCs w:val="21"/>
                </w:rPr>
                <w:t>B、财政将贴息资金直接拨付给公司的，应当将对应的贴息冲减相关借款费用。</w:t>
              </w:r>
            </w:p>
            <w:p>
              <w:pPr>
                <w:rPr>
                  <w:szCs w:val="21"/>
                </w:rPr>
              </w:pPr>
              <w:r>
                <w:rPr>
                  <w:szCs w:val="21"/>
                </w:rPr>
                <w:t>C、已确认的政府补助需要退回的，应当在需要退回的当期直接计入当期损益。</w:t>
              </w:r>
            </w:p>
          </w:sdtContent>
        </w:sdt>
      </w:sdtContent>
    </w:sdt>
    <w:p>
      <w:pPr>
        <w:rPr>
          <w:szCs w:val="21"/>
        </w:rPr>
      </w:pPr>
    </w:p>
    <w:sdt>
      <w:sdtPr>
        <w:rPr>
          <w:rFonts w:cs="宋体" w:asciiTheme="minorHAnsi" w:hAnsiTheme="minorHAnsi"/>
          <w:b w:val="0"/>
          <w:bCs w:val="0"/>
          <w:kern w:val="0"/>
          <w:szCs w:val="22"/>
        </w:rPr>
        <w:alias w:val="模块:递延所得税资产/递延所得税负债会计处理方法"/>
        <w:tag w:val="_GBC_01f1973e44f24cd99b90200f8205be13"/>
        <w:id w:val="6774236"/>
        <w:lock w:val="sdtLocked"/>
        <w:placeholder>
          <w:docPart w:val="GBC22222222222222222222222222222"/>
        </w:placeholder>
      </w:sdtPr>
      <w:sdtEndPr>
        <w:rPr>
          <w:rFonts w:hint="eastAsia" w:ascii="宋体" w:hAnsi="宋体" w:cs="Times New Roman"/>
          <w:b w:val="0"/>
          <w:bCs w:val="0"/>
          <w:kern w:val="2"/>
          <w:szCs w:val="21"/>
        </w:rPr>
      </w:sdtEndPr>
      <w:sdtContent>
        <w:p>
          <w:pPr>
            <w:pStyle w:val="4"/>
            <w:numPr>
              <w:ilvl w:val="0"/>
              <w:numId w:val="57"/>
            </w:numPr>
          </w:pPr>
          <w:r>
            <w:t>递延所得税资产/递延所得税负债</w:t>
          </w:r>
        </w:p>
        <w:sdt>
          <w:sdtPr>
            <w:rPr>
              <w:rFonts w:hint="eastAsia"/>
              <w:szCs w:val="21"/>
            </w:rPr>
            <w:alias w:val="是否适用：所得税的会计处理方法[双击切换]"/>
            <w:tag w:val="_GBC_7e8295f4559b44568e5d37a6a605588c"/>
            <w:id w:val="6774234"/>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6774235"/>
            <w:lock w:val="sdtLocked"/>
            <w:placeholder>
              <w:docPart w:val="GBC22222222222222222222222222222"/>
            </w:placeholder>
          </w:sdtPr>
          <w:sdtEndPr>
            <w:rPr>
              <w:rFonts w:hint="eastAsia"/>
              <w:szCs w:val="21"/>
            </w:rPr>
          </w:sdtEndPr>
          <w:sdtContent>
            <w:p>
              <w:pPr>
                <w:rPr>
                  <w:szCs w:val="21"/>
                </w:rPr>
              </w:pPr>
              <w:r>
                <w:rPr>
                  <w:rFonts w:hint="eastAsia"/>
                  <w:szCs w:val="21"/>
                </w:rPr>
                <w:t>所得税包括当期所得税和递延所得税。除由于企业合并产生的调整商誉，或与直接计入所有者权益的交易或者事项相关的递延所得税计入所有者权益外，均作为所得税费用计入当期损益。</w:t>
              </w:r>
            </w:p>
            <w:p>
              <w:pPr>
                <w:rPr>
                  <w:szCs w:val="21"/>
                </w:rPr>
              </w:pPr>
              <w:r>
                <w:rPr>
                  <w:rFonts w:hint="eastAsia"/>
                  <w:szCs w:val="21"/>
                </w:rPr>
                <w:t>本公司根据资产、负债于资产负债表日的账面价值与计税基础之间的暂时性差异，采用资产负债表债务法确认递延所得税。</w:t>
              </w:r>
            </w:p>
            <w:p>
              <w:pPr>
                <w:rPr>
                  <w:szCs w:val="21"/>
                </w:rPr>
              </w:pPr>
              <w:r>
                <w:rPr>
                  <w:szCs w:val="21"/>
                </w:rPr>
                <w:t xml:space="preserve"> 各项应纳税暂时性差异均确认相关的递延所得税负债。</w:t>
              </w:r>
            </w:p>
            <w:p>
              <w:pPr>
                <w:rPr>
                  <w:szCs w:val="21"/>
                </w:rPr>
              </w:pPr>
              <w:r>
                <w:rPr>
                  <w:rFonts w:hint="eastAsia"/>
                  <w:szCs w:val="21"/>
                </w:rPr>
                <w:t>对于可抵扣暂时性差异、能够结转以后年度的可抵扣亏损和税款抵减，本公司以很可能取得用来抵扣可抵扣暂时性差异、可抵扣亏损和税款抵减的未来应纳税所得额为限，确认由此产生的递延所得税资产。</w:t>
              </w:r>
            </w:p>
            <w:p>
              <w:pPr>
                <w:rPr>
                  <w:szCs w:val="21"/>
                </w:rPr>
              </w:pPr>
              <w:r>
                <w:rPr>
                  <w:szCs w:val="21"/>
                </w:rPr>
                <w:t xml:space="preserve"> 于资产负债表日，本公司对递延所得税资产和递延所得税负债，按照预期收回该资产或清偿该负债期间的适用税率计量，并反映资产负债表日预期收回资产或清偿负债方式的所得税影响。</w:t>
              </w:r>
            </w:p>
            <w:p>
              <w:pPr>
                <w:rPr>
                  <w:szCs w:val="21"/>
                </w:rPr>
              </w:pPr>
              <w:r>
                <w:rPr>
                  <w:rFonts w:hint="eastAsia"/>
                  <w:szCs w:val="21"/>
                </w:rPr>
                <w:t>于资产负债表日，本公司对递延所得税资产的账面价值进行复核。如果未来期间很可能无法获得足够的应纳税所得额用以抵扣递延所得税资产的利益，减记递延所得税资产的账面价值。在很可能获得足够的应纳税所得额时，减记的金额予以转回。</w:t>
              </w:r>
            </w:p>
          </w:sdtContent>
        </w:sdt>
      </w:sdtContent>
    </w:sdt>
    <w:p>
      <w:pPr>
        <w:rPr>
          <w:szCs w:val="21"/>
        </w:rPr>
      </w:pPr>
    </w:p>
    <w:sdt>
      <w:sdtPr>
        <w:rPr>
          <w:rFonts w:ascii="宋体" w:hAnsi="宋体" w:cs="宋体"/>
          <w:b w:val="0"/>
          <w:bCs w:val="0"/>
          <w:kern w:val="0"/>
          <w:szCs w:val="24"/>
        </w:rPr>
        <w:alias w:val="模块:经营租赁、融资租赁会计处理方法"/>
        <w:tag w:val="_GBC_f9ff4c1b9d1748b8854889b1fd9b076c"/>
        <w:id w:val="6774241"/>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57"/>
            </w:numPr>
          </w:pPr>
          <w:r>
            <w:t>租赁</w:t>
          </w:r>
        </w:p>
        <w:p>
          <w:pPr>
            <w:pStyle w:val="5"/>
            <w:numPr>
              <w:ilvl w:val="0"/>
              <w:numId w:val="63"/>
            </w:numPr>
          </w:pPr>
          <w:r>
            <w:rPr>
              <w:rFonts w:hint="eastAsia"/>
            </w:rPr>
            <w:t>经营租赁的会计处理方法</w:t>
          </w:r>
        </w:p>
        <w:sdt>
          <w:sdtPr>
            <w:rPr>
              <w:rFonts w:hint="eastAsia"/>
              <w:szCs w:val="21"/>
            </w:rPr>
            <w:alias w:val="是否适用：经营租赁的会计处理方法[双击切换]"/>
            <w:tag w:val="_GBC_95cb2bae8f5047ec8fbc3c0ebf30481e"/>
            <w:id w:val="6774237"/>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经营租赁的会计处理方法"/>
            <w:tag w:val="_GBC_95879bb481f644fd959d3a5843c3b06a"/>
            <w:id w:val="6774238"/>
            <w:lock w:val="sdtLocked"/>
            <w:placeholder>
              <w:docPart w:val="GBC22222222222222222222222222222"/>
            </w:placeholder>
          </w:sdtPr>
          <w:sdtEndPr>
            <w:rPr>
              <w:szCs w:val="21"/>
            </w:rPr>
          </w:sdtEndPr>
          <w:sdtContent>
            <w:p>
              <w:pPr>
                <w:rPr>
                  <w:szCs w:val="21"/>
                </w:rPr>
              </w:pPr>
              <w:r>
                <w:rPr>
                  <w:rFonts w:hint="eastAsia"/>
                  <w:szCs w:val="21"/>
                </w:rPr>
                <w:t>①公司租入资产所支付的租赁费，在不扣除免租期的整个租赁期内，按直线法进行分摊，计入当期费用。公司支付的与租赁交易相关的初始直接费用，计入当期费用。</w:t>
              </w:r>
              <w:r>
                <w:rPr>
                  <w:szCs w:val="21"/>
                </w:rPr>
                <w:t xml:space="preserve"> 资产出租方承担了应由公司承担的与租赁相关的费用时，公司将该部分费用从租金总额中扣除，按扣除后的租金费用在租赁期内分摊，计入当期费用。</w:t>
              </w:r>
            </w:p>
            <w:p>
              <w:pPr>
                <w:rPr>
                  <w:szCs w:val="21"/>
                </w:rPr>
              </w:pPr>
              <w:r>
                <w:rPr>
                  <w:szCs w:val="21"/>
                </w:rPr>
                <w:t xml:space="preserve">    ②公司出租资产所收取的租赁费，在不扣除免租期的整个租赁期内，按直线法进行分摊，确认为租赁收入。公司支付的与租赁交易相关的初始直接费用，计入当期费用；如金额较大的，则予以资本化，在整个租赁期间内按照与租赁收入确认相同的基础分期计入当期收益。 公司承担了应由承租方承担的与租赁相关的费用时，公司将该部分费用从租金收入总额中扣除，按扣除后的租金费用在租赁期内分配。</w:t>
              </w:r>
            </w:p>
          </w:sdtContent>
        </w:sdt>
        <w:p>
          <w:pPr>
            <w:rPr>
              <w:szCs w:val="21"/>
            </w:rPr>
          </w:pPr>
        </w:p>
        <w:p>
          <w:pPr>
            <w:pStyle w:val="5"/>
            <w:numPr>
              <w:ilvl w:val="0"/>
              <w:numId w:val="63"/>
            </w:numPr>
          </w:pPr>
          <w:r>
            <w:rPr>
              <w:rFonts w:hint="eastAsia"/>
            </w:rPr>
            <w:t>融资租赁的会计处理方法</w:t>
          </w:r>
        </w:p>
        <w:sdt>
          <w:sdtPr>
            <w:rPr>
              <w:rFonts w:hint="eastAsia"/>
              <w:szCs w:val="21"/>
            </w:rPr>
            <w:alias w:val="是否适用：融资租赁的会计处理方法[双击切换]"/>
            <w:tag w:val="_GBC_8645a1f3c69c48ed8ae3aadf85145de8"/>
            <w:id w:val="677423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6774240"/>
            <w:lock w:val="sdtLocked"/>
            <w:placeholder>
              <w:docPart w:val="GBC22222222222222222222222222222"/>
            </w:placeholder>
          </w:sdtPr>
          <w:sdtEndPr>
            <w:rPr>
              <w:szCs w:val="21"/>
            </w:rPr>
          </w:sdtEndPr>
          <w:sdtContent>
            <w:p>
              <w:pPr>
                <w:rPr>
                  <w:szCs w:val="21"/>
                </w:rPr>
              </w:pPr>
              <w:r>
                <w:rPr>
                  <w:rFonts w:hint="eastAsia"/>
                  <w:szCs w:val="21"/>
                </w:rPr>
                <w:t>（</w:t>
              </w:r>
              <w:r>
                <w:rPr>
                  <w:szCs w:val="21"/>
                </w:rPr>
                <w:t>1）融资租入资产：公司在承租开始日，将租赁资产公允价值与最低租赁付款额现值两者中较低者作为租入资产的入账价值，将最低租赁付款额作为长期应付款的入账价值，其差额作为未确认的融资费用。 公司采用实际利率法对未确认的融资费用，在资产租赁期间内摊销，计入财务费用。</w:t>
              </w:r>
            </w:p>
            <w:p>
              <w:pPr>
                <w:rPr>
                  <w:szCs w:val="21"/>
                </w:rPr>
              </w:pPr>
              <w:r>
                <w:rPr>
                  <w:rFonts w:hint="eastAsia"/>
                  <w:szCs w:val="21"/>
                </w:rPr>
                <w:t>（</w:t>
              </w:r>
              <w:r>
                <w:rPr>
                  <w:szCs w:val="21"/>
                </w:rPr>
                <w:t>2）融资租出资产：公司在租赁开始日，将应收融资租赁款，未担保余值之和与其现值的差额确认为未实现融资收益，在将来收到租金的各期间内确认为租赁收入，公司发生的与出租交易相关的初始直接费用，计入应收融资租赁款的初始计量中，并减少租赁期内确认的收益金额。</w:t>
              </w:r>
            </w:p>
          </w:sdtContent>
        </w:sdt>
      </w:sdtContent>
    </w:sdt>
    <w:p>
      <w:pPr>
        <w:rPr>
          <w:szCs w:val="21"/>
        </w:rPr>
      </w:pPr>
    </w:p>
    <w:sdt>
      <w:sdtPr>
        <w:rPr>
          <w:rFonts w:hint="eastAsia" w:asciiTheme="minorHAnsi" w:hAnsiTheme="minorHAnsi" w:cstheme="minorBidi"/>
          <w:b w:val="0"/>
          <w:bCs w:val="0"/>
          <w:kern w:val="0"/>
          <w:szCs w:val="22"/>
        </w:rPr>
        <w:alias w:val="模块:其他重要的会计政策和会计估计"/>
        <w:tag w:val="_GBC_208440ea3a0f4676970b3672c3cdf96f"/>
        <w:id w:val="6774243"/>
        <w:lock w:val="sdtLocked"/>
        <w:placeholder>
          <w:docPart w:val="GBC22222222222222222222222222222"/>
        </w:placeholder>
      </w:sdtPr>
      <w:sdtEndPr>
        <w:rPr>
          <w:rFonts w:hint="eastAsia" w:ascii="宋体" w:hAnsi="宋体" w:cs="Times New Roman"/>
          <w:b w:val="0"/>
          <w:bCs w:val="0"/>
          <w:kern w:val="0"/>
          <w:szCs w:val="21"/>
        </w:rPr>
      </w:sdtEndPr>
      <w:sdtContent>
        <w:p>
          <w:pPr>
            <w:pStyle w:val="4"/>
            <w:numPr>
              <w:ilvl w:val="0"/>
              <w:numId w:val="57"/>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677424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4"/>
        <w:numPr>
          <w:ilvl w:val="0"/>
          <w:numId w:val="57"/>
        </w:numPr>
      </w:pPr>
      <w:r>
        <w:rPr>
          <w:rFonts w:hint="eastAsia"/>
        </w:rPr>
        <w:t>重要</w:t>
      </w:r>
      <w:r>
        <w:t>会计政策</w:t>
      </w:r>
      <w:r>
        <w:rPr>
          <w:rFonts w:hint="eastAsia"/>
        </w:rPr>
        <w:t>和</w:t>
      </w:r>
      <w:r>
        <w:t>会计估计的变更</w:t>
      </w:r>
    </w:p>
    <w:p>
      <w:pPr>
        <w:pStyle w:val="5"/>
        <w:numPr>
          <w:ilvl w:val="0"/>
          <w:numId w:val="64"/>
        </w:numPr>
      </w:pPr>
      <w:r>
        <w:rPr>
          <w:rFonts w:hint="eastAsia"/>
        </w:rPr>
        <w:t>重要</w:t>
      </w:r>
      <w:r>
        <w:t>会计政策变更</w:t>
      </w:r>
    </w:p>
    <w:sdt>
      <w:sdtPr>
        <w:rPr>
          <w:szCs w:val="21"/>
        </w:rPr>
        <w:alias w:val="是否适用：重要会计政策变更[双击切换]"/>
        <w:tag w:val="_GBC_f1ebc580f60c4d30a80747190ffbec4f"/>
        <w:id w:val="6774244"/>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cstheme="minorBidi"/>
          <w:kern w:val="2"/>
          <w:szCs w:val="21"/>
        </w:rPr>
        <w:alias w:val="模块:会计政策变更"/>
        <w:tag w:val="_GBC_0e06dc657bb8435eb065c6bd60685496"/>
        <w:id w:val="-711030687"/>
        <w:lock w:val="sdtLocked"/>
      </w:sdtPr>
      <w:sdtEndPr>
        <w:rPr>
          <w:rFonts w:hint="eastAsia" w:ascii="Times New Roman" w:hAnsi="Times New Roman" w:cs="Times New Roman"/>
          <w:kern w:val="2"/>
          <w:szCs w:val="21"/>
        </w:rPr>
      </w:sdtEndPr>
      <w:sdtContent>
        <w:tbl>
          <w:tblPr>
            <w:tblStyle w:val="40"/>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9"/>
            <w:gridCol w:w="1080"/>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rPr>
                  <w:rFonts w:hint="eastAsia" w:cstheme="minorBidi"/>
                  <w:kern w:val="2"/>
                  <w:szCs w:val="21"/>
                </w:rPr>
                <w:tag w:val="_PLD_e1dec237a8bd4e95920b80a564ae1cb9"/>
                <w:id w:val="978572595"/>
                <w:lock w:val="sdtLocked"/>
              </w:sdtPr>
              <w:sdtEndPr>
                <w:rPr>
                  <w:rFonts w:hint="default" w:cs="宋体"/>
                  <w:kern w:val="0"/>
                  <w:szCs w:val="24"/>
                </w:rPr>
              </w:sdtEndPr>
              <w:sdtContent>
                <w:tc>
                  <w:tcPr>
                    <w:tcW w:w="4929" w:type="dxa"/>
                    <w:vAlign w:val="center"/>
                  </w:tcPr>
                  <w:p>
                    <w:pPr>
                      <w:jc w:val="center"/>
                      <w:rPr>
                        <w:szCs w:val="21"/>
                      </w:rPr>
                    </w:pPr>
                    <w:r>
                      <w:rPr>
                        <w:rFonts w:hint="eastAsia"/>
                        <w:szCs w:val="21"/>
                      </w:rPr>
                      <w:t>会计政策变更的内容和原因</w:t>
                    </w:r>
                  </w:p>
                </w:tc>
              </w:sdtContent>
            </w:sdt>
            <w:sdt>
              <w:sdtPr>
                <w:tag w:val="_PLD_7b0ee43258f64816be205413e4f0bfe2"/>
                <w:id w:val="1904787049"/>
                <w:lock w:val="sdtLocked"/>
              </w:sdtPr>
              <w:sdtContent>
                <w:tc>
                  <w:tcPr>
                    <w:tcW w:w="1080" w:type="dxa"/>
                    <w:vAlign w:val="center"/>
                  </w:tcPr>
                  <w:p>
                    <w:pPr>
                      <w:jc w:val="center"/>
                      <w:rPr>
                        <w:szCs w:val="21"/>
                      </w:rPr>
                    </w:pPr>
                    <w:r>
                      <w:rPr>
                        <w:szCs w:val="21"/>
                      </w:rPr>
                      <w:t>审批程序</w:t>
                    </w:r>
                  </w:p>
                </w:tc>
              </w:sdtContent>
            </w:sdt>
            <w:sdt>
              <w:sdtPr>
                <w:tag w:val="_PLD_f4b6323c0cf54fc0b4bff40f66002d51"/>
                <w:id w:val="385383340"/>
                <w:lock w:val="sdtLocked"/>
              </w:sdtPr>
              <w:sdtContent>
                <w:tc>
                  <w:tcPr>
                    <w:tcW w:w="3040" w:type="dxa"/>
                    <w:vAlign w:val="center"/>
                  </w:tcPr>
                  <w:p>
                    <w:pPr>
                      <w:jc w:val="center"/>
                      <w:rPr>
                        <w:szCs w:val="21"/>
                      </w:rPr>
                    </w:pPr>
                    <w:r>
                      <w:rPr>
                        <w:rFonts w:hint="eastAsia"/>
                        <w:szCs w:val="21"/>
                      </w:rPr>
                      <w:t>备注</w:t>
                    </w:r>
                    <w:r>
                      <w:rPr>
                        <w:szCs w:val="21"/>
                      </w:rPr>
                      <w:t>(受重要影响的报表项目名称和金额)</w:t>
                    </w:r>
                  </w:p>
                </w:tc>
              </w:sdtContent>
            </w:sdt>
          </w:tr>
          <w:sdt>
            <w:sdtPr>
              <w:rPr>
                <w:rFonts w:hint="eastAsia" w:eastAsiaTheme="minorEastAsia" w:cstheme="minorBidi"/>
                <w:kern w:val="2"/>
                <w:sz w:val="18"/>
                <w:szCs w:val="18"/>
              </w:rPr>
              <w:alias w:val="会计政策的变更"/>
              <w:tag w:val="_GBC_3ee3045c350e4d52ab819ea497aaf2f3"/>
              <w:id w:val="1242377006"/>
              <w:lock w:val="sdtLocked"/>
            </w:sdtPr>
            <w:sdtEndPr>
              <w:rPr>
                <w:rFonts w:hint="eastAsia"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9" w:type="dxa"/>
                  </w:tcPr>
                  <w:p>
                    <w:pPr>
                      <w:rPr>
                        <w:sz w:val="18"/>
                        <w:szCs w:val="18"/>
                      </w:rPr>
                    </w:pPr>
                    <w:r>
                      <w:rPr>
                        <w:rFonts w:hint="eastAsia" w:eastAsiaTheme="minorEastAsia" w:cstheme="minorBidi"/>
                        <w:kern w:val="2"/>
                        <w:sz w:val="18"/>
                        <w:szCs w:val="18"/>
                      </w:rPr>
                      <w:t>政府补助列报方式变更。</w:t>
                    </w:r>
                    <w:r>
                      <w:rPr>
                        <w:rFonts w:eastAsiaTheme="minorEastAsia" w:cstheme="minorBidi"/>
                        <w:kern w:val="2"/>
                        <w:sz w:val="18"/>
                        <w:szCs w:val="18"/>
                      </w:rPr>
                      <w:t>2017年5月，财政部以财会【2017】15号发布了《企业会计准则第16号——政府补助》，要求自2017年6月12日起在所有执行企业会计准则的企业范围内施行。</w:t>
                    </w:r>
                    <w:r>
                      <w:rPr>
                        <w:rFonts w:hint="eastAsia" w:eastAsiaTheme="minorEastAsia" w:cstheme="minorBidi"/>
                        <w:kern w:val="2"/>
                        <w:sz w:val="18"/>
                        <w:szCs w:val="18"/>
                      </w:rPr>
                      <w:t>本公司对</w:t>
                    </w:r>
                    <w:r>
                      <w:rPr>
                        <w:rFonts w:eastAsiaTheme="minorEastAsia" w:cstheme="minorBidi"/>
                        <w:kern w:val="2"/>
                        <w:sz w:val="18"/>
                        <w:szCs w:val="18"/>
                      </w:rPr>
                      <w:t>2017年1月1日存在的政府补助采用未来适用法处理，对自2017年1月1日至本准则施行日之间新增的政府补助根据本准则进行调整。本公司修改财务报表列报，在利润表中的“营业利润”项目之上单独列报“其他收益”项目，将自2017年1月1日起与公司日常经营活动有关的政府补助从“营业外收入”项目重分类至“其他收益”项目。</w:t>
                    </w:r>
                  </w:p>
                </w:tc>
                <w:tc>
                  <w:tcPr>
                    <w:tcW w:w="1080" w:type="dxa"/>
                  </w:tcPr>
                  <w:p>
                    <w:pPr>
                      <w:rPr>
                        <w:sz w:val="18"/>
                        <w:szCs w:val="18"/>
                      </w:rPr>
                    </w:pPr>
                  </w:p>
                </w:tc>
                <w:tc>
                  <w:tcPr>
                    <w:tcW w:w="3040" w:type="dxa"/>
                  </w:tcPr>
                  <w:p>
                    <w:pPr>
                      <w:rPr>
                        <w:sz w:val="18"/>
                        <w:szCs w:val="18"/>
                      </w:rPr>
                    </w:pPr>
                    <w:r>
                      <w:rPr>
                        <w:rFonts w:hint="eastAsia"/>
                        <w:sz w:val="18"/>
                        <w:szCs w:val="18"/>
                      </w:rPr>
                      <w:t>“其他收益”科目增加</w:t>
                    </w:r>
                    <w:r>
                      <w:rPr>
                        <w:sz w:val="18"/>
                        <w:szCs w:val="18"/>
                      </w:rPr>
                      <w:t>33,597,557.96元，“营业外收入”科目减少33,597,557.96元。</w:t>
                    </w:r>
                  </w:p>
                </w:tc>
              </w:tr>
            </w:sdtContent>
          </w:sdt>
          <w:sdt>
            <w:sdtPr>
              <w:rPr>
                <w:rFonts w:hint="eastAsia" w:eastAsiaTheme="minorEastAsia" w:cstheme="minorBidi"/>
                <w:kern w:val="2"/>
                <w:sz w:val="18"/>
                <w:szCs w:val="18"/>
              </w:rPr>
              <w:alias w:val="会计政策的变更"/>
              <w:tag w:val="_GBC_3ee3045c350e4d52ab819ea497aaf2f3"/>
              <w:id w:val="346992557"/>
              <w:lock w:val="sdtLocked"/>
            </w:sdtPr>
            <w:sdtEndPr>
              <w:rPr>
                <w:rFonts w:hint="eastAsia"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9" w:type="dxa"/>
                  </w:tcPr>
                  <w:p>
                    <w:pPr>
                      <w:rPr>
                        <w:sz w:val="18"/>
                        <w:szCs w:val="18"/>
                      </w:rPr>
                    </w:pPr>
                    <w:r>
                      <w:rPr>
                        <w:rFonts w:hint="eastAsia" w:eastAsiaTheme="minorEastAsia" w:cstheme="minorBidi"/>
                        <w:kern w:val="2"/>
                        <w:sz w:val="18"/>
                        <w:szCs w:val="18"/>
                      </w:rPr>
                      <w:t>资产处置损益列报方式变更。</w:t>
                    </w:r>
                    <w:r>
                      <w:rPr>
                        <w:rFonts w:eastAsiaTheme="minorEastAsia" w:cstheme="minorBidi"/>
                        <w:kern w:val="2"/>
                        <w:sz w:val="18"/>
                        <w:szCs w:val="18"/>
                      </w:rPr>
                      <w:t>2017年12月，财政部以财会〔2017〕30 号发布了《关于修订印发一般企业财务报表格式的通知》，要求执行企业会计准则的非金融企业应当按照企业会计准则和本通知要求编制2017 年度及以后期间的财务报表。</w:t>
                    </w:r>
                    <w:r>
                      <w:rPr>
                        <w:rFonts w:hint="eastAsia" w:eastAsiaTheme="minorEastAsia" w:cstheme="minorBidi"/>
                        <w:kern w:val="2"/>
                        <w:sz w:val="18"/>
                        <w:szCs w:val="18"/>
                      </w:rPr>
                      <w:t>本公司在利润表中新增“资产处置收益”项目，原列示为“营业外收入”“营业外支出”的资产处置损益重分类至“资产处置收益”项目。</w:t>
                    </w:r>
                  </w:p>
                </w:tc>
                <w:tc>
                  <w:tcPr>
                    <w:tcW w:w="1080" w:type="dxa"/>
                  </w:tcPr>
                  <w:p>
                    <w:pPr>
                      <w:rPr>
                        <w:sz w:val="18"/>
                        <w:szCs w:val="18"/>
                      </w:rPr>
                    </w:pPr>
                  </w:p>
                </w:tc>
                <w:tc>
                  <w:tcPr>
                    <w:tcW w:w="3040" w:type="dxa"/>
                  </w:tcPr>
                  <w:p>
                    <w:pPr>
                      <w:rPr>
                        <w:sz w:val="18"/>
                        <w:szCs w:val="18"/>
                      </w:rPr>
                    </w:pPr>
                    <w:r>
                      <w:rPr>
                        <w:rFonts w:hint="eastAsia"/>
                        <w:sz w:val="18"/>
                        <w:szCs w:val="18"/>
                      </w:rPr>
                      <w:t>公司本年无应重分类至“资产处置收益”的“营业外收入”“营业外支出”项目，该会计政策变更对财务报表无影响。</w:t>
                    </w:r>
                  </w:p>
                </w:tc>
              </w:tr>
            </w:sdtContent>
          </w:sdt>
        </w:tbl>
        <w:p>
          <w:pPr>
            <w:rPr>
              <w:szCs w:val="21"/>
            </w:rPr>
          </w:pPr>
          <w:r>
            <w:rPr>
              <w:rFonts w:hint="eastAsia"/>
              <w:szCs w:val="21"/>
            </w:rPr>
            <w:t>其他说明</w:t>
          </w:r>
        </w:p>
        <w:sdt>
          <w:sdtPr>
            <w:rPr>
              <w:szCs w:val="21"/>
            </w:rPr>
            <w:alias w:val="会计政策的变更的其他说明"/>
            <w:tag w:val="_GBC_93e2fc5a38cb45958eae783eee8d98c3"/>
            <w:id w:val="-442069565"/>
            <w:lock w:val="sdtLocked"/>
            <w:showingPlcHdr/>
          </w:sdtPr>
          <w:sdtEndPr>
            <w:rPr>
              <w:szCs w:val="21"/>
            </w:rPr>
          </w:sdtEndPr>
          <w:sdtContent>
            <w:p>
              <w:pPr>
                <w:rPr>
                  <w:szCs w:val="21"/>
                </w:rPr>
              </w:pPr>
              <w:r>
                <w:rPr>
                  <w:rFonts w:hint="eastAsia"/>
                  <w:color w:val="333399"/>
                  <w:u w:val="single"/>
                </w:rPr>
                <w:t>　　　</w:t>
              </w:r>
            </w:p>
          </w:sdtContent>
        </w:sdt>
      </w:sdtContent>
    </w:sdt>
    <w:p>
      <w:pPr>
        <w:rPr>
          <w:szCs w:val="21"/>
        </w:rPr>
      </w:pPr>
    </w:p>
    <w:p>
      <w:pPr>
        <w:rPr>
          <w:szCs w:val="21"/>
        </w:rPr>
      </w:pPr>
    </w:p>
    <w:p>
      <w:pPr>
        <w:pStyle w:val="5"/>
        <w:numPr>
          <w:ilvl w:val="0"/>
          <w:numId w:val="64"/>
        </w:numPr>
      </w:pPr>
      <w:r>
        <w:rPr>
          <w:rFonts w:hint="eastAsia"/>
        </w:rPr>
        <w:t>重要</w:t>
      </w:r>
      <w:r>
        <w:t>会计估计变更</w:t>
      </w:r>
    </w:p>
    <w:sdt>
      <w:sdtPr>
        <w:alias w:val="是否适用：重要会计估计变更[双击切换]"/>
        <w:tag w:val="_GBC_902f08bd36774074945386d2d1f9b67d"/>
        <w:id w:val="6774245"/>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p>
      <w:pPr>
        <w:rPr>
          <w:szCs w:val="21"/>
        </w:rPr>
      </w:pPr>
    </w:p>
    <w:sdt>
      <w:sdtPr>
        <w:rPr>
          <w:rFonts w:hint="eastAsia" w:asciiTheme="minorHAnsi" w:hAnsiTheme="minorHAnsi" w:cstheme="minorBidi"/>
          <w:b w:val="0"/>
          <w:bCs w:val="0"/>
          <w:kern w:val="0"/>
          <w:szCs w:val="22"/>
        </w:rPr>
        <w:alias w:val="模块:其他"/>
        <w:tag w:val="_GBC_f9189f2c315949f484bded540173f7a8"/>
        <w:id w:val="6774247"/>
        <w:lock w:val="sdtLocked"/>
        <w:placeholder>
          <w:docPart w:val="GBC22222222222222222222222222222"/>
        </w:placeholder>
      </w:sdtPr>
      <w:sdtEndPr>
        <w:rPr>
          <w:rFonts w:hint="eastAsia" w:ascii="宋体" w:hAnsi="宋体" w:cs="Times New Roman"/>
          <w:b w:val="0"/>
          <w:bCs w:val="0"/>
          <w:kern w:val="0"/>
          <w:szCs w:val="21"/>
        </w:rPr>
      </w:sdtEndPr>
      <w:sdtContent>
        <w:p>
          <w:pPr>
            <w:pStyle w:val="4"/>
            <w:numPr>
              <w:ilvl w:val="0"/>
              <w:numId w:val="57"/>
            </w:numPr>
          </w:pPr>
          <w:r>
            <w:rPr>
              <w:rFonts w:hint="eastAsia"/>
            </w:rPr>
            <w:t>其他</w:t>
          </w:r>
        </w:p>
        <w:sdt>
          <w:sdtPr>
            <w:rPr>
              <w:rFonts w:hint="eastAsia"/>
              <w:szCs w:val="21"/>
            </w:rPr>
            <w:alias w:val="是否适用：公司主要会计政策、会计估计和前期差错的其他说明[双击切换]"/>
            <w:tag w:val="_GBC_bcb348c2b015461e9de30ce69ad888ae"/>
            <w:id w:val="677424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p>
      <w:pPr>
        <w:pStyle w:val="3"/>
        <w:numPr>
          <w:ilvl w:val="0"/>
          <w:numId w:val="54"/>
        </w:numPr>
        <w:rPr>
          <w:rFonts w:ascii="宋体" w:hAnsi="宋体"/>
        </w:rPr>
      </w:pPr>
      <w:r>
        <w:rPr>
          <w:rFonts w:hint="eastAsia" w:ascii="宋体" w:hAnsi="宋体"/>
        </w:rPr>
        <w:t>税项</w:t>
      </w:r>
    </w:p>
    <w:sdt>
      <w:sdtPr>
        <w:rPr>
          <w:rFonts w:cs="宋体" w:asciiTheme="minorHAnsi" w:hAnsiTheme="minorHAnsi"/>
          <w:b w:val="0"/>
          <w:bCs w:val="0"/>
          <w:kern w:val="0"/>
          <w:szCs w:val="22"/>
        </w:rPr>
        <w:alias w:val="模块:主要税种及税率"/>
        <w:tag w:val="_GBC_21c965fa52af49a9865023fb4e05671a"/>
        <w:id w:val="6774257"/>
        <w:lock w:val="sdtLocked"/>
        <w:placeholder>
          <w:docPart w:val="GBC22222222222222222222222222222"/>
        </w:placeholder>
      </w:sdtPr>
      <w:sdtEndPr>
        <w:rPr>
          <w:rFonts w:ascii="宋体" w:hAnsi="宋体" w:cs="Times New Roman"/>
          <w:b w:val="0"/>
          <w:bCs w:val="0"/>
          <w:kern w:val="2"/>
          <w:szCs w:val="21"/>
        </w:rPr>
      </w:sdtEndPr>
      <w:sdtContent>
        <w:p>
          <w:pPr>
            <w:pStyle w:val="4"/>
            <w:numPr>
              <w:ilvl w:val="0"/>
              <w:numId w:val="65"/>
            </w:numPr>
            <w:tabs>
              <w:tab w:val="left" w:pos="546"/>
            </w:tabs>
          </w:pPr>
          <w:r>
            <w:t>主要税种及税率</w:t>
          </w:r>
        </w:p>
        <w:p>
          <w:r>
            <w:t>主要税种及税率</w:t>
          </w:r>
          <w:r>
            <w:rPr>
              <w:rFonts w:hint="eastAsia"/>
            </w:rPr>
            <w:t>情况</w:t>
          </w:r>
        </w:p>
        <w:sdt>
          <w:sdtPr>
            <w:alias w:val="是否适用：主要税种及税率情况 [双击切换]"/>
            <w:tag w:val="_GBC_f900f926144b41b9ba020b5a24aff3c0"/>
            <w:id w:val="677424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3145"/>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5758c089ae1414f99b1cc36321c29a1"/>
                <w:id w:val="6774249"/>
                <w:lock w:val="sdtLocked"/>
              </w:sdtPr>
              <w:sdtContent>
                <w:tc>
                  <w:tcPr>
                    <w:tcW w:w="2782" w:type="dxa"/>
                    <w:vAlign w:val="center"/>
                  </w:tcPr>
                  <w:p>
                    <w:pPr>
                      <w:jc w:val="center"/>
                      <w:rPr>
                        <w:szCs w:val="21"/>
                      </w:rPr>
                    </w:pPr>
                    <w:r>
                      <w:rPr>
                        <w:szCs w:val="21"/>
                      </w:rPr>
                      <w:t>税种</w:t>
                    </w:r>
                  </w:p>
                </w:tc>
              </w:sdtContent>
            </w:sdt>
            <w:sdt>
              <w:sdtPr>
                <w:tag w:val="_PLD_0e1599c84a4d47cc8f6f9b3d3069a1bd"/>
                <w:id w:val="6774250"/>
                <w:lock w:val="sdtLocked"/>
              </w:sdtPr>
              <w:sdtContent>
                <w:tc>
                  <w:tcPr>
                    <w:tcW w:w="3145" w:type="dxa"/>
                    <w:vAlign w:val="center"/>
                  </w:tcPr>
                  <w:p>
                    <w:pPr>
                      <w:jc w:val="center"/>
                      <w:rPr>
                        <w:szCs w:val="21"/>
                      </w:rPr>
                    </w:pPr>
                    <w:r>
                      <w:rPr>
                        <w:szCs w:val="21"/>
                      </w:rPr>
                      <w:t>计税依据</w:t>
                    </w:r>
                  </w:p>
                </w:tc>
              </w:sdtContent>
            </w:sdt>
            <w:sdt>
              <w:sdtPr>
                <w:tag w:val="_PLD_74e07bcec6714b078c64caa53447462a"/>
                <w:id w:val="6774251"/>
                <w:lock w:val="sdtLocked"/>
              </w:sdtPr>
              <w:sdtContent>
                <w:tc>
                  <w:tcPr>
                    <w:tcW w:w="3122" w:type="dxa"/>
                    <w:vAlign w:val="center"/>
                  </w:tcPr>
                  <w:p>
                    <w:pPr>
                      <w:jc w:val="center"/>
                      <w:rPr>
                        <w:szCs w:val="21"/>
                      </w:rPr>
                    </w:pPr>
                    <w:r>
                      <w:rPr>
                        <w:szCs w:val="21"/>
                      </w:rPr>
                      <w:t>税率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d75d180e4a54748bbcb375f2bb00259"/>
                <w:id w:val="6774252"/>
                <w:lock w:val="sdtLocked"/>
              </w:sdtPr>
              <w:sdtContent>
                <w:tc>
                  <w:tcPr>
                    <w:tcW w:w="2782" w:type="dxa"/>
                  </w:tcPr>
                  <w:p>
                    <w:pPr>
                      <w:rPr>
                        <w:szCs w:val="21"/>
                      </w:rPr>
                    </w:pPr>
                    <w:r>
                      <w:rPr>
                        <w:szCs w:val="21"/>
                      </w:rPr>
                      <w:t>增值税</w:t>
                    </w:r>
                  </w:p>
                </w:tc>
              </w:sdtContent>
            </w:sdt>
            <w:tc>
              <w:tcPr>
                <w:tcW w:w="3145" w:type="dxa"/>
              </w:tcPr>
              <w:p>
                <w:pPr>
                  <w:rPr>
                    <w:szCs w:val="21"/>
                  </w:rPr>
                </w:pPr>
                <w:r>
                  <w:t>应税收入</w:t>
                </w:r>
              </w:p>
            </w:tc>
            <w:tc>
              <w:tcPr>
                <w:tcW w:w="3122" w:type="dxa"/>
              </w:tcPr>
              <w:p>
                <w:pPr>
                  <w:rPr>
                    <w:szCs w:val="21"/>
                  </w:rPr>
                </w:pPr>
                <w:r>
                  <w:t>17%、</w:t>
                </w:r>
                <w:r>
                  <w:rPr>
                    <w:rFonts w:hint="eastAsia"/>
                  </w:rPr>
                  <w:t>13%、</w:t>
                </w:r>
                <w:r>
                  <w:t>1</w:t>
                </w:r>
                <w:r>
                  <w:rPr>
                    <w:rFonts w:hint="eastAsia"/>
                  </w:rPr>
                  <w:t>1</w:t>
                </w:r>
                <w:r>
                  <w:t>%、6%</w:t>
                </w: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26de62b44974db399be3feb53a92b2d"/>
                <w:id w:val="6774253"/>
                <w:lock w:val="sdtLocked"/>
              </w:sdtPr>
              <w:sdtContent>
                <w:tc>
                  <w:tcPr>
                    <w:tcW w:w="2782" w:type="dxa"/>
                  </w:tcPr>
                  <w:p>
                    <w:pPr>
                      <w:rPr>
                        <w:szCs w:val="21"/>
                      </w:rPr>
                    </w:pPr>
                    <w:r>
                      <w:rPr>
                        <w:szCs w:val="21"/>
                      </w:rPr>
                      <w:t>城市维护建设税</w:t>
                    </w:r>
                  </w:p>
                </w:tc>
              </w:sdtContent>
            </w:sdt>
            <w:tc>
              <w:tcPr>
                <w:tcW w:w="3145" w:type="dxa"/>
              </w:tcPr>
              <w:p>
                <w:pPr>
                  <w:rPr>
                    <w:szCs w:val="21"/>
                  </w:rPr>
                </w:pPr>
                <w:r>
                  <w:t>应纳流转税额</w:t>
                </w:r>
              </w:p>
            </w:tc>
            <w:tc>
              <w:tcPr>
                <w:tcW w:w="3122" w:type="dxa"/>
              </w:tcPr>
              <w:p>
                <w:pPr>
                  <w:rPr>
                    <w:szCs w:val="21"/>
                  </w:rP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37795663344458fa383d79373863559"/>
                <w:id w:val="6774254"/>
                <w:lock w:val="sdtLocked"/>
              </w:sdtPr>
              <w:sdtContent>
                <w:tc>
                  <w:tcPr>
                    <w:tcW w:w="2782" w:type="dxa"/>
                  </w:tcPr>
                  <w:p>
                    <w:pPr>
                      <w:rPr>
                        <w:szCs w:val="21"/>
                      </w:rPr>
                    </w:pPr>
                    <w:r>
                      <w:rPr>
                        <w:szCs w:val="21"/>
                      </w:rPr>
                      <w:t>企业所得税</w:t>
                    </w:r>
                  </w:p>
                </w:tc>
              </w:sdtContent>
            </w:sdt>
            <w:tc>
              <w:tcPr>
                <w:tcW w:w="3145" w:type="dxa"/>
              </w:tcPr>
              <w:p>
                <w:pPr>
                  <w:rPr>
                    <w:szCs w:val="21"/>
                  </w:rPr>
                </w:pPr>
                <w:r>
                  <w:t>应纳税所得额</w:t>
                </w:r>
              </w:p>
            </w:tc>
            <w:tc>
              <w:tcPr>
                <w:tcW w:w="3122" w:type="dxa"/>
              </w:tcPr>
              <w:p>
                <w:pPr>
                  <w:rPr>
                    <w:szCs w:val="21"/>
                  </w:rPr>
                </w:pPr>
                <w:r>
                  <w:t>15％</w:t>
                </w:r>
              </w:p>
            </w:tc>
          </w:tr>
          <w:sdt>
            <w:sdtPr>
              <w:rPr>
                <w:szCs w:val="21"/>
              </w:rPr>
              <w:alias w:val="其他主要税种及税率"/>
              <w:tag w:val="_GBC_b4f10406bc8741879c7bff390b72f9b9"/>
              <w:id w:val="6774255"/>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2" w:type="dxa"/>
                  </w:tcPr>
                  <w:p>
                    <w:pPr>
                      <w:rPr>
                        <w:szCs w:val="21"/>
                      </w:rPr>
                    </w:pPr>
                    <w:r>
                      <w:rPr>
                        <w:rFonts w:hint="eastAsia"/>
                        <w:szCs w:val="21"/>
                      </w:rPr>
                      <w:t>水利建设基金</w:t>
                    </w:r>
                  </w:p>
                </w:tc>
                <w:tc>
                  <w:tcPr>
                    <w:tcW w:w="3145" w:type="dxa"/>
                  </w:tcPr>
                  <w:p>
                    <w:pPr>
                      <w:rPr>
                        <w:szCs w:val="21"/>
                      </w:rPr>
                    </w:pPr>
                    <w:r>
                      <w:t>营业收入</w:t>
                    </w:r>
                  </w:p>
                </w:tc>
                <w:tc>
                  <w:tcPr>
                    <w:tcW w:w="3122" w:type="dxa"/>
                  </w:tcPr>
                  <w:p>
                    <w:pPr>
                      <w:rPr>
                        <w:szCs w:val="21"/>
                      </w:rPr>
                    </w:pPr>
                    <w:r>
                      <w:t>0.</w:t>
                    </w:r>
                    <w:r>
                      <w:rPr>
                        <w:rFonts w:hint="eastAsia"/>
                      </w:rPr>
                      <w:t>05</w:t>
                    </w:r>
                    <w:r>
                      <w:t>％</w:t>
                    </w:r>
                  </w:p>
                </w:tc>
              </w:tr>
            </w:sdtContent>
          </w:sdt>
        </w:tbl>
        <w:p/>
        <w:p>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6774256"/>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税收优惠及批文"/>
        <w:tag w:val="_GBC_8efa381cc976417f9135f0c744d05452"/>
        <w:id w:val="6774260"/>
        <w:lock w:val="sdtLocked"/>
        <w:placeholder>
          <w:docPart w:val="GBC22222222222222222222222222222"/>
        </w:placeholder>
      </w:sdtPr>
      <w:sdtEndPr>
        <w:rPr>
          <w:rFonts w:hint="eastAsia" w:cs="Times New Roman" w:asciiTheme="minorEastAsia" w:hAnsiTheme="minorEastAsia" w:eastAsiaTheme="minorEastAsia"/>
          <w:b w:val="0"/>
          <w:bCs w:val="0"/>
          <w:kern w:val="2"/>
          <w:sz w:val="21"/>
          <w:szCs w:val="21"/>
        </w:rPr>
      </w:sdtEndPr>
      <w:sdtContent>
        <w:p>
          <w:pPr>
            <w:pStyle w:val="4"/>
            <w:numPr>
              <w:ilvl w:val="0"/>
              <w:numId w:val="65"/>
            </w:numPr>
            <w:tabs>
              <w:tab w:val="left" w:pos="546"/>
            </w:tabs>
          </w:pPr>
          <w:r>
            <w:t>税收优惠</w:t>
          </w:r>
        </w:p>
        <w:sdt>
          <w:sdtPr>
            <w:rPr>
              <w:rFonts w:hint="eastAsia"/>
              <w:szCs w:val="21"/>
            </w:rPr>
            <w:alias w:val="是否适用：税收优惠[双击切换]"/>
            <w:tag w:val="_GBC_7b649dcf8ab54475bffc51edb3c33588"/>
            <w:id w:val="6774258"/>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6774259"/>
            <w:lock w:val="sdtLocked"/>
            <w:placeholder>
              <w:docPart w:val="GBC22222222222222222222222222222"/>
            </w:placeholder>
          </w:sdtPr>
          <w:sdtEndPr>
            <w:rPr>
              <w:rFonts w:hint="eastAsia"/>
              <w:szCs w:val="21"/>
            </w:rPr>
          </w:sdtEndPr>
          <w:sdtContent>
            <w:p>
              <w:pPr>
                <w:rPr>
                  <w:szCs w:val="21"/>
                </w:rPr>
              </w:pPr>
              <w:r>
                <w:rPr>
                  <w:rFonts w:hint="eastAsia"/>
                  <w:szCs w:val="21"/>
                </w:rPr>
                <w:t>（</w:t>
              </w:r>
              <w:r>
                <w:rPr>
                  <w:szCs w:val="21"/>
                </w:rPr>
                <w:t>1）本公司利用高炉煤气余热及余压生产的电力产品、利用干熄焦余热生产的热力（蒸汽）产品及利用焦炉煤气生产的硫铵产品经广西资源综合利用产品认定委员会认定为资源综合利用产品。根据《财政部 国家税务总局关于执行资源综合利用企业所得税优惠目录有关问题的通知》（财税[2008]47号）的规定，执行企业所得税优惠政策，2017年资源综合利用收入减按90%计入当年收入总额计征当年企业所得税。</w:t>
              </w:r>
            </w:p>
            <w:p>
              <w:pPr>
                <w:rPr>
                  <w:szCs w:val="21"/>
                </w:rPr>
              </w:pPr>
            </w:p>
            <w:p>
              <w:pPr>
                <w:rPr>
                  <w:szCs w:val="21"/>
                </w:rPr>
              </w:pPr>
              <w:r>
                <w:rPr>
                  <w:rFonts w:hint="eastAsia"/>
                  <w:szCs w:val="21"/>
                </w:rPr>
                <w:t>（</w:t>
              </w:r>
              <w:r>
                <w:rPr>
                  <w:szCs w:val="21"/>
                </w:rPr>
                <w:t>2）本公司的“全规检抗震盘螺生产研发”、“预应力钢纹线用热轧盘条开发”等开发项目属科学研究与技术开发项目范畴，根据国家税务总局颁布的《企业研究开发费用税前扣除管理办法（试行）》（国税发[2008]116号）、财税〔2013〕70号关于研究开发费用税前加计扣除有关政策问题的通知规定，本公司对2017年实际发生的技术开发费用，在计算应纳税所得额时实行加计扣除。</w:t>
              </w:r>
            </w:p>
            <w:p>
              <w:pPr>
                <w:rPr>
                  <w:szCs w:val="21"/>
                </w:rPr>
              </w:pPr>
            </w:p>
            <w:p>
              <w:pPr>
                <w:rPr>
                  <w:szCs w:val="21"/>
                </w:rPr>
              </w:pPr>
              <w:r>
                <w:rPr>
                  <w:rFonts w:hint="eastAsia"/>
                  <w:szCs w:val="21"/>
                </w:rPr>
                <w:t>（</w:t>
              </w:r>
              <w:r>
                <w:rPr>
                  <w:szCs w:val="21"/>
                </w:rPr>
                <w:t>3）根据《财政部 国家税务总局关于执行环境保护专用设备企业所得税优惠目录 节能节水专用设备企业所得税优惠目录和安全生产专用设备企业所得税优惠目录有关问题的通知》（财税【2008】48号）的规定，本公司申办购置并使用的环境保护、节能节水、安全生产专用设备按专用设备投资额的10%抵减企业所得税。</w:t>
              </w:r>
            </w:p>
            <w:p>
              <w:pPr>
                <w:rPr>
                  <w:szCs w:val="21"/>
                </w:rPr>
              </w:pPr>
            </w:p>
            <w:p>
              <w:pPr>
                <w:rPr>
                  <w:szCs w:val="21"/>
                </w:rPr>
              </w:pPr>
              <w:r>
                <w:rPr>
                  <w:rFonts w:hint="eastAsia"/>
                  <w:szCs w:val="21"/>
                </w:rPr>
                <w:t>（</w:t>
              </w:r>
              <w:r>
                <w:rPr>
                  <w:szCs w:val="21"/>
                </w:rPr>
                <w:t>4）本公司生产的产品及应用的技术项目经广西壮族自治区工业和信息化委员会认定符合国家鼓励类产业政策（桂工信政法确认函[2012]99号）。根据国家发改委2011年第9号令《产业结构调整指导目录（2011年本）》、《关于深入实施西部大开发战略有关税收政策问题的通知》（财税【2011】58号）的规定，自2011年1月1日至2020年12月31日，对设在西部地区的鼓励类产业企业减按15%的税率征收企业所得税。</w:t>
              </w:r>
            </w:p>
            <w:p>
              <w:pPr>
                <w:rPr>
                  <w:szCs w:val="21"/>
                </w:rPr>
              </w:pPr>
            </w:p>
            <w:p>
              <w:pPr>
                <w:rPr>
                  <w:szCs w:val="21"/>
                </w:rPr>
              </w:pPr>
              <w:r>
                <w:rPr>
                  <w:rFonts w:hint="eastAsia"/>
                  <w:szCs w:val="21"/>
                </w:rPr>
                <w:t>（</w:t>
              </w:r>
              <w:r>
                <w:rPr>
                  <w:szCs w:val="21"/>
                </w:rPr>
                <w:t>5）本公司利用高炉煤气余热及余压生产的电力产品、利用干熄焦余热生产的热力（蒸汽）产品经广西资源综合利用产品认定委员会认定为资源综合利用产品。根据《财政部 国家税务总局关于调整完善资源综合利用产品及劳务增值税政策的通知》（财税[2011]115号）的规定，2017年办理享受增值税即征即退优惠政策。</w:t>
              </w:r>
            </w:p>
          </w:sdtContent>
        </w:sdt>
        <w:p>
          <w:pPr>
            <w:rPr>
              <w:rFonts w:asciiTheme="minorEastAsia" w:hAnsiTheme="minorEastAsia" w:eastAsiaTheme="minorEastAsia"/>
              <w:szCs w:val="21"/>
            </w:rPr>
          </w:pPr>
        </w:p>
      </w:sdtContent>
    </w:sdt>
    <w:sdt>
      <w:sdtPr>
        <w:rPr>
          <w:rFonts w:ascii="宋体" w:hAnsi="宋体" w:cs="宋体"/>
          <w:b w:val="0"/>
          <w:bCs w:val="0"/>
          <w:kern w:val="0"/>
          <w:sz w:val="24"/>
          <w:szCs w:val="22"/>
        </w:rPr>
        <w:alias w:val="模块:其他说明"/>
        <w:tag w:val="_GBC_9fdef48633e142f68e18dc5da08c2deb"/>
        <w:id w:val="6774262"/>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4"/>
            <w:numPr>
              <w:ilvl w:val="0"/>
              <w:numId w:val="65"/>
            </w:numPr>
            <w:tabs>
              <w:tab w:val="left" w:pos="546"/>
            </w:tabs>
            <w:rPr>
              <w:rFonts w:asciiTheme="minorEastAsia" w:hAnsiTheme="minorEastAsia" w:eastAsiaTheme="minorEastAsia"/>
            </w:rPr>
          </w:pPr>
          <w:r>
            <w:t>其他</w:t>
          </w:r>
        </w:p>
        <w:sdt>
          <w:sdtPr>
            <w:rPr>
              <w:rFonts w:hint="eastAsia"/>
              <w:szCs w:val="21"/>
            </w:rPr>
            <w:alias w:val="是否适用：税项说明[双击切换]"/>
            <w:tag w:val="_GBC_cb15d487e8d84ad7877bd8820156d381"/>
            <w:id w:val="6774261"/>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
      <w:pPr>
        <w:pStyle w:val="3"/>
        <w:numPr>
          <w:ilvl w:val="0"/>
          <w:numId w:val="54"/>
        </w:numPr>
      </w:pPr>
      <w:r>
        <w:rPr>
          <w:rFonts w:hint="eastAsia"/>
        </w:rPr>
        <w:t>合并财务报表项目注释</w:t>
      </w:r>
    </w:p>
    <w:sdt>
      <w:sdtPr>
        <w:rPr>
          <w:rFonts w:hint="eastAsia" w:ascii="宋体" w:hAnsi="宋体" w:cs="宋体"/>
          <w:b w:val="0"/>
          <w:bCs w:val="0"/>
          <w:kern w:val="0"/>
          <w:szCs w:val="21"/>
        </w:rPr>
        <w:alias w:val="模块:货币资金"/>
        <w:tag w:val="_GBC_e001074b3db146e59ba240ad8dd14b68"/>
        <w:id w:val="6774275"/>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66"/>
            </w:numPr>
            <w:rPr>
              <w:szCs w:val="21"/>
            </w:rPr>
          </w:pPr>
          <w:r>
            <w:rPr>
              <w:szCs w:val="21"/>
            </w:rPr>
            <w:t>货币资金</w:t>
          </w:r>
        </w:p>
        <w:sdt>
          <w:sdtPr>
            <w:rPr>
              <w:rFonts w:hint="eastAsia"/>
              <w:szCs w:val="21"/>
            </w:rPr>
            <w:alias w:val="是否适用：货币资金[双击切换]"/>
            <w:tag w:val="_GBC_7583a9a918ef405ba2d26448cc628ff5"/>
            <w:id w:val="6774263"/>
            <w:lock w:val="sdtContentLocked"/>
            <w:placeholder>
              <w:docPart w:val="GBC22222222222222222222222222222"/>
            </w:placeholder>
          </w:sdtPr>
          <w:sdtEndPr>
            <w:rPr>
              <w:rFonts w:hint="eastAsia"/>
              <w:szCs w:val="21"/>
            </w:rPr>
          </w:sdtEndPr>
          <w:sdtContent>
            <w:p>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67742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67742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2"/>
            <w:gridCol w:w="3298"/>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640e7daf451b4f14ba49162bfbbd1e72"/>
                <w:id w:val="6774266"/>
                <w:lock w:val="sdtLocked"/>
              </w:sdtPr>
              <w:sdtContent>
                <w:tc>
                  <w:tcPr>
                    <w:tcW w:w="2222" w:type="dxa"/>
                    <w:shd w:val="clear" w:color="auto" w:fill="auto"/>
                    <w:vAlign w:val="center"/>
                  </w:tcPr>
                  <w:p>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6774267"/>
                <w:lock w:val="sdtLocked"/>
              </w:sdtPr>
              <w:sdtContent>
                <w:tc>
                  <w:tcPr>
                    <w:tcW w:w="3298" w:type="dxa"/>
                    <w:shd w:val="clear" w:color="auto" w:fill="auto"/>
                    <w:vAlign w:val="center"/>
                  </w:tcPr>
                  <w:p>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6774268"/>
                <w:lock w:val="sdtLocked"/>
              </w:sdtPr>
              <w:sdtContent>
                <w:tc>
                  <w:tcPr>
                    <w:tcW w:w="3323" w:type="dxa"/>
                    <w:shd w:val="clear" w:color="auto" w:fill="auto"/>
                    <w:vAlign w:val="center"/>
                  </w:tcPr>
                  <w:p>
                    <w:pPr>
                      <w:autoSpaceDE w:val="0"/>
                      <w:autoSpaceDN w:val="0"/>
                      <w:adjustRightInd w:val="0"/>
                      <w:snapToGrid w:val="0"/>
                      <w:spacing w:line="240" w:lineRule="atLeast"/>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55b07f50e1e44a558dc393086d2f0e7f"/>
                <w:id w:val="6774269"/>
                <w:lock w:val="sdtLocked"/>
              </w:sdtPr>
              <w:sdtContent>
                <w:tc>
                  <w:tcPr>
                    <w:tcW w:w="2222" w:type="dxa"/>
                    <w:shd w:val="clear" w:color="auto" w:fill="auto"/>
                  </w:tcPr>
                  <w:p>
                    <w:pPr>
                      <w:autoSpaceDE w:val="0"/>
                      <w:autoSpaceDN w:val="0"/>
                      <w:adjustRightInd w:val="0"/>
                      <w:snapToGrid w:val="0"/>
                      <w:spacing w:line="240" w:lineRule="atLeast"/>
                      <w:rPr>
                        <w:szCs w:val="21"/>
                      </w:rPr>
                    </w:pPr>
                    <w:r>
                      <w:rPr>
                        <w:rFonts w:hint="eastAsia"/>
                        <w:szCs w:val="21"/>
                      </w:rPr>
                      <w:t>库存现金</w:t>
                    </w:r>
                  </w:p>
                </w:tc>
              </w:sdtContent>
            </w:sdt>
            <w:tc>
              <w:tcPr>
                <w:tcW w:w="3298" w:type="dxa"/>
                <w:shd w:val="clear" w:color="auto" w:fill="auto"/>
              </w:tcPr>
              <w:p>
                <w:pPr>
                  <w:autoSpaceDE w:val="0"/>
                  <w:autoSpaceDN w:val="0"/>
                  <w:adjustRightInd w:val="0"/>
                  <w:snapToGrid w:val="0"/>
                  <w:spacing w:line="240" w:lineRule="atLeast"/>
                  <w:jc w:val="right"/>
                  <w:rPr>
                    <w:szCs w:val="21"/>
                  </w:rPr>
                </w:pPr>
              </w:p>
            </w:tc>
            <w:tc>
              <w:tcPr>
                <w:tcW w:w="3323" w:type="dxa"/>
                <w:shd w:val="clear" w:color="auto" w:fill="auto"/>
              </w:tcPr>
              <w:p>
                <w:pPr>
                  <w:autoSpaceDE w:val="0"/>
                  <w:autoSpaceDN w:val="0"/>
                  <w:adjustRightInd w:val="0"/>
                  <w:snapToGrid w:val="0"/>
                  <w:spacing w:line="240" w:lineRule="atLeast"/>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29d0fc45c2044da8ab0120f52fea8366"/>
                <w:id w:val="6774270"/>
                <w:lock w:val="sdtLocked"/>
              </w:sdtPr>
              <w:sdtContent>
                <w:tc>
                  <w:tcPr>
                    <w:tcW w:w="2222" w:type="dxa"/>
                    <w:shd w:val="clear" w:color="auto" w:fill="auto"/>
                  </w:tcPr>
                  <w:p>
                    <w:pPr>
                      <w:autoSpaceDE w:val="0"/>
                      <w:autoSpaceDN w:val="0"/>
                      <w:adjustRightInd w:val="0"/>
                      <w:snapToGrid w:val="0"/>
                      <w:spacing w:line="240" w:lineRule="atLeast"/>
                      <w:rPr>
                        <w:szCs w:val="21"/>
                      </w:rPr>
                    </w:pPr>
                    <w:r>
                      <w:rPr>
                        <w:rFonts w:hint="eastAsia"/>
                        <w:szCs w:val="21"/>
                      </w:rPr>
                      <w:t>银行存款</w:t>
                    </w:r>
                  </w:p>
                </w:tc>
              </w:sdtContent>
            </w:sdt>
            <w:tc>
              <w:tcPr>
                <w:tcW w:w="3298" w:type="dxa"/>
                <w:shd w:val="clear" w:color="auto" w:fill="auto"/>
              </w:tcPr>
              <w:p>
                <w:pPr>
                  <w:autoSpaceDE w:val="0"/>
                  <w:autoSpaceDN w:val="0"/>
                  <w:adjustRightInd w:val="0"/>
                  <w:snapToGrid w:val="0"/>
                  <w:spacing w:line="240" w:lineRule="atLeast"/>
                  <w:jc w:val="right"/>
                  <w:rPr>
                    <w:szCs w:val="21"/>
                  </w:rPr>
                </w:pPr>
                <w:r>
                  <w:t>2,837,003,776.29</w:t>
                </w:r>
              </w:p>
            </w:tc>
            <w:tc>
              <w:tcPr>
                <w:tcW w:w="3323" w:type="dxa"/>
                <w:shd w:val="clear" w:color="auto" w:fill="auto"/>
              </w:tcPr>
              <w:p>
                <w:pPr>
                  <w:autoSpaceDE w:val="0"/>
                  <w:autoSpaceDN w:val="0"/>
                  <w:adjustRightInd w:val="0"/>
                  <w:snapToGrid w:val="0"/>
                  <w:spacing w:line="240" w:lineRule="atLeast"/>
                  <w:jc w:val="right"/>
                  <w:rPr>
                    <w:szCs w:val="21"/>
                  </w:rPr>
                </w:pPr>
                <w:r>
                  <w:t>1,037,031,187.89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c1e18aed267f4e76a33b93512faddc98"/>
                <w:id w:val="6774271"/>
                <w:lock w:val="sdtLocked"/>
              </w:sdtPr>
              <w:sdtContent>
                <w:tc>
                  <w:tcPr>
                    <w:tcW w:w="2222" w:type="dxa"/>
                    <w:shd w:val="clear" w:color="auto" w:fill="auto"/>
                  </w:tcPr>
                  <w:p>
                    <w:pPr>
                      <w:autoSpaceDE w:val="0"/>
                      <w:autoSpaceDN w:val="0"/>
                      <w:adjustRightInd w:val="0"/>
                      <w:snapToGrid w:val="0"/>
                      <w:spacing w:line="240" w:lineRule="atLeast"/>
                      <w:rPr>
                        <w:szCs w:val="21"/>
                      </w:rPr>
                    </w:pPr>
                    <w:r>
                      <w:rPr>
                        <w:rFonts w:hint="eastAsia"/>
                        <w:szCs w:val="21"/>
                      </w:rPr>
                      <w:t>其他货币资金</w:t>
                    </w:r>
                  </w:p>
                </w:tc>
              </w:sdtContent>
            </w:sdt>
            <w:tc>
              <w:tcPr>
                <w:tcW w:w="3298" w:type="dxa"/>
                <w:shd w:val="clear" w:color="auto" w:fill="auto"/>
              </w:tcPr>
              <w:p>
                <w:pPr>
                  <w:autoSpaceDE w:val="0"/>
                  <w:autoSpaceDN w:val="0"/>
                  <w:adjustRightInd w:val="0"/>
                  <w:snapToGrid w:val="0"/>
                  <w:spacing w:line="240" w:lineRule="atLeast"/>
                  <w:jc w:val="right"/>
                  <w:rPr>
                    <w:szCs w:val="21"/>
                  </w:rPr>
                </w:pPr>
                <w:r>
                  <w:t>277,637,600.98</w:t>
                </w:r>
              </w:p>
            </w:tc>
            <w:tc>
              <w:tcPr>
                <w:tcW w:w="3323" w:type="dxa"/>
                <w:shd w:val="clear" w:color="auto" w:fill="auto"/>
              </w:tcPr>
              <w:p>
                <w:pPr>
                  <w:autoSpaceDE w:val="0"/>
                  <w:autoSpaceDN w:val="0"/>
                  <w:adjustRightInd w:val="0"/>
                  <w:snapToGrid w:val="0"/>
                  <w:spacing w:line="240" w:lineRule="atLeast"/>
                  <w:jc w:val="right"/>
                  <w:rPr>
                    <w:szCs w:val="21"/>
                  </w:rPr>
                </w:pPr>
                <w:r>
                  <w:t>259,977,655.84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4aea35e6574448b9a1396c2c1b22290f"/>
                <w:id w:val="6774272"/>
                <w:lock w:val="sdtLocked"/>
              </w:sdtPr>
              <w:sdtContent>
                <w:tc>
                  <w:tcPr>
                    <w:tcW w:w="2222" w:type="dxa"/>
                    <w:shd w:val="clear" w:color="auto" w:fill="auto"/>
                    <w:vAlign w:val="center"/>
                  </w:tcPr>
                  <w:p>
                    <w:pPr>
                      <w:autoSpaceDE w:val="0"/>
                      <w:autoSpaceDN w:val="0"/>
                      <w:adjustRightInd w:val="0"/>
                      <w:snapToGrid w:val="0"/>
                      <w:spacing w:line="240" w:lineRule="atLeast"/>
                      <w:rPr>
                        <w:szCs w:val="21"/>
                      </w:rPr>
                    </w:pPr>
                    <w:r>
                      <w:rPr>
                        <w:rFonts w:hint="eastAsia"/>
                        <w:szCs w:val="21"/>
                      </w:rPr>
                      <w:t>合计</w:t>
                    </w:r>
                  </w:p>
                </w:tc>
              </w:sdtContent>
            </w:sdt>
            <w:tc>
              <w:tcPr>
                <w:tcW w:w="3298" w:type="dxa"/>
                <w:shd w:val="clear" w:color="auto" w:fill="auto"/>
              </w:tcPr>
              <w:p>
                <w:pPr>
                  <w:autoSpaceDE w:val="0"/>
                  <w:autoSpaceDN w:val="0"/>
                  <w:adjustRightInd w:val="0"/>
                  <w:snapToGrid w:val="0"/>
                  <w:spacing w:line="240" w:lineRule="atLeast"/>
                  <w:jc w:val="right"/>
                  <w:rPr>
                    <w:szCs w:val="21"/>
                  </w:rPr>
                </w:pPr>
                <w:r>
                  <w:t>3,114,641,377.27</w:t>
                </w:r>
              </w:p>
            </w:tc>
            <w:tc>
              <w:tcPr>
                <w:tcW w:w="3323" w:type="dxa"/>
                <w:shd w:val="clear" w:color="auto" w:fill="auto"/>
              </w:tcPr>
              <w:p>
                <w:pPr>
                  <w:autoSpaceDE w:val="0"/>
                  <w:autoSpaceDN w:val="0"/>
                  <w:adjustRightInd w:val="0"/>
                  <w:snapToGrid w:val="0"/>
                  <w:spacing w:line="240" w:lineRule="atLeast"/>
                  <w:jc w:val="right"/>
                  <w:rPr>
                    <w:szCs w:val="21"/>
                  </w:rPr>
                </w:pPr>
                <w:r>
                  <w:t>1,297,008,843.73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sdt>
              <w:sdtPr>
                <w:tag w:val="_PLD_bde21157aed743d5a01686780a359fcc"/>
                <w:id w:val="6774273"/>
                <w:lock w:val="sdtLocked"/>
              </w:sdtPr>
              <w:sdtContent>
                <w:tc>
                  <w:tcPr>
                    <w:tcW w:w="2222" w:type="dxa"/>
                    <w:shd w:val="clear" w:color="auto" w:fill="auto"/>
                  </w:tcPr>
                  <w:p>
                    <w:pPr>
                      <w:autoSpaceDE w:val="0"/>
                      <w:autoSpaceDN w:val="0"/>
                      <w:adjustRightInd w:val="0"/>
                      <w:snapToGrid w:val="0"/>
                      <w:spacing w:line="240" w:lineRule="atLeast"/>
                      <w:ind w:firstLine="210" w:firstLineChars="100"/>
                      <w:jc w:val="center"/>
                      <w:rPr>
                        <w:szCs w:val="21"/>
                      </w:rPr>
                    </w:pPr>
                    <w:r>
                      <w:rPr>
                        <w:rFonts w:hint="eastAsia"/>
                        <w:szCs w:val="21"/>
                      </w:rPr>
                      <w:t>其中：存放在境外的款项总额</w:t>
                    </w:r>
                  </w:p>
                </w:tc>
              </w:sdtContent>
            </w:sdt>
            <w:tc>
              <w:tcPr>
                <w:tcW w:w="3298" w:type="dxa"/>
                <w:shd w:val="clear" w:color="auto" w:fill="auto"/>
              </w:tcPr>
              <w:p>
                <w:pPr>
                  <w:autoSpaceDE w:val="0"/>
                  <w:autoSpaceDN w:val="0"/>
                  <w:adjustRightInd w:val="0"/>
                  <w:snapToGrid w:val="0"/>
                  <w:spacing w:line="240" w:lineRule="atLeast"/>
                  <w:jc w:val="right"/>
                  <w:rPr>
                    <w:szCs w:val="21"/>
                  </w:rPr>
                </w:pPr>
              </w:p>
            </w:tc>
            <w:tc>
              <w:tcPr>
                <w:tcW w:w="3323" w:type="dxa"/>
                <w:shd w:val="clear" w:color="auto" w:fill="auto"/>
              </w:tcPr>
              <w:p>
                <w:pPr>
                  <w:autoSpaceDE w:val="0"/>
                  <w:autoSpaceDN w:val="0"/>
                  <w:adjustRightInd w:val="0"/>
                  <w:snapToGrid w:val="0"/>
                  <w:spacing w:line="240" w:lineRule="atLeast"/>
                  <w:jc w:val="right"/>
                  <w:rPr>
                    <w:szCs w:val="21"/>
                  </w:rPr>
                </w:pPr>
              </w:p>
            </w:tc>
          </w:tr>
        </w:tbl>
        <w:p>
          <w:pPr>
            <w:rPr>
              <w:szCs w:val="21"/>
            </w:rPr>
          </w:pPr>
          <w:r>
            <w:rPr>
              <w:rFonts w:hint="eastAsia"/>
              <w:szCs w:val="21"/>
            </w:rPr>
            <w:t>其他说明</w:t>
          </w:r>
        </w:p>
        <w:sdt>
          <w:sdtPr>
            <w:rPr>
              <w:szCs w:val="21"/>
            </w:rPr>
            <w:alias w:val="货币资金的说明"/>
            <w:tag w:val="_GBC_672a863055084dfabbc1ba40f04a68b4"/>
            <w:id w:val="6774274"/>
            <w:lock w:val="sdtLocked"/>
            <w:placeholder>
              <w:docPart w:val="GBC22222222222222222222222222222"/>
            </w:placeholder>
          </w:sdtPr>
          <w:sdtEndPr>
            <w:rPr>
              <w:szCs w:val="21"/>
            </w:rPr>
          </w:sdtEndPr>
          <w:sdtContent>
            <w:p>
              <w:pPr>
                <w:rPr>
                  <w:szCs w:val="21"/>
                </w:rPr>
              </w:pPr>
              <w:r>
                <w:rPr>
                  <w:rFonts w:hint="eastAsia"/>
                  <w:szCs w:val="21"/>
                </w:rPr>
                <w:t>期末其他货币资金余额中有</w:t>
              </w:r>
              <w:r>
                <w:rPr>
                  <w:rFonts w:hint="eastAsia" w:cs="Arial"/>
                  <w:szCs w:val="21"/>
                </w:rPr>
                <w:t>277,623,343.41</w:t>
              </w:r>
              <w:r>
                <w:rPr>
                  <w:szCs w:val="21"/>
                </w:rPr>
                <w:t>元使用受限，主要用于汇票</w:t>
              </w:r>
              <w:r>
                <w:rPr>
                  <w:rFonts w:hint="eastAsia"/>
                  <w:szCs w:val="21"/>
                </w:rPr>
                <w:t>、</w:t>
              </w:r>
              <w:r>
                <w:rPr>
                  <w:szCs w:val="21"/>
                </w:rPr>
                <w:t>信用证保证金。该受限资金在编制现金流量表时不计入现金及现金等价物。</w:t>
              </w:r>
            </w:p>
          </w:sdtContent>
        </w:sdt>
        <w:p>
          <w:pPr>
            <w:rPr>
              <w:szCs w:val="21"/>
            </w:rPr>
          </w:pPr>
        </w:p>
      </w:sdtContent>
    </w:sdt>
    <w:p>
      <w:pPr>
        <w:pStyle w:val="4"/>
        <w:numPr>
          <w:ilvl w:val="0"/>
          <w:numId w:val="66"/>
        </w:numPr>
      </w:pPr>
      <w:r>
        <w:rPr>
          <w:rFonts w:hint="eastAsia"/>
        </w:rPr>
        <w:t>以公允价值计量且其变动计入当期损益的金融资产</w:t>
      </w:r>
    </w:p>
    <w:sdt>
      <w:sdtPr>
        <w:alias w:val="是否适用：以公允价值计量且其变动计入当期损益的金融资产[双击切换]"/>
        <w:tag w:val="_GBC_eec74964607b480ba31c944ab5ce1e9f"/>
        <w:id w:val="677427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交易性金融资产情况"/>
        <w:tag w:val="_SEC_5bfed8c02b82475da6eaa9301fcb7dc1"/>
        <w:id w:val="6774292"/>
        <w:lock w:val="sdtLocked"/>
        <w:placeholder>
          <w:docPart w:val="GBC22222222222222222222222222222"/>
        </w:placeholder>
      </w:sdtPr>
      <w:sdtEndPr>
        <w:rPr>
          <w:rFonts w:hint="eastAsia"/>
          <w:b w:val="0"/>
          <w:bCs w:val="0"/>
          <w:szCs w:val="24"/>
        </w:rPr>
      </w:sdtEndPr>
      <w:sdtContent>
        <w:p>
          <w:pPr>
            <w:jc w:val="right"/>
            <w:rPr>
              <w:szCs w:val="21"/>
            </w:rPr>
          </w:pPr>
          <w:r>
            <w:rPr>
              <w:rFonts w:hint="eastAsia"/>
              <w:szCs w:val="21"/>
            </w:rPr>
            <w:t>单位：</w:t>
          </w:r>
          <w:sdt>
            <w:sdtPr>
              <w:rPr>
                <w:rFonts w:hint="eastAsia"/>
                <w:szCs w:val="21"/>
              </w:rPr>
              <w:alias w:val="单位：财务附注：以公允价值计量且其变动计入当期损益的金融资产"/>
              <w:tag w:val="_GBC_9da9f891eacc4cc2b786b418434362cc"/>
              <w:id w:val="67742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以公允价值计量且其变动计入当期损益的金融资产"/>
              <w:tag w:val="_GBC_38e4edf757f143ff86a911fa78bf9fbf"/>
              <w:id w:val="67742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2897"/>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2f4e780aa58493e9f4a99fa0b492ca5"/>
                <w:id w:val="6774279"/>
                <w:lock w:val="sdtLocked"/>
              </w:sdtPr>
              <w:sdtContent>
                <w:tc>
                  <w:tcPr>
                    <w:tcW w:w="31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项目</w:t>
                    </w:r>
                  </w:p>
                </w:tc>
              </w:sdtContent>
            </w:sdt>
            <w:sdt>
              <w:sdtPr>
                <w:tag w:val="_PLD_fc7bca8ec1e54b57a543538e0244ca81"/>
                <w:id w:val="6774280"/>
                <w:lock w:val="sdtLocked"/>
              </w:sdtPr>
              <w:sdtContent>
                <w:tc>
                  <w:tcPr>
                    <w:tcW w:w="28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期末余额</w:t>
                    </w:r>
                  </w:p>
                </w:tc>
              </w:sdtContent>
            </w:sdt>
            <w:sdt>
              <w:sdtPr>
                <w:tag w:val="_PLD_5ddb8800e1c3424fa4c3175f7fa69ac0"/>
                <w:id w:val="6774281"/>
                <w:lock w:val="sdtLocked"/>
              </w:sdtPr>
              <w:sdtContent>
                <w:tc>
                  <w:tcPr>
                    <w:tcW w:w="30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3f5b7f4ef3147e683355ef32d076534"/>
                <w:id w:val="6774282"/>
                <w:lock w:val="sdtLocked"/>
              </w:sdtPr>
              <w:sdtContent>
                <w:tc>
                  <w:tcPr>
                    <w:tcW w:w="3133" w:type="dxa"/>
                    <w:tcBorders>
                      <w:top w:val="single" w:color="auto" w:sz="4" w:space="0"/>
                      <w:left w:val="single" w:color="auto" w:sz="4" w:space="0"/>
                      <w:bottom w:val="single" w:color="auto" w:sz="4" w:space="0"/>
                      <w:right w:val="single" w:color="auto" w:sz="4" w:space="0"/>
                    </w:tcBorders>
                  </w:tcPr>
                  <w:p>
                    <w:r>
                      <w:rPr>
                        <w:rFonts w:hint="eastAsia"/>
                      </w:rPr>
                      <w:t>交易性金融资产</w:t>
                    </w:r>
                  </w:p>
                </w:tc>
              </w:sdtContent>
            </w:sdt>
            <w:tc>
              <w:tcPr>
                <w:tcW w:w="2897" w:type="dxa"/>
                <w:tcBorders>
                  <w:top w:val="single" w:color="auto" w:sz="4" w:space="0"/>
                  <w:left w:val="single" w:color="auto" w:sz="4" w:space="0"/>
                  <w:bottom w:val="single" w:color="auto" w:sz="4" w:space="0"/>
                  <w:right w:val="single" w:color="auto" w:sz="4" w:space="0"/>
                </w:tcBorders>
              </w:tcPr>
              <w:p>
                <w:pPr>
                  <w:jc w:val="right"/>
                  <w:rPr>
                    <w:szCs w:val="21"/>
                  </w:rPr>
                </w:pPr>
                <w:r>
                  <w:t>27,568,000.00</w:t>
                </w:r>
              </w:p>
            </w:tc>
            <w:tc>
              <w:tcPr>
                <w:tcW w:w="301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t>26,562,400.00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1d18604ddaf417b9f796686a7d17ce9"/>
                <w:id w:val="6774283"/>
                <w:lock w:val="sdtLocked"/>
              </w:sdtPr>
              <w:sdtContent>
                <w:tc>
                  <w:tcPr>
                    <w:tcW w:w="313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其中：债务工具投资</w:t>
                    </w:r>
                  </w:p>
                </w:tc>
              </w:sdtContent>
            </w:sdt>
            <w:tc>
              <w:tcPr>
                <w:tcW w:w="2897" w:type="dxa"/>
                <w:tcBorders>
                  <w:top w:val="single" w:color="auto" w:sz="4" w:space="0"/>
                  <w:left w:val="single" w:color="auto" w:sz="4" w:space="0"/>
                  <w:bottom w:val="single" w:color="auto" w:sz="4" w:space="0"/>
                  <w:right w:val="single" w:color="auto" w:sz="4" w:space="0"/>
                </w:tcBorders>
              </w:tcPr>
              <w:p>
                <w:pPr>
                  <w:jc w:val="right"/>
                  <w:rPr>
                    <w:szCs w:val="21"/>
                  </w:rPr>
                </w:pPr>
                <w:r>
                  <w:t>27,568,000.00</w:t>
                </w:r>
              </w:p>
            </w:tc>
            <w:tc>
              <w:tcPr>
                <w:tcW w:w="301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653efca860a408796cb7be53b636101"/>
                <w:id w:val="6774284"/>
                <w:lock w:val="sdtLocked"/>
              </w:sdtPr>
              <w:sdtContent>
                <w:tc>
                  <w:tcPr>
                    <w:tcW w:w="313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630" w:firstLineChars="300"/>
                      <w:rPr>
                        <w:szCs w:val="21"/>
                      </w:rPr>
                    </w:pPr>
                    <w:r>
                      <w:rPr>
                        <w:rFonts w:hint="eastAsia"/>
                        <w:szCs w:val="21"/>
                      </w:rPr>
                      <w:t>权益工具投资</w:t>
                    </w:r>
                  </w:p>
                </w:tc>
              </w:sdtContent>
            </w:sdt>
            <w:tc>
              <w:tcPr>
                <w:tcW w:w="2897" w:type="dxa"/>
                <w:tcBorders>
                  <w:top w:val="single" w:color="auto" w:sz="4" w:space="0"/>
                  <w:left w:val="single" w:color="auto" w:sz="4" w:space="0"/>
                  <w:bottom w:val="single" w:color="auto" w:sz="4" w:space="0"/>
                  <w:right w:val="single" w:color="auto" w:sz="4" w:space="0"/>
                </w:tcBorders>
              </w:tcPr>
              <w:p>
                <w:pPr>
                  <w:jc w:val="right"/>
                  <w:rPr>
                    <w:szCs w:val="21"/>
                  </w:rPr>
                </w:pPr>
              </w:p>
            </w:tc>
            <w:tc>
              <w:tcPr>
                <w:tcW w:w="301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t>26,562,400.00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c8ed6ac0e4942d8a32b46165ad4e100"/>
                <w:id w:val="6774285"/>
                <w:lock w:val="sdtLocked"/>
              </w:sdtPr>
              <w:sdtContent>
                <w:tc>
                  <w:tcPr>
                    <w:tcW w:w="313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630" w:firstLineChars="300"/>
                      <w:rPr>
                        <w:szCs w:val="21"/>
                      </w:rPr>
                    </w:pPr>
                    <w:r>
                      <w:rPr>
                        <w:rFonts w:hint="eastAsia"/>
                        <w:szCs w:val="21"/>
                      </w:rPr>
                      <w:t>衍生金融资产</w:t>
                    </w:r>
                  </w:p>
                </w:tc>
              </w:sdtContent>
            </w:sdt>
            <w:tc>
              <w:tcPr>
                <w:tcW w:w="2897" w:type="dxa"/>
                <w:tcBorders>
                  <w:top w:val="single" w:color="auto" w:sz="4" w:space="0"/>
                  <w:left w:val="single" w:color="auto" w:sz="4" w:space="0"/>
                  <w:bottom w:val="single" w:color="auto" w:sz="4" w:space="0"/>
                  <w:right w:val="single" w:color="auto" w:sz="4" w:space="0"/>
                </w:tcBorders>
              </w:tcPr>
              <w:p>
                <w:pPr>
                  <w:jc w:val="right"/>
                  <w:rPr>
                    <w:szCs w:val="21"/>
                  </w:rPr>
                </w:pPr>
              </w:p>
            </w:tc>
            <w:tc>
              <w:tcPr>
                <w:tcW w:w="301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9ac324d58d44c088771b5e929b111e9"/>
                <w:id w:val="6774286"/>
                <w:lock w:val="sdtLocked"/>
              </w:sdtPr>
              <w:sdtContent>
                <w:tc>
                  <w:tcPr>
                    <w:tcW w:w="313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630" w:firstLineChars="300"/>
                      <w:rPr>
                        <w:szCs w:val="21"/>
                      </w:rPr>
                    </w:pPr>
                    <w:r>
                      <w:rPr>
                        <w:rFonts w:hint="eastAsia"/>
                        <w:szCs w:val="21"/>
                      </w:rPr>
                      <w:t>其他</w:t>
                    </w:r>
                  </w:p>
                </w:tc>
              </w:sdtContent>
            </w:sdt>
            <w:tc>
              <w:tcPr>
                <w:tcW w:w="289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c>
              <w:tcPr>
                <w:tcW w:w="301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04bf13488bb4ee8b5ffe44a00a1860c"/>
                <w:id w:val="6774287"/>
                <w:lock w:val="sdtLocked"/>
              </w:sdtPr>
              <w:sdtContent>
                <w:tc>
                  <w:tcPr>
                    <w:tcW w:w="313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指定以公允价值计量且其变动计入当期损益的金融资产</w:t>
                    </w:r>
                  </w:p>
                </w:tc>
              </w:sdtContent>
            </w:sdt>
            <w:tc>
              <w:tcPr>
                <w:tcW w:w="2897" w:type="dxa"/>
                <w:tcBorders>
                  <w:top w:val="single" w:color="auto" w:sz="4" w:space="0"/>
                  <w:left w:val="single" w:color="auto" w:sz="4" w:space="0"/>
                  <w:bottom w:val="single" w:color="auto" w:sz="4" w:space="0"/>
                  <w:right w:val="single" w:color="auto" w:sz="4" w:space="0"/>
                </w:tcBorders>
              </w:tcPr>
              <w:p>
                <w:pPr>
                  <w:jc w:val="right"/>
                  <w:rPr>
                    <w:szCs w:val="21"/>
                  </w:rPr>
                </w:pPr>
              </w:p>
            </w:tc>
            <w:tc>
              <w:tcPr>
                <w:tcW w:w="301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a9b4e2a19a04c98bdbc3979738dce7f"/>
                <w:id w:val="6774288"/>
                <w:lock w:val="sdtLocked"/>
              </w:sdtPr>
              <w:sdtContent>
                <w:tc>
                  <w:tcPr>
                    <w:tcW w:w="313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其中：债务工具投资</w:t>
                    </w:r>
                  </w:p>
                </w:tc>
              </w:sdtContent>
            </w:sdt>
            <w:tc>
              <w:tcPr>
                <w:tcW w:w="289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c>
              <w:tcPr>
                <w:tcW w:w="301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29bc796240948b3968b7c91cc35ba81"/>
                <w:id w:val="6774289"/>
                <w:lock w:val="sdtLocked"/>
              </w:sdtPr>
              <w:sdtContent>
                <w:tc>
                  <w:tcPr>
                    <w:tcW w:w="313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630" w:firstLineChars="300"/>
                      <w:rPr>
                        <w:szCs w:val="21"/>
                      </w:rPr>
                    </w:pPr>
                    <w:r>
                      <w:rPr>
                        <w:rFonts w:hint="eastAsia"/>
                        <w:szCs w:val="21"/>
                      </w:rPr>
                      <w:t>权益工具投资</w:t>
                    </w:r>
                  </w:p>
                </w:tc>
              </w:sdtContent>
            </w:sdt>
            <w:tc>
              <w:tcPr>
                <w:tcW w:w="289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c>
              <w:tcPr>
                <w:tcW w:w="301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2043b1635e343fab768c672b16da7d4"/>
                <w:id w:val="6774290"/>
                <w:lock w:val="sdtLocked"/>
              </w:sdtPr>
              <w:sdtContent>
                <w:tc>
                  <w:tcPr>
                    <w:tcW w:w="313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630" w:firstLineChars="300"/>
                      <w:rPr>
                        <w:szCs w:val="21"/>
                      </w:rPr>
                    </w:pPr>
                    <w:r>
                      <w:rPr>
                        <w:rFonts w:hint="eastAsia"/>
                        <w:szCs w:val="21"/>
                      </w:rPr>
                      <w:t>其他</w:t>
                    </w:r>
                  </w:p>
                </w:tc>
              </w:sdtContent>
            </w:sdt>
            <w:tc>
              <w:tcPr>
                <w:tcW w:w="289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c>
              <w:tcPr>
                <w:tcW w:w="301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1689e44a9a54438bcc87d4e43c35171"/>
                <w:id w:val="6774291"/>
                <w:lock w:val="sdtLocked"/>
              </w:sdtPr>
              <w:sdtContent>
                <w:tc>
                  <w:tcPr>
                    <w:tcW w:w="31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合计</w:t>
                    </w:r>
                  </w:p>
                </w:tc>
              </w:sdtContent>
            </w:sdt>
            <w:tc>
              <w:tcPr>
                <w:tcW w:w="289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t>27,568,000.00</w:t>
                </w:r>
              </w:p>
            </w:tc>
            <w:tc>
              <w:tcPr>
                <w:tcW w:w="301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t>26,562,400.00</w:t>
                </w:r>
              </w:p>
            </w:tc>
          </w:tr>
        </w:tbl>
        <w:p/>
        <w:p/>
      </w:sdtContent>
    </w:sdt>
    <w:sdt>
      <w:sdtPr>
        <w:rPr>
          <w:rFonts w:hint="eastAsia"/>
          <w:szCs w:val="21"/>
        </w:rPr>
        <w:alias w:val="模块:套期工具及对相关套期交易的说明：clcid-pte:Tao..."/>
        <w:tag w:val="_SEC_0c16823d79514d1e99c640658225dd1a"/>
        <w:id w:val="6774294"/>
        <w:lock w:val="sdtLocked"/>
        <w:placeholder>
          <w:docPart w:val="GBC22222222222222222222222222222"/>
        </w:placeholder>
      </w:sdtPr>
      <w:sdtEndPr>
        <w:rPr>
          <w:rFonts w:hint="default"/>
          <w:szCs w:val="21"/>
        </w:rPr>
      </w:sdtEndPr>
      <w:sdtContent>
        <w:p>
          <w:pPr>
            <w:rPr>
              <w:szCs w:val="21"/>
            </w:rPr>
          </w:pPr>
          <w:r>
            <w:rPr>
              <w:rFonts w:hint="eastAsia"/>
              <w:szCs w:val="21"/>
            </w:rPr>
            <w:t>其他</w:t>
          </w:r>
          <w:r>
            <w:rPr>
              <w:szCs w:val="21"/>
            </w:rPr>
            <w:t>说明</w:t>
          </w:r>
          <w:r>
            <w:rPr>
              <w:rFonts w:hint="eastAsia"/>
              <w:szCs w:val="21"/>
            </w:rPr>
            <w:t>：</w:t>
          </w:r>
        </w:p>
        <w:sdt>
          <w:sdtPr>
            <w:rPr>
              <w:szCs w:val="21"/>
            </w:rPr>
            <w:alias w:val="以公允价值计量且其变动计入当期损益的金融资产的说明"/>
            <w:tag w:val="_GBC_b9f2b37df9214eb8b465f15be2719044"/>
            <w:id w:val="6774293"/>
            <w:lock w:val="sdtLocked"/>
            <w:placeholder>
              <w:docPart w:val="GBC22222222222222222222222222222"/>
            </w:placeholder>
          </w:sdtPr>
          <w:sdtEndPr>
            <w:rPr>
              <w:szCs w:val="21"/>
            </w:rPr>
          </w:sdtEndPr>
          <w:sdtContent>
            <w:p>
              <w:pPr>
                <w:rPr>
                  <w:szCs w:val="21"/>
                </w:rPr>
              </w:pPr>
              <w:r>
                <w:rPr>
                  <w:rFonts w:hint="eastAsia"/>
                  <w:szCs w:val="21"/>
                </w:rPr>
                <w:t>公司期末无变现受限制的交易性金融资产。</w:t>
              </w:r>
            </w:p>
          </w:sdtContent>
        </w:sdt>
      </w:sdtContent>
    </w:sdt>
    <w:p>
      <w:pPr>
        <w:snapToGrid w:val="0"/>
        <w:spacing w:line="240" w:lineRule="atLeast"/>
        <w:ind w:left="1470" w:right="25" w:rightChars="12" w:hanging="1470" w:hangingChars="700"/>
        <w:rPr>
          <w:szCs w:val="21"/>
        </w:rPr>
      </w:pPr>
    </w:p>
    <w:sdt>
      <w:sdtPr>
        <w:rPr>
          <w:rFonts w:hint="eastAsia" w:ascii="宋体" w:hAnsi="宋体" w:cs="宋体"/>
          <w:b w:val="0"/>
          <w:bCs w:val="0"/>
          <w:kern w:val="0"/>
          <w:szCs w:val="21"/>
        </w:rPr>
        <w:alias w:val="模块:衍生金融资产"/>
        <w:tag w:val="_SEC_2f4f1660c2f84fe39c4b376a5cc1b1a7"/>
        <w:id w:val="6774296"/>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66"/>
            </w:numPr>
            <w:rPr>
              <w:szCs w:val="21"/>
            </w:rPr>
          </w:pPr>
          <w:r>
            <w:rPr>
              <w:rFonts w:hint="eastAsia"/>
              <w:szCs w:val="21"/>
            </w:rPr>
            <w:t>衍生金融资产</w:t>
          </w:r>
        </w:p>
        <w:sdt>
          <w:sdtPr>
            <w:alias w:val="是否适用：衍生金融资产[双击切换]"/>
            <w:tag w:val="_GBC_d17bfaab262c4a499d0afca62045c5e0"/>
            <w:id w:val="677429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napToGrid w:val="0"/>
            <w:spacing w:line="240" w:lineRule="atLeast"/>
            <w:ind w:left="1470" w:right="25" w:rightChars="12" w:hanging="1470" w:hangingChars="700"/>
            <w:rPr>
              <w:szCs w:val="21"/>
            </w:rPr>
          </w:pPr>
        </w:p>
      </w:sdtContent>
    </w:sdt>
    <w:p>
      <w:pPr>
        <w:snapToGrid w:val="0"/>
        <w:spacing w:line="240" w:lineRule="atLeast"/>
        <w:ind w:right="25" w:rightChars="12"/>
        <w:rPr>
          <w:szCs w:val="21"/>
        </w:rPr>
      </w:pPr>
    </w:p>
    <w:p>
      <w:pPr>
        <w:pStyle w:val="4"/>
        <w:numPr>
          <w:ilvl w:val="0"/>
          <w:numId w:val="66"/>
        </w:numPr>
      </w:pPr>
      <w:r>
        <w:rPr>
          <w:rFonts w:hint="eastAsia"/>
        </w:rPr>
        <w:t>应收票据</w:t>
      </w:r>
    </w:p>
    <w:sdt>
      <w:sdtPr>
        <w:rPr>
          <w:rFonts w:hint="eastAsia" w:cs="宋体" w:asciiTheme="minorHAnsi" w:hAnsiTheme="minorHAnsi"/>
          <w:b w:val="0"/>
          <w:bCs w:val="0"/>
          <w:kern w:val="0"/>
          <w:szCs w:val="22"/>
        </w:rPr>
        <w:alias w:val="模块:应收票据分类"/>
        <w:tag w:val="_SEC_1f300ca8b7cf4001a88617f42e0db878"/>
        <w:id w:val="6774306"/>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3"/>
              <w:numId w:val="67"/>
            </w:numPr>
          </w:pPr>
          <w:r>
            <w:rPr>
              <w:rFonts w:hint="eastAsia"/>
            </w:rPr>
            <w:t>应收票据分类列示</w:t>
          </w:r>
        </w:p>
        <w:sdt>
          <w:sdtPr>
            <w:alias w:val="是否适用：应收票据分类列示[双击切换]"/>
            <w:tag w:val="_GBC_bdf010020d484a01ae60c52d7465a06a"/>
            <w:id w:val="677429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67742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daf818486924555b786788616dee3e7"/>
              <w:id w:val="67742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0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965"/>
            <w:gridCol w:w="3146"/>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bd44f6beac5e4b8688c30e166c6780c8"/>
                <w:id w:val="6774300"/>
                <w:lock w:val="sdtLocked"/>
              </w:sdtPr>
              <w:sdtContent>
                <w:tc>
                  <w:tcPr>
                    <w:tcW w:w="2965" w:type="dxa"/>
                    <w:vAlign w:val="center"/>
                  </w:tcPr>
                  <w:p>
                    <w:pPr>
                      <w:autoSpaceDE w:val="0"/>
                      <w:autoSpaceDN w:val="0"/>
                      <w:adjustRightInd w:val="0"/>
                      <w:snapToGrid w:val="0"/>
                      <w:spacing w:line="240" w:lineRule="atLeast"/>
                      <w:jc w:val="center"/>
                      <w:rPr>
                        <w:szCs w:val="21"/>
                      </w:rPr>
                    </w:pPr>
                    <w:r>
                      <w:rPr>
                        <w:rFonts w:hint="eastAsia"/>
                        <w:szCs w:val="21"/>
                      </w:rPr>
                      <w:t>项目</w:t>
                    </w:r>
                  </w:p>
                </w:tc>
              </w:sdtContent>
            </w:sdt>
            <w:sdt>
              <w:sdtPr>
                <w:tag w:val="_PLD_dea2f5c6a1cb487287096a3435e5e8de"/>
                <w:id w:val="6774301"/>
                <w:lock w:val="sdtLocked"/>
              </w:sdtPr>
              <w:sdtContent>
                <w:tc>
                  <w:tcPr>
                    <w:tcW w:w="3146" w:type="dxa"/>
                    <w:vAlign w:val="center"/>
                  </w:tcPr>
                  <w:p>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d16922842b04d10836d1bc80b3b3b4e"/>
                <w:id w:val="6774302"/>
                <w:lock w:val="sdtLocked"/>
              </w:sdtPr>
              <w:sdtContent>
                <w:tc>
                  <w:tcPr>
                    <w:tcW w:w="2894" w:type="dxa"/>
                    <w:vAlign w:val="center"/>
                  </w:tcPr>
                  <w:p>
                    <w:pPr>
                      <w:autoSpaceDE w:val="0"/>
                      <w:autoSpaceDN w:val="0"/>
                      <w:adjustRightInd w:val="0"/>
                      <w:snapToGrid w:val="0"/>
                      <w:spacing w:line="240" w:lineRule="atLeast"/>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sdt>
              <w:sdtPr>
                <w:tag w:val="_PLD_6a83fc5bb974487788e5e58a59a3eb5f"/>
                <w:id w:val="6774303"/>
                <w:lock w:val="sdtLocked"/>
              </w:sdtPr>
              <w:sdtContent>
                <w:tc>
                  <w:tcPr>
                    <w:tcW w:w="2965" w:type="dxa"/>
                  </w:tcPr>
                  <w:p>
                    <w:pPr>
                      <w:autoSpaceDE w:val="0"/>
                      <w:autoSpaceDN w:val="0"/>
                      <w:adjustRightInd w:val="0"/>
                      <w:snapToGrid w:val="0"/>
                      <w:spacing w:line="240" w:lineRule="atLeast"/>
                      <w:rPr>
                        <w:szCs w:val="21"/>
                      </w:rPr>
                    </w:pPr>
                    <w:r>
                      <w:rPr>
                        <w:rFonts w:hint="eastAsia"/>
                        <w:szCs w:val="21"/>
                      </w:rPr>
                      <w:t>银行承兑票据</w:t>
                    </w:r>
                  </w:p>
                </w:tc>
              </w:sdtContent>
            </w:sdt>
            <w:tc>
              <w:tcPr>
                <w:tcW w:w="3146" w:type="dxa"/>
              </w:tcPr>
              <w:p>
                <w:pPr>
                  <w:ind w:right="13"/>
                  <w:jc w:val="right"/>
                  <w:rPr>
                    <w:szCs w:val="21"/>
                  </w:rPr>
                </w:pPr>
                <w:r>
                  <w:t>3,870,142,185.45</w:t>
                </w:r>
              </w:p>
            </w:tc>
            <w:tc>
              <w:tcPr>
                <w:tcW w:w="2894" w:type="dxa"/>
              </w:tcPr>
              <w:p>
                <w:pPr>
                  <w:ind w:right="13"/>
                  <w:jc w:val="right"/>
                  <w:rPr>
                    <w:szCs w:val="21"/>
                  </w:rPr>
                </w:pPr>
                <w:r>
                  <w:t>1,730,949,650.22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aad9336fa56348e9b260b413a50411a8"/>
                <w:id w:val="6774304"/>
                <w:lock w:val="sdtLocked"/>
              </w:sdtPr>
              <w:sdtContent>
                <w:tc>
                  <w:tcPr>
                    <w:tcW w:w="2965" w:type="dxa"/>
                  </w:tcPr>
                  <w:p>
                    <w:pPr>
                      <w:autoSpaceDE w:val="0"/>
                      <w:autoSpaceDN w:val="0"/>
                      <w:adjustRightInd w:val="0"/>
                      <w:snapToGrid w:val="0"/>
                      <w:spacing w:line="240" w:lineRule="atLeast"/>
                      <w:rPr>
                        <w:szCs w:val="21"/>
                      </w:rPr>
                    </w:pPr>
                    <w:r>
                      <w:rPr>
                        <w:rFonts w:hint="eastAsia"/>
                        <w:szCs w:val="21"/>
                      </w:rPr>
                      <w:t>商业承兑票据</w:t>
                    </w:r>
                  </w:p>
                </w:tc>
              </w:sdtContent>
            </w:sdt>
            <w:tc>
              <w:tcPr>
                <w:tcW w:w="3146" w:type="dxa"/>
              </w:tcPr>
              <w:p>
                <w:pPr>
                  <w:ind w:right="13"/>
                  <w:jc w:val="right"/>
                  <w:rPr>
                    <w:szCs w:val="21"/>
                  </w:rPr>
                </w:pPr>
                <w:r>
                  <w:t>59,043,185.46</w:t>
                </w:r>
              </w:p>
            </w:tc>
            <w:tc>
              <w:tcPr>
                <w:tcW w:w="2894" w:type="dxa"/>
              </w:tcPr>
              <w:p>
                <w:pPr>
                  <w:ind w:right="13"/>
                  <w:jc w:val="right"/>
                  <w:rPr>
                    <w:szCs w:val="21"/>
                  </w:rPr>
                </w:pPr>
                <w:r>
                  <w:t>390,877,331.92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dfdd4d3895f64e489d74e6caea548a3b"/>
                <w:id w:val="6774305"/>
                <w:lock w:val="sdtLocked"/>
              </w:sdtPr>
              <w:sdtContent>
                <w:tc>
                  <w:tcPr>
                    <w:tcW w:w="2965" w:type="dxa"/>
                    <w:vAlign w:val="center"/>
                  </w:tcPr>
                  <w:p>
                    <w:pPr>
                      <w:autoSpaceDE w:val="0"/>
                      <w:autoSpaceDN w:val="0"/>
                      <w:adjustRightInd w:val="0"/>
                      <w:snapToGrid w:val="0"/>
                      <w:spacing w:line="240" w:lineRule="atLeast"/>
                      <w:jc w:val="center"/>
                      <w:rPr>
                        <w:szCs w:val="21"/>
                      </w:rPr>
                    </w:pPr>
                    <w:r>
                      <w:rPr>
                        <w:rFonts w:hint="eastAsia"/>
                        <w:szCs w:val="21"/>
                      </w:rPr>
                      <w:t>合计</w:t>
                    </w:r>
                  </w:p>
                </w:tc>
              </w:sdtContent>
            </w:sdt>
            <w:tc>
              <w:tcPr>
                <w:tcW w:w="3146" w:type="dxa"/>
              </w:tcPr>
              <w:p>
                <w:pPr>
                  <w:jc w:val="right"/>
                </w:pPr>
                <w:r>
                  <w:t>3,929,185,370.91</w:t>
                </w:r>
              </w:p>
            </w:tc>
            <w:tc>
              <w:tcPr>
                <w:tcW w:w="2894" w:type="dxa"/>
              </w:tcPr>
              <w:p>
                <w:pPr>
                  <w:jc w:val="right"/>
                </w:pPr>
                <w:r>
                  <w:t>2,121,826,982.14</w:t>
                </w:r>
              </w:p>
            </w:tc>
          </w:tr>
        </w:tbl>
        <w:p/>
      </w:sdtContent>
    </w:sdt>
    <w:p>
      <w:pPr>
        <w:snapToGrid w:val="0"/>
        <w:spacing w:line="240" w:lineRule="atLeast"/>
        <w:rPr>
          <w:szCs w:val="21"/>
        </w:rPr>
      </w:pPr>
    </w:p>
    <w:sdt>
      <w:sdtPr>
        <w:rPr>
          <w:rFonts w:hint="eastAsia" w:cs="宋体" w:asciiTheme="minorHAnsi" w:hAnsiTheme="minorHAnsi"/>
          <w:b w:val="0"/>
          <w:bCs w:val="0"/>
          <w:kern w:val="0"/>
          <w:szCs w:val="22"/>
        </w:rPr>
        <w:alias w:val="模块:期末公司已质押的应收票据情况"/>
        <w:tag w:val="_SEC_afe91726520542c7ad872dda4411e582"/>
        <w:id w:val="6774315"/>
        <w:lock w:val="sdtLocked"/>
        <w:placeholder>
          <w:docPart w:val="GBC22222222222222222222222222222"/>
        </w:placeholder>
      </w:sdtPr>
      <w:sdtEndPr>
        <w:rPr>
          <w:rFonts w:hint="eastAsia" w:ascii="Times New Roman" w:hAnsi="Times New Roman" w:cs="Times New Roman"/>
          <w:b w:val="0"/>
          <w:bCs w:val="0"/>
          <w:kern w:val="2"/>
          <w:szCs w:val="24"/>
        </w:rPr>
      </w:sdtEndPr>
      <w:sdtContent>
        <w:p>
          <w:pPr>
            <w:pStyle w:val="5"/>
            <w:numPr>
              <w:ilvl w:val="3"/>
              <w:numId w:val="67"/>
            </w:numPr>
          </w:pPr>
          <w:r>
            <w:t>期末公司已</w:t>
          </w:r>
          <w:r>
            <w:rPr>
              <w:rFonts w:hint="eastAsia"/>
            </w:rPr>
            <w:t>质押</w:t>
          </w:r>
          <w:r>
            <w:t>的应收票据</w:t>
          </w:r>
        </w:p>
        <w:sdt>
          <w:sdtPr>
            <w:alias w:val="是否适用：期末公司已质押的应收票据[双击切换]"/>
            <w:tag w:val="_GBC_5281ffb2b9304a49a6db0c913bbaac53"/>
            <w:id w:val="677430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期末公司已抵押的应收票据情况"/>
              <w:tag w:val="_GBC_88ae26bc06554889af4ca1b04af173a2"/>
              <w:id w:val="67743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期末公司已抵押的应收票据情况"/>
              <w:tag w:val="_GBC_eae6c4df7ed442a192f280eac97a6bbe"/>
              <w:id w:val="67743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9"/>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6fba821574d940ccb2b29fd9faa1df4d"/>
                <w:id w:val="6774310"/>
                <w:lock w:val="sdtLocked"/>
              </w:sdtPr>
              <w:sdtContent>
                <w:tc>
                  <w:tcPr>
                    <w:tcW w:w="438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szCs w:val="21"/>
                      </w:rPr>
                    </w:pPr>
                    <w:r>
                      <w:rPr>
                        <w:rFonts w:hint="eastAsia"/>
                        <w:szCs w:val="21"/>
                      </w:rPr>
                      <w:t>项目</w:t>
                    </w:r>
                  </w:p>
                </w:tc>
              </w:sdtContent>
            </w:sdt>
            <w:sdt>
              <w:sdtPr>
                <w:tag w:val="_PLD_6b8ef906a8a84040b5e0c0175f20353a"/>
                <w:id w:val="6774311"/>
                <w:lock w:val="sdtLocked"/>
              </w:sdtPr>
              <w:sdtContent>
                <w:tc>
                  <w:tcPr>
                    <w:tcW w:w="466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szCs w:val="21"/>
                      </w:rPr>
                    </w:pPr>
                    <w:r>
                      <w:rPr>
                        <w:rFonts w:hint="eastAsia"/>
                        <w:szCs w:val="21"/>
                      </w:rPr>
                      <w:t>期末已质押金额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15ea0738d6c4341b86672c80e3500b4"/>
                <w:id w:val="6774312"/>
                <w:lock w:val="sdtLocked"/>
              </w:sdtPr>
              <w:sdtContent>
                <w:tc>
                  <w:tcPr>
                    <w:tcW w:w="4389" w:type="dxa"/>
                    <w:tcBorders>
                      <w:top w:val="single" w:color="auto" w:sz="4" w:space="0"/>
                      <w:left w:val="single" w:color="auto" w:sz="4" w:space="0"/>
                      <w:bottom w:val="single" w:color="auto" w:sz="4" w:space="0"/>
                      <w:right w:val="single" w:color="auto" w:sz="4" w:space="0"/>
                    </w:tcBorders>
                  </w:tcPr>
                  <w:p>
                    <w:pPr>
                      <w:snapToGrid w:val="0"/>
                      <w:spacing w:line="240" w:lineRule="atLeast"/>
                      <w:rPr>
                        <w:szCs w:val="21"/>
                      </w:rPr>
                    </w:pPr>
                    <w:r>
                      <w:rPr>
                        <w:rFonts w:hint="eastAsia"/>
                        <w:szCs w:val="21"/>
                      </w:rPr>
                      <w:t>银行承兑票据</w:t>
                    </w:r>
                  </w:p>
                </w:tc>
              </w:sdtContent>
            </w:sdt>
            <w:tc>
              <w:tcPr>
                <w:tcW w:w="4660" w:type="dxa"/>
                <w:tcBorders>
                  <w:top w:val="single" w:color="auto" w:sz="4" w:space="0"/>
                  <w:left w:val="single" w:color="auto" w:sz="4" w:space="0"/>
                  <w:bottom w:val="single" w:color="auto" w:sz="4" w:space="0"/>
                  <w:right w:val="single" w:color="auto" w:sz="4" w:space="0"/>
                </w:tcBorders>
              </w:tcPr>
              <w:p>
                <w:pPr>
                  <w:snapToGrid w:val="0"/>
                  <w:spacing w:line="240" w:lineRule="atLeast"/>
                  <w:jc w:val="right"/>
                  <w:rPr>
                    <w:szCs w:val="21"/>
                  </w:rPr>
                </w:pPr>
                <w:r>
                  <w:rPr>
                    <w:szCs w:val="21"/>
                  </w:rPr>
                  <w:t>205,130,000.00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f6b0c94d93c4af5a79fef45be0a337f"/>
                <w:id w:val="6774313"/>
                <w:lock w:val="sdtLocked"/>
              </w:sdtPr>
              <w:sdtContent>
                <w:tc>
                  <w:tcPr>
                    <w:tcW w:w="4389" w:type="dxa"/>
                    <w:tcBorders>
                      <w:top w:val="single" w:color="auto" w:sz="4" w:space="0"/>
                      <w:left w:val="single" w:color="auto" w:sz="4" w:space="0"/>
                      <w:bottom w:val="single" w:color="auto" w:sz="4" w:space="0"/>
                      <w:right w:val="single" w:color="auto" w:sz="4" w:space="0"/>
                    </w:tcBorders>
                  </w:tcPr>
                  <w:p>
                    <w:pPr>
                      <w:snapToGrid w:val="0"/>
                      <w:spacing w:line="240" w:lineRule="atLeast"/>
                      <w:rPr>
                        <w:szCs w:val="21"/>
                      </w:rPr>
                    </w:pPr>
                    <w:r>
                      <w:rPr>
                        <w:rFonts w:hint="eastAsia"/>
                        <w:szCs w:val="21"/>
                      </w:rPr>
                      <w:t>商业承兑票据</w:t>
                    </w:r>
                  </w:p>
                </w:tc>
              </w:sdtContent>
            </w:sdt>
            <w:tc>
              <w:tcPr>
                <w:tcW w:w="4660" w:type="dxa"/>
                <w:tcBorders>
                  <w:top w:val="single" w:color="auto" w:sz="4" w:space="0"/>
                  <w:left w:val="single" w:color="auto" w:sz="4" w:space="0"/>
                  <w:bottom w:val="single" w:color="auto" w:sz="4" w:space="0"/>
                  <w:right w:val="single" w:color="auto" w:sz="4" w:space="0"/>
                </w:tcBorders>
              </w:tcPr>
              <w:p>
                <w:pPr>
                  <w:snapToGrid w:val="0"/>
                  <w:spacing w:line="240" w:lineRule="atLeast"/>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417dfb12251945a0bd700ca6476e03f8"/>
                <w:id w:val="6774314"/>
                <w:lock w:val="sdtLocked"/>
              </w:sdtPr>
              <w:sdtContent>
                <w:tc>
                  <w:tcPr>
                    <w:tcW w:w="43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szCs w:val="21"/>
                      </w:rPr>
                    </w:pPr>
                    <w:r>
                      <w:rPr>
                        <w:rFonts w:hint="eastAsia"/>
                        <w:szCs w:val="21"/>
                      </w:rPr>
                      <w:t>合计</w:t>
                    </w:r>
                  </w:p>
                </w:tc>
              </w:sdtContent>
            </w:sdt>
            <w:tc>
              <w:tcPr>
                <w:tcW w:w="4660"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205,130,000.00</w:t>
                </w:r>
              </w:p>
            </w:tc>
          </w:tr>
        </w:tbl>
        <w:p>
          <w:pPr>
            <w:rPr>
              <w:szCs w:val="21"/>
            </w:rPr>
          </w:pPr>
        </w:p>
      </w:sdtContent>
    </w:sdt>
    <w:sdt>
      <w:sdtPr>
        <w:rPr>
          <w:rFonts w:hint="eastAsia" w:cs="宋体" w:asciiTheme="minorHAnsi" w:hAnsiTheme="minorHAnsi"/>
          <w:b w:val="0"/>
          <w:bCs w:val="0"/>
          <w:kern w:val="0"/>
          <w:szCs w:val="22"/>
        </w:rPr>
        <w:alias w:val="模块:因出票人无力履约而将票据转为应收账款的票据，以及期末已背书未到期票据"/>
        <w:tag w:val="_SEC_32ed61fa45bb4a5d909ee29836c5f190"/>
        <w:id w:val="6774325"/>
        <w:lock w:val="sdtLocked"/>
        <w:placeholder>
          <w:docPart w:val="GBC22222222222222222222222222222"/>
        </w:placeholder>
      </w:sdtPr>
      <w:sdtEndPr>
        <w:rPr>
          <w:rFonts w:hint="eastAsia" w:ascii="Times New Roman" w:hAnsi="Times New Roman" w:cs="Times New Roman"/>
          <w:b w:val="0"/>
          <w:bCs w:val="0"/>
          <w:kern w:val="2"/>
          <w:szCs w:val="24"/>
        </w:rPr>
      </w:sdtEndPr>
      <w:sdtContent>
        <w:p>
          <w:pPr>
            <w:pStyle w:val="5"/>
            <w:numPr>
              <w:ilvl w:val="3"/>
              <w:numId w:val="67"/>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677431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附注：期末公司已背书或贴现且在资产负债表日尚未到期的应收票据"/>
              <w:tag w:val="_GBC_bc7717964169410893520d1c7b6cffbc"/>
              <w:id w:val="67743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79202e45cde04e34a385187ee9a018f7"/>
              <w:id w:val="67743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7"/>
            <w:gridCol w:w="3050"/>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76a87ff67e5b45fd8796a3a35ba8193e"/>
                <w:id w:val="6774319"/>
                <w:lock w:val="sdtLocked"/>
              </w:sdtPr>
              <w:sdtContent>
                <w:tc>
                  <w:tcPr>
                    <w:tcW w:w="2877" w:type="dxa"/>
                    <w:shd w:val="clear" w:color="auto" w:fill="auto"/>
                    <w:vAlign w:val="center"/>
                  </w:tcPr>
                  <w:p>
                    <w:pPr>
                      <w:jc w:val="center"/>
                      <w:rPr>
                        <w:szCs w:val="21"/>
                      </w:rPr>
                    </w:pPr>
                    <w:r>
                      <w:rPr>
                        <w:rFonts w:hint="eastAsia"/>
                        <w:szCs w:val="21"/>
                      </w:rPr>
                      <w:t>项目</w:t>
                    </w:r>
                  </w:p>
                </w:tc>
              </w:sdtContent>
            </w:sdt>
            <w:sdt>
              <w:sdtPr>
                <w:tag w:val="_PLD_f9150e3257574b5dab33b7c7a9c74bd0"/>
                <w:id w:val="6774320"/>
                <w:lock w:val="sdtLocked"/>
              </w:sdtPr>
              <w:sdtContent>
                <w:tc>
                  <w:tcPr>
                    <w:tcW w:w="3050" w:type="dxa"/>
                    <w:shd w:val="clear" w:color="auto" w:fill="auto"/>
                    <w:vAlign w:val="center"/>
                  </w:tcPr>
                  <w:p>
                    <w:pPr>
                      <w:jc w:val="center"/>
                      <w:rPr>
                        <w:szCs w:val="21"/>
                      </w:rPr>
                    </w:pPr>
                    <w:r>
                      <w:rPr>
                        <w:rFonts w:hint="eastAsia"/>
                        <w:szCs w:val="21"/>
                      </w:rPr>
                      <w:t>期末终止确认金额</w:t>
                    </w:r>
                  </w:p>
                </w:tc>
              </w:sdtContent>
            </w:sdt>
            <w:sdt>
              <w:sdtPr>
                <w:tag w:val="_PLD_4f99e6fe1d4c4c57bab686890f8d0f57"/>
                <w:id w:val="6774321"/>
                <w:lock w:val="sdtLocked"/>
              </w:sdtPr>
              <w:sdtContent>
                <w:tc>
                  <w:tcPr>
                    <w:tcW w:w="3122" w:type="dxa"/>
                    <w:shd w:val="clear" w:color="auto" w:fill="auto"/>
                    <w:vAlign w:val="center"/>
                  </w:tcPr>
                  <w:p>
                    <w:pPr>
                      <w:jc w:val="center"/>
                      <w:rPr>
                        <w:szCs w:val="21"/>
                      </w:rPr>
                    </w:pPr>
                    <w:r>
                      <w:rPr>
                        <w:rFonts w:hint="eastAsia"/>
                        <w:szCs w:val="21"/>
                      </w:rPr>
                      <w:t>期末未终止确认金额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53f1796a9bc548c8812eeaf457d14613"/>
                <w:id w:val="6774322"/>
                <w:lock w:val="sdtLocked"/>
              </w:sdtPr>
              <w:sdtContent>
                <w:tc>
                  <w:tcPr>
                    <w:tcW w:w="2877" w:type="dxa"/>
                    <w:shd w:val="clear" w:color="auto" w:fill="auto"/>
                  </w:tcPr>
                  <w:p>
                    <w:pPr>
                      <w:rPr>
                        <w:szCs w:val="21"/>
                      </w:rPr>
                    </w:pPr>
                    <w:r>
                      <w:rPr>
                        <w:rFonts w:hint="eastAsia"/>
                      </w:rPr>
                      <w:t>银行承兑票据</w:t>
                    </w:r>
                  </w:p>
                </w:tc>
              </w:sdtContent>
            </w:sdt>
            <w:tc>
              <w:tcPr>
                <w:tcW w:w="3050" w:type="dxa"/>
                <w:shd w:val="clear" w:color="auto" w:fill="auto"/>
              </w:tcPr>
              <w:p>
                <w:pPr>
                  <w:jc w:val="right"/>
                  <w:rPr>
                    <w:szCs w:val="21"/>
                  </w:rPr>
                </w:pPr>
                <w:r>
                  <w:rPr>
                    <w:szCs w:val="21"/>
                  </w:rPr>
                  <w:t>5,818,193,052.46</w:t>
                </w:r>
              </w:p>
            </w:tc>
            <w:tc>
              <w:tcPr>
                <w:tcW w:w="3122"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5d0c8908e4be41e1bbbc59180ba41ae7"/>
                <w:id w:val="6774323"/>
                <w:lock w:val="sdtLocked"/>
              </w:sdtPr>
              <w:sdtContent>
                <w:tc>
                  <w:tcPr>
                    <w:tcW w:w="2877" w:type="dxa"/>
                    <w:shd w:val="clear" w:color="auto" w:fill="auto"/>
                  </w:tcPr>
                  <w:p>
                    <w:r>
                      <w:rPr>
                        <w:rFonts w:hint="eastAsia"/>
                      </w:rPr>
                      <w:t>商业承兑票据</w:t>
                    </w:r>
                  </w:p>
                </w:tc>
              </w:sdtContent>
            </w:sdt>
            <w:tc>
              <w:tcPr>
                <w:tcW w:w="3050" w:type="dxa"/>
                <w:shd w:val="clear" w:color="auto" w:fill="auto"/>
              </w:tcPr>
              <w:p>
                <w:pPr>
                  <w:jc w:val="right"/>
                  <w:rPr>
                    <w:szCs w:val="21"/>
                  </w:rPr>
                </w:pPr>
                <w:r>
                  <w:rPr>
                    <w:szCs w:val="21"/>
                  </w:rPr>
                  <w:t>614,323,000.74</w:t>
                </w:r>
              </w:p>
            </w:tc>
            <w:tc>
              <w:tcPr>
                <w:tcW w:w="3122"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7ab887bce6974265a559b05b2538e601"/>
                <w:id w:val="6774324"/>
                <w:lock w:val="sdtLocked"/>
              </w:sdtPr>
              <w:sdtContent>
                <w:tc>
                  <w:tcPr>
                    <w:tcW w:w="2877" w:type="dxa"/>
                    <w:shd w:val="clear" w:color="auto" w:fill="auto"/>
                    <w:vAlign w:val="center"/>
                  </w:tcPr>
                  <w:p>
                    <w:pPr>
                      <w:jc w:val="center"/>
                    </w:pPr>
                    <w:r>
                      <w:rPr>
                        <w:rFonts w:hint="eastAsia"/>
                      </w:rPr>
                      <w:t>合计</w:t>
                    </w:r>
                  </w:p>
                </w:tc>
              </w:sdtContent>
            </w:sdt>
            <w:tc>
              <w:tcPr>
                <w:tcW w:w="3050" w:type="dxa"/>
                <w:shd w:val="clear" w:color="auto" w:fill="auto"/>
              </w:tcPr>
              <w:p>
                <w:pPr>
                  <w:jc w:val="right"/>
                  <w:rPr>
                    <w:szCs w:val="21"/>
                  </w:rPr>
                </w:pPr>
                <w:r>
                  <w:rPr>
                    <w:szCs w:val="21"/>
                  </w:rPr>
                  <w:t>6,432,516,053.2</w:t>
                </w:r>
              </w:p>
            </w:tc>
            <w:tc>
              <w:tcPr>
                <w:tcW w:w="3122" w:type="dxa"/>
                <w:shd w:val="clear" w:color="auto" w:fill="auto"/>
              </w:tcPr>
              <w:p>
                <w:pPr>
                  <w:jc w:val="right"/>
                  <w:rPr>
                    <w:szCs w:val="21"/>
                  </w:rPr>
                </w:pPr>
              </w:p>
            </w:tc>
          </w:tr>
        </w:tbl>
        <w:p>
          <w:r>
            <w:rPr>
              <w:rFonts w:hint="eastAsia"/>
            </w:rPr>
            <w:t>因公司使用的商业承兑票据出票人均为国有独资企业柳钢集团，兑付风险较小，期末将已背书或贴现且在资产负债表日尚未到期的商业承兑票据全部终止确认。</w:t>
          </w:r>
        </w:p>
        <w:p>
          <w:pPr>
            <w:rPr>
              <w:rFonts w:ascii="Times New Roman" w:hAnsi="Times New Roman" w:cs="Times New Roman"/>
              <w:kern w:val="2"/>
            </w:rPr>
          </w:pPr>
        </w:p>
      </w:sdtContent>
    </w:sdt>
    <w:sdt>
      <w:sdtPr>
        <w:rPr>
          <w:rFonts w:hint="eastAsia" w:ascii="Times New Roman" w:hAnsi="Times New Roman" w:cs="宋体"/>
          <w:b w:val="0"/>
          <w:bCs w:val="0"/>
          <w:kern w:val="0"/>
          <w:szCs w:val="24"/>
        </w:rPr>
        <w:alias w:val="模块:期末公司因出票人无力履约而将其转为应收账款的票据"/>
        <w:tag w:val="_SEC_cae13c58829047dfb8214913162b44f7"/>
        <w:id w:val="6774333"/>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3"/>
              <w:numId w:val="67"/>
            </w:numPr>
            <w:jc w:val="left"/>
            <w:rPr>
              <w:rFonts w:ascii="Times New Roman" w:hAnsi="Times New Roman"/>
            </w:rPr>
          </w:pPr>
          <w:r>
            <w:rPr>
              <w:rFonts w:hint="eastAsia" w:ascii="Times New Roman" w:hAnsi="Times New Roman"/>
            </w:rPr>
            <w:t>期末公司因出票人</w:t>
          </w:r>
          <w:r>
            <w:rPr>
              <w:rFonts w:hint="eastAsia"/>
            </w:rPr>
            <w:t>未</w:t>
          </w:r>
          <w:r>
            <w:rPr>
              <w:rFonts w:hint="eastAsia" w:ascii="Times New Roman" w:hAnsi="Times New Roman"/>
            </w:rPr>
            <w:t>履约而将其转应收账款的票据</w:t>
          </w:r>
        </w:p>
        <w:sdt>
          <w:sdtPr>
            <w:alias w:val="是否适用：期末公司因出票人未履约而将其转应收账款的票据[双击切换]"/>
            <w:tag w:val="_GBC_9ce8db6863a54a2bbc116604b226d86c"/>
            <w:id w:val="677432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alias w:val="单位：财务附注：期末公司因出票人无力履约而将其转为应收账款的票据"/>
              <w:tag w:val="_GBC_e5573057e3ec48e6bcdf710cd7a023cf"/>
              <w:id w:val="677432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期末公司因出票人无力履约而将其转为应收账款的票据"/>
              <w:tag w:val="_GBC_2a27972729dc458a9d7552a20b150d6e"/>
              <w:id w:val="67743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4"/>
            <w:gridCol w:w="47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sdt>
              <w:sdtPr>
                <w:tag w:val="_PLD_a5b2dc2b1ef54a619517421d9c2c88e0"/>
                <w:id w:val="6774329"/>
                <w:lock w:val="sdtLocked"/>
              </w:sdtPr>
              <w:sdtContent>
                <w:tc>
                  <w:tcPr>
                    <w:tcW w:w="4264" w:type="dxa"/>
                    <w:tcBorders>
                      <w:top w:val="single" w:color="auto" w:sz="4" w:space="0"/>
                      <w:left w:val="single" w:color="auto" w:sz="4" w:space="0"/>
                      <w:bottom w:val="single" w:color="auto" w:sz="6" w:space="0"/>
                      <w:right w:val="single" w:color="auto" w:sz="6" w:space="0"/>
                    </w:tcBorders>
                    <w:shd w:val="clear" w:color="auto" w:fill="auto"/>
                    <w:vAlign w:val="center"/>
                  </w:tcPr>
                  <w:p>
                    <w:pPr>
                      <w:jc w:val="center"/>
                      <w:rPr>
                        <w:szCs w:val="21"/>
                      </w:rPr>
                    </w:pPr>
                    <w:r>
                      <w:rPr>
                        <w:rFonts w:hint="eastAsia"/>
                        <w:szCs w:val="21"/>
                      </w:rPr>
                      <w:t>项目</w:t>
                    </w:r>
                  </w:p>
                </w:tc>
              </w:sdtContent>
            </w:sdt>
            <w:sdt>
              <w:sdtPr>
                <w:tag w:val="_PLD_92394863f97e495ca8d4877171b64ce4"/>
                <w:id w:val="6774330"/>
                <w:lock w:val="sdtLocked"/>
              </w:sdtPr>
              <w:sdtContent>
                <w:tc>
                  <w:tcPr>
                    <w:tcW w:w="4785" w:type="dxa"/>
                    <w:tcBorders>
                      <w:top w:val="single" w:color="auto" w:sz="4" w:space="0"/>
                      <w:left w:val="single" w:color="auto" w:sz="6" w:space="0"/>
                      <w:bottom w:val="single" w:color="auto" w:sz="6" w:space="0"/>
                      <w:right w:val="single" w:color="auto" w:sz="4" w:space="0"/>
                    </w:tcBorders>
                    <w:shd w:val="clear" w:color="auto" w:fill="auto"/>
                    <w:vAlign w:val="center"/>
                  </w:tcPr>
                  <w:p>
                    <w:pPr>
                      <w:jc w:val="center"/>
                      <w:rPr>
                        <w:szCs w:val="21"/>
                      </w:rPr>
                    </w:pPr>
                    <w:r>
                      <w:rPr>
                        <w:rFonts w:hint="eastAsia"/>
                      </w:rPr>
                      <w:t>期末转应收账款金额</w:t>
                    </w:r>
                  </w:p>
                </w:tc>
              </w:sdtContent>
            </w:sdt>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sdt>
              <w:sdtPr>
                <w:tag w:val="_PLD_0137aaa95d0546938e9e896a4b437342"/>
                <w:id w:val="6774331"/>
                <w:lock w:val="sdtLocked"/>
              </w:sdtPr>
              <w:sdtContent>
                <w:tc>
                  <w:tcPr>
                    <w:tcW w:w="4264" w:type="dxa"/>
                    <w:tcBorders>
                      <w:top w:val="single" w:color="auto" w:sz="6" w:space="0"/>
                      <w:left w:val="single" w:color="auto" w:sz="4" w:space="0"/>
                      <w:bottom w:val="single" w:color="auto" w:sz="6" w:space="0"/>
                      <w:right w:val="single" w:color="auto" w:sz="6" w:space="0"/>
                    </w:tcBorders>
                    <w:shd w:val="clear" w:color="auto" w:fill="auto"/>
                    <w:vAlign w:val="center"/>
                  </w:tcPr>
                  <w:p>
                    <w:r>
                      <w:rPr>
                        <w:rFonts w:hint="eastAsia"/>
                      </w:rPr>
                      <w:t>商业承兑票据</w:t>
                    </w:r>
                  </w:p>
                </w:tc>
              </w:sdtContent>
            </w:sdt>
            <w:tc>
              <w:tcPr>
                <w:tcW w:w="4785" w:type="dxa"/>
                <w:tcBorders>
                  <w:top w:val="single" w:color="auto" w:sz="6" w:space="0"/>
                  <w:left w:val="single" w:color="auto" w:sz="6" w:space="0"/>
                  <w:bottom w:val="single" w:color="auto" w:sz="6" w:space="0"/>
                  <w:right w:val="single" w:color="auto" w:sz="4" w:space="0"/>
                </w:tcBorders>
                <w:shd w:val="clear" w:color="auto" w:fill="auto"/>
              </w:tcPr>
              <w:p>
                <w:pPr>
                  <w:jc w:val="right"/>
                  <w:rPr>
                    <w:szCs w:val="21"/>
                  </w:rPr>
                </w:pPr>
                <w:r>
                  <w:t>17,000,000.00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sdt>
              <w:sdtPr>
                <w:tag w:val="_PLD_69cddc50079942c5977e04f9c4972967"/>
                <w:id w:val="6774332"/>
                <w:lock w:val="sdtLocked"/>
              </w:sdtPr>
              <w:sdtContent>
                <w:tc>
                  <w:tcPr>
                    <w:tcW w:w="4264" w:type="dxa"/>
                    <w:tcBorders>
                      <w:top w:val="single" w:color="auto" w:sz="6" w:space="0"/>
                      <w:left w:val="single" w:color="auto" w:sz="4" w:space="0"/>
                      <w:bottom w:val="single" w:color="auto" w:sz="4" w:space="0"/>
                      <w:right w:val="single" w:color="auto" w:sz="6" w:space="0"/>
                    </w:tcBorders>
                    <w:shd w:val="clear" w:color="auto" w:fill="auto"/>
                    <w:vAlign w:val="center"/>
                  </w:tcPr>
                  <w:p>
                    <w:pPr>
                      <w:jc w:val="center"/>
                    </w:pPr>
                    <w:r>
                      <w:rPr>
                        <w:rFonts w:hint="eastAsia"/>
                      </w:rPr>
                      <w:t>合计</w:t>
                    </w:r>
                  </w:p>
                </w:tc>
              </w:sdtContent>
            </w:sdt>
            <w:tc>
              <w:tcPr>
                <w:tcW w:w="4785" w:type="dxa"/>
                <w:tcBorders>
                  <w:top w:val="single" w:color="auto" w:sz="6" w:space="0"/>
                  <w:left w:val="single" w:color="auto" w:sz="6" w:space="0"/>
                  <w:bottom w:val="single" w:color="auto" w:sz="4" w:space="0"/>
                  <w:right w:val="single" w:color="auto" w:sz="4" w:space="0"/>
                </w:tcBorders>
                <w:shd w:val="clear" w:color="auto" w:fill="auto"/>
              </w:tcPr>
              <w:p>
                <w:pPr>
                  <w:jc w:val="right"/>
                  <w:rPr>
                    <w:szCs w:val="21"/>
                  </w:rPr>
                </w:pPr>
                <w:r>
                  <w:t>17,000,000.00</w:t>
                </w:r>
              </w:p>
            </w:tc>
          </w:tr>
        </w:tbl>
        <w:p>
          <w:pPr>
            <w:ind w:right="210"/>
          </w:pPr>
          <w:r>
            <w:rPr>
              <w:rFonts w:hint="eastAsia"/>
            </w:rPr>
            <w:t>期末公司因出票人未履约而转应收账款的应收票据余额</w:t>
          </w:r>
          <w:r>
            <w:t>1700万元全部为2014年发生，</w:t>
          </w:r>
          <w:r>
            <w:rPr>
              <w:rFonts w:hint="eastAsia"/>
            </w:rPr>
            <w:t>且</w:t>
          </w:r>
          <w:r>
            <w:t>已全额计提坏账准备，本报告期公司无新增因出票人未履约而将其转应收账款的票据。</w:t>
          </w:r>
        </w:p>
        <w:p>
          <w:pPr>
            <w:ind w:right="210"/>
          </w:pPr>
        </w:p>
      </w:sdtContent>
    </w:sdt>
    <w:sdt>
      <w:sdtPr>
        <w:rPr>
          <w:rFonts w:hint="eastAsia" w:asciiTheme="minorHAnsi" w:hAnsiTheme="minorHAnsi" w:cstheme="minorBidi"/>
          <w:b/>
          <w:bCs/>
          <w:szCs w:val="22"/>
        </w:rPr>
        <w:alias w:val="模块:应收票据其他说明"/>
        <w:tag w:val="_SEC_9045c8983bbe475395a63669d8f42a68"/>
        <w:id w:val="6774335"/>
        <w:lock w:val="sdtLocked"/>
        <w:placeholder>
          <w:docPart w:val="GBC22222222222222222222222222222"/>
        </w:placeholder>
      </w:sdtPr>
      <w:sdtEndPr>
        <w:rPr>
          <w:rFonts w:hint="default" w:ascii="Times New Roman" w:hAnsi="Times New Roman" w:cs="Times New Roman"/>
          <w:b w:val="0"/>
          <w:bCs w:val="0"/>
          <w:szCs w:val="24"/>
        </w:rPr>
      </w:sdtEndPr>
      <w:sdtContent>
        <w:p>
          <w:r>
            <w:rPr>
              <w:rFonts w:hint="eastAsia"/>
            </w:rPr>
            <w:t>其他说明</w:t>
          </w:r>
        </w:p>
        <w:sdt>
          <w:sdtPr>
            <w:alias w:val="是否适用：应收票据的说明[双击切换]"/>
            <w:tag w:val="_GBC_dc21e09520924a5db7020ba029631550"/>
            <w:id w:val="6774334"/>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p>
      <w:pPr>
        <w:pStyle w:val="4"/>
        <w:numPr>
          <w:ilvl w:val="0"/>
          <w:numId w:val="66"/>
        </w:numPr>
      </w:pPr>
      <w:r>
        <w:rPr>
          <w:rFonts w:hint="eastAsia"/>
        </w:rPr>
        <w:t>应收账款</w:t>
      </w:r>
    </w:p>
    <w:sdt>
      <w:sdtPr>
        <w:rPr>
          <w:rFonts w:hint="eastAsia" w:asciiTheme="minorHAnsi" w:hAnsiTheme="minorHAnsi" w:cstheme="minorBidi"/>
          <w:b w:val="0"/>
          <w:bCs w:val="0"/>
          <w:kern w:val="0"/>
          <w:szCs w:val="22"/>
        </w:rPr>
        <w:alias w:val="模块:应收账款按种类披露"/>
        <w:tag w:val="_SEC_6818e56bab784887b7ced5c7040501d2"/>
        <w:id w:val="6774360"/>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3"/>
              <w:numId w:val="68"/>
            </w:numPr>
            <w:tabs>
              <w:tab w:val="left" w:pos="574"/>
            </w:tabs>
          </w:pPr>
          <w:r>
            <w:rPr>
              <w:rFonts w:hint="eastAsia"/>
            </w:rPr>
            <w:t>应收账款分类披露</w:t>
          </w:r>
        </w:p>
        <w:sdt>
          <w:sdtPr>
            <w:alias w:val="是否适用：应收账款分类披露[双击切换]"/>
            <w:tag w:val="_GBC_3410fe62918745449294e4e341ad1e35"/>
            <w:id w:val="677433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autoSpaceDE w:val="0"/>
            <w:autoSpaceDN w:val="0"/>
            <w:adjustRightInd w:val="0"/>
            <w:ind w:left="5880" w:right="105"/>
            <w:jc w:val="right"/>
            <w:rPr>
              <w:szCs w:val="21"/>
            </w:rPr>
          </w:pPr>
          <w:r>
            <w:rPr>
              <w:rFonts w:hint="eastAsia"/>
              <w:szCs w:val="21"/>
            </w:rPr>
            <w:t>单位：</w:t>
          </w:r>
          <w:sdt>
            <w:sdtPr>
              <w:rPr>
                <w:rFonts w:hint="eastAsia"/>
                <w:szCs w:val="21"/>
              </w:rPr>
              <w:alias w:val="单位：财务附注：应收账款按种类披露"/>
              <w:tag w:val="_GBC_66d213f122784433b0bc3b6f5d836dee"/>
              <w:id w:val="67743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应收账款按种类披露"/>
              <w:tag w:val="_GBC_c5f1015a940e40ac873c7e81477a7e2c"/>
              <w:id w:val="67743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10348" w:type="dxa"/>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383"/>
            <w:gridCol w:w="1089"/>
            <w:gridCol w:w="432"/>
            <w:gridCol w:w="1007"/>
            <w:gridCol w:w="720"/>
            <w:gridCol w:w="1089"/>
            <w:gridCol w:w="1125"/>
            <w:gridCol w:w="560"/>
            <w:gridCol w:w="1125"/>
            <w:gridCol w:w="69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259" w:hRule="atLeast"/>
            </w:trPr>
            <w:sdt>
              <w:sdtPr>
                <w:rPr>
                  <w:sz w:val="18"/>
                  <w:szCs w:val="18"/>
                </w:rPr>
                <w:tag w:val="_PLD_ff47f99df6f44a8d8b8fdbd8771d57f1"/>
                <w:id w:val="6774339"/>
                <w:lock w:val="sdtLocked"/>
              </w:sdtPr>
              <w:sdtEndPr>
                <w:rPr>
                  <w:sz w:val="18"/>
                  <w:szCs w:val="18"/>
                </w:rPr>
              </w:sdtEndPr>
              <w:sdtContent>
                <w:tc>
                  <w:tcPr>
                    <w:tcW w:w="1383"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类别</w:t>
                    </w:r>
                  </w:p>
                </w:tc>
              </w:sdtContent>
            </w:sdt>
            <w:sdt>
              <w:sdtPr>
                <w:rPr>
                  <w:sz w:val="18"/>
                  <w:szCs w:val="18"/>
                </w:rPr>
                <w:tag w:val="_PLD_b0d8d420dbcd4634a632c0126a313e28"/>
                <w:id w:val="6774340"/>
                <w:lock w:val="sdtLocked"/>
              </w:sdtPr>
              <w:sdtEndPr>
                <w:rPr>
                  <w:sz w:val="18"/>
                  <w:szCs w:val="18"/>
                </w:rPr>
              </w:sdtEndPr>
              <w:sdtContent>
                <w:tc>
                  <w:tcPr>
                    <w:tcW w:w="4337" w:type="dxa"/>
                    <w:gridSpan w:val="5"/>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期末余额</w:t>
                    </w:r>
                  </w:p>
                </w:tc>
              </w:sdtContent>
            </w:sdt>
            <w:sdt>
              <w:sdtPr>
                <w:rPr>
                  <w:sz w:val="18"/>
                  <w:szCs w:val="18"/>
                </w:rPr>
                <w:tag w:val="_PLD_b216c524428a4f4f857e6027e53fd898"/>
                <w:id w:val="6774341"/>
                <w:lock w:val="sdtLocked"/>
              </w:sdtPr>
              <w:sdtEndPr>
                <w:rPr>
                  <w:sz w:val="18"/>
                  <w:szCs w:val="18"/>
                </w:rPr>
              </w:sdtEndPr>
              <w:sdtContent>
                <w:tc>
                  <w:tcPr>
                    <w:tcW w:w="4628" w:type="dxa"/>
                    <w:gridSpan w:val="5"/>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227" w:hRule="atLeast"/>
            </w:trPr>
            <w:tc>
              <w:tcPr>
                <w:tcW w:w="1383" w:type="dxa"/>
                <w:vMerge w:val="continue"/>
                <w:tcBorders>
                  <w:left w:val="single" w:color="auto" w:sz="4" w:space="0"/>
                  <w:right w:val="single" w:color="auto" w:sz="4" w:space="0"/>
                </w:tcBorders>
                <w:vAlign w:val="center"/>
              </w:tcPr>
              <w:p>
                <w:pPr>
                  <w:rPr>
                    <w:sz w:val="18"/>
                    <w:szCs w:val="18"/>
                  </w:rPr>
                </w:pPr>
              </w:p>
            </w:tc>
            <w:sdt>
              <w:sdtPr>
                <w:rPr>
                  <w:sz w:val="18"/>
                  <w:szCs w:val="18"/>
                </w:rPr>
                <w:tag w:val="_PLD_e73d63169bdf4afb911b08bdd6b40137"/>
                <w:id w:val="6774342"/>
                <w:lock w:val="sdtLocked"/>
              </w:sdtPr>
              <w:sdtEndPr>
                <w:rPr>
                  <w:sz w:val="18"/>
                  <w:szCs w:val="18"/>
                </w:rPr>
              </w:sdtEndPr>
              <w:sdtContent>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账面余额</w:t>
                    </w:r>
                  </w:p>
                </w:tc>
              </w:sdtContent>
            </w:sdt>
            <w:sdt>
              <w:sdtPr>
                <w:rPr>
                  <w:sz w:val="18"/>
                  <w:szCs w:val="18"/>
                </w:rPr>
                <w:tag w:val="_PLD_4269c17539fa44ba81263ae627fc4180"/>
                <w:id w:val="6774343"/>
                <w:lock w:val="sdtLocked"/>
              </w:sdtPr>
              <w:sdtEndPr>
                <w:rPr>
                  <w:sz w:val="18"/>
                  <w:szCs w:val="18"/>
                </w:rPr>
              </w:sdtEndPr>
              <w:sdtContent>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坏账准备</w:t>
                    </w:r>
                  </w:p>
                </w:tc>
              </w:sdtContent>
            </w:sdt>
            <w:sdt>
              <w:sdtPr>
                <w:rPr>
                  <w:sz w:val="18"/>
                  <w:szCs w:val="18"/>
                </w:rPr>
                <w:tag w:val="_PLD_c98e4d1ebad741adafeb79bbafe879bf"/>
                <w:id w:val="6774344"/>
                <w:lock w:val="sdtLocked"/>
              </w:sdtPr>
              <w:sdtEndPr>
                <w:rPr>
                  <w:sz w:val="18"/>
                  <w:szCs w:val="18"/>
                </w:rPr>
              </w:sdtEndPr>
              <w:sdtContent>
                <w:tc>
                  <w:tcPr>
                    <w:tcW w:w="1089"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账面</w:t>
                    </w:r>
                  </w:p>
                  <w:p>
                    <w:pPr>
                      <w:jc w:val="center"/>
                      <w:rPr>
                        <w:sz w:val="18"/>
                        <w:szCs w:val="18"/>
                      </w:rPr>
                    </w:pPr>
                    <w:r>
                      <w:rPr>
                        <w:rFonts w:hint="eastAsia"/>
                        <w:sz w:val="18"/>
                        <w:szCs w:val="18"/>
                      </w:rPr>
                      <w:t>价值</w:t>
                    </w:r>
                  </w:p>
                </w:tc>
              </w:sdtContent>
            </w:sdt>
            <w:sdt>
              <w:sdtPr>
                <w:rPr>
                  <w:sz w:val="18"/>
                  <w:szCs w:val="18"/>
                </w:rPr>
                <w:tag w:val="_PLD_a6496f68498743d9a01044b6f21c9f45"/>
                <w:id w:val="6774345"/>
                <w:lock w:val="sdtLocked"/>
              </w:sdtPr>
              <w:sdtEndPr>
                <w:rPr>
                  <w:sz w:val="18"/>
                  <w:szCs w:val="18"/>
                </w:rPr>
              </w:sdtEndPr>
              <w:sdtContent>
                <w:tc>
                  <w:tcPr>
                    <w:tcW w:w="1685" w:type="dxa"/>
                    <w:gridSpan w:val="2"/>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账面余额</w:t>
                    </w:r>
                  </w:p>
                </w:tc>
              </w:sdtContent>
            </w:sdt>
            <w:sdt>
              <w:sdtPr>
                <w:rPr>
                  <w:sz w:val="18"/>
                  <w:szCs w:val="18"/>
                </w:rPr>
                <w:tag w:val="_PLD_4289e09b8ebe467eb21cada582b1b185"/>
                <w:id w:val="6774346"/>
                <w:lock w:val="sdtLocked"/>
              </w:sdtPr>
              <w:sdtEndPr>
                <w:rPr>
                  <w:sz w:val="18"/>
                  <w:szCs w:val="18"/>
                </w:rPr>
              </w:sdtEndPr>
              <w:sdtContent>
                <w:tc>
                  <w:tcPr>
                    <w:tcW w:w="1824" w:type="dxa"/>
                    <w:gridSpan w:val="2"/>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坏账准备</w:t>
                    </w:r>
                  </w:p>
                </w:tc>
              </w:sdtContent>
            </w:sdt>
            <w:sdt>
              <w:sdtPr>
                <w:rPr>
                  <w:sz w:val="18"/>
                  <w:szCs w:val="18"/>
                </w:rPr>
                <w:tag w:val="_PLD_8ac1a77c11054e29b02b03876b0088df"/>
                <w:id w:val="6774347"/>
                <w:lock w:val="sdtLocked"/>
              </w:sdtPr>
              <w:sdtEndPr>
                <w:rPr>
                  <w:sz w:val="18"/>
                  <w:szCs w:val="18"/>
                </w:rPr>
              </w:sdtEndPr>
              <w:sdtContent>
                <w:tc>
                  <w:tcPr>
                    <w:tcW w:w="1119"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账面</w:t>
                    </w:r>
                  </w:p>
                  <w:p>
                    <w:pPr>
                      <w:jc w:val="center"/>
                      <w:rPr>
                        <w:sz w:val="18"/>
                        <w:szCs w:val="18"/>
                      </w:rPr>
                    </w:pPr>
                    <w:r>
                      <w:rPr>
                        <w:rFonts w:hint="eastAsia"/>
                        <w:sz w:val="18"/>
                        <w:szCs w:val="18"/>
                      </w:rPr>
                      <w:t>价值</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375" w:hRule="atLeast"/>
            </w:trPr>
            <w:tc>
              <w:tcPr>
                <w:tcW w:w="1383" w:type="dxa"/>
                <w:vMerge w:val="continue"/>
                <w:tcBorders>
                  <w:left w:val="single" w:color="auto" w:sz="4" w:space="0"/>
                  <w:bottom w:val="single" w:color="auto" w:sz="4" w:space="0"/>
                  <w:right w:val="single" w:color="auto" w:sz="4" w:space="0"/>
                </w:tcBorders>
                <w:vAlign w:val="center"/>
              </w:tcPr>
              <w:p>
                <w:pPr>
                  <w:rPr>
                    <w:sz w:val="18"/>
                    <w:szCs w:val="18"/>
                  </w:rPr>
                </w:pPr>
              </w:p>
            </w:tc>
            <w:sdt>
              <w:sdtPr>
                <w:rPr>
                  <w:sz w:val="18"/>
                  <w:szCs w:val="18"/>
                </w:rPr>
                <w:tag w:val="_PLD_1888d235918546bd8bf181ee27b2692a"/>
                <w:id w:val="6774348"/>
                <w:lock w:val="sdtLocked"/>
              </w:sdtPr>
              <w:sdtEndPr>
                <w:rPr>
                  <w:sz w:val="18"/>
                  <w:szCs w:val="18"/>
                </w:rPr>
              </w:sdtEndPr>
              <w:sdtContent>
                <w:tc>
                  <w:tcPr>
                    <w:tcW w:w="1089"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金额</w:t>
                    </w:r>
                  </w:p>
                </w:tc>
              </w:sdtContent>
            </w:sdt>
            <w:sdt>
              <w:sdtPr>
                <w:rPr>
                  <w:sz w:val="18"/>
                  <w:szCs w:val="18"/>
                </w:rPr>
                <w:tag w:val="_PLD_fcf6675393864c3c94d417eeb89bfcd4"/>
                <w:id w:val="6774349"/>
                <w:lock w:val="sdtLocked"/>
              </w:sdtPr>
              <w:sdtEndPr>
                <w:rPr>
                  <w:sz w:val="18"/>
                  <w:szCs w:val="18"/>
                </w:rPr>
              </w:sdtEndPr>
              <w:sdtContent>
                <w:tc>
                  <w:tcPr>
                    <w:tcW w:w="432"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比例</w:t>
                    </w:r>
                    <w:r>
                      <w:rPr>
                        <w:sz w:val="18"/>
                        <w:szCs w:val="18"/>
                      </w:rPr>
                      <w:t>(%)</w:t>
                    </w:r>
                  </w:p>
                </w:tc>
              </w:sdtContent>
            </w:sdt>
            <w:sdt>
              <w:sdtPr>
                <w:rPr>
                  <w:sz w:val="18"/>
                  <w:szCs w:val="18"/>
                </w:rPr>
                <w:tag w:val="_PLD_bf7f87d92a384b0c99bc7e00d1bd7916"/>
                <w:id w:val="6774350"/>
                <w:lock w:val="sdtLocked"/>
              </w:sdtPr>
              <w:sdtEndPr>
                <w:rPr>
                  <w:sz w:val="18"/>
                  <w:szCs w:val="18"/>
                </w:rPr>
              </w:sdtEndPr>
              <w:sdtContent>
                <w:tc>
                  <w:tcPr>
                    <w:tcW w:w="1007"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金额</w:t>
                    </w:r>
                  </w:p>
                </w:tc>
              </w:sdtContent>
            </w:sdt>
            <w:sdt>
              <w:sdtPr>
                <w:rPr>
                  <w:sz w:val="18"/>
                  <w:szCs w:val="18"/>
                </w:rPr>
                <w:tag w:val="_PLD_8ced297bac1248a286039ccf4f5a00a4"/>
                <w:id w:val="6774351"/>
                <w:lock w:val="sdtLocked"/>
              </w:sdtPr>
              <w:sdtEndPr>
                <w:rPr>
                  <w:sz w:val="18"/>
                  <w:szCs w:val="18"/>
                </w:rPr>
              </w:sdtEndPr>
              <w:sdtContent>
                <w:tc>
                  <w:tcPr>
                    <w:tcW w:w="720"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计提比例</w:t>
                    </w:r>
                    <w:r>
                      <w:rPr>
                        <w:sz w:val="18"/>
                        <w:szCs w:val="18"/>
                      </w:rPr>
                      <w:t>(%)</w:t>
                    </w:r>
                  </w:p>
                </w:tc>
              </w:sdtContent>
            </w:sdt>
            <w:tc>
              <w:tcPr>
                <w:tcW w:w="1089" w:type="dxa"/>
                <w:vMerge w:val="continue"/>
                <w:tcBorders>
                  <w:left w:val="single" w:color="auto" w:sz="4" w:space="0"/>
                  <w:bottom w:val="single" w:color="auto" w:sz="4" w:space="0"/>
                  <w:right w:val="single" w:color="auto" w:sz="4" w:space="0"/>
                </w:tcBorders>
                <w:vAlign w:val="center"/>
              </w:tcPr>
              <w:p>
                <w:pPr>
                  <w:jc w:val="center"/>
                  <w:rPr>
                    <w:sz w:val="18"/>
                    <w:szCs w:val="18"/>
                  </w:rPr>
                </w:pPr>
              </w:p>
            </w:tc>
            <w:sdt>
              <w:sdtPr>
                <w:rPr>
                  <w:sz w:val="18"/>
                  <w:szCs w:val="18"/>
                </w:rPr>
                <w:tag w:val="_PLD_a28e9df9742c4cfe8eff4cee3d49fb44"/>
                <w:id w:val="6774352"/>
                <w:lock w:val="sdtLocked"/>
              </w:sdtPr>
              <w:sdtEndPr>
                <w:rPr>
                  <w:sz w:val="18"/>
                  <w:szCs w:val="18"/>
                </w:rPr>
              </w:sdtEndPr>
              <w:sdtContent>
                <w:tc>
                  <w:tcPr>
                    <w:tcW w:w="1125"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金额</w:t>
                    </w:r>
                  </w:p>
                </w:tc>
              </w:sdtContent>
            </w:sdt>
            <w:sdt>
              <w:sdtPr>
                <w:rPr>
                  <w:sz w:val="18"/>
                  <w:szCs w:val="18"/>
                </w:rPr>
                <w:tag w:val="_PLD_b99b1c69b2494c8ab9e20dc836fe5001"/>
                <w:id w:val="6774353"/>
                <w:lock w:val="sdtLocked"/>
              </w:sdtPr>
              <w:sdtEndPr>
                <w:rPr>
                  <w:sz w:val="18"/>
                  <w:szCs w:val="18"/>
                </w:rPr>
              </w:sdtEndPr>
              <w:sdtContent>
                <w:tc>
                  <w:tcPr>
                    <w:tcW w:w="560"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比例</w:t>
                    </w:r>
                    <w:r>
                      <w:rPr>
                        <w:sz w:val="18"/>
                        <w:szCs w:val="18"/>
                      </w:rPr>
                      <w:t>(%)</w:t>
                    </w:r>
                  </w:p>
                </w:tc>
              </w:sdtContent>
            </w:sdt>
            <w:sdt>
              <w:sdtPr>
                <w:rPr>
                  <w:sz w:val="18"/>
                  <w:szCs w:val="18"/>
                </w:rPr>
                <w:tag w:val="_PLD_b35fa589191e451587b8b99543eed2ad"/>
                <w:id w:val="6774354"/>
                <w:lock w:val="sdtLocked"/>
              </w:sdtPr>
              <w:sdtEndPr>
                <w:rPr>
                  <w:sz w:val="18"/>
                  <w:szCs w:val="18"/>
                </w:rPr>
              </w:sdtEndPr>
              <w:sdtContent>
                <w:tc>
                  <w:tcPr>
                    <w:tcW w:w="1125"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金额</w:t>
                    </w:r>
                  </w:p>
                </w:tc>
              </w:sdtContent>
            </w:sdt>
            <w:sdt>
              <w:sdtPr>
                <w:rPr>
                  <w:sz w:val="18"/>
                  <w:szCs w:val="18"/>
                </w:rPr>
                <w:tag w:val="_PLD_edbc5f5a732a45a3940f9bbebcbeab58"/>
                <w:id w:val="6774355"/>
                <w:lock w:val="sdtLocked"/>
              </w:sdtPr>
              <w:sdtEndPr>
                <w:rPr>
                  <w:sz w:val="18"/>
                  <w:szCs w:val="18"/>
                </w:rPr>
              </w:sdtEndPr>
              <w:sdtContent>
                <w:tc>
                  <w:tcPr>
                    <w:tcW w:w="699"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计提比例</w:t>
                    </w:r>
                    <w:r>
                      <w:rPr>
                        <w:sz w:val="18"/>
                        <w:szCs w:val="18"/>
                      </w:rPr>
                      <w:t>(%)</w:t>
                    </w:r>
                  </w:p>
                </w:tc>
              </w:sdtContent>
            </w:sdt>
            <w:tc>
              <w:tcPr>
                <w:tcW w:w="1119" w:type="dxa"/>
                <w:vMerge w:val="continue"/>
                <w:tcBorders>
                  <w:left w:val="single" w:color="auto" w:sz="4" w:space="0"/>
                  <w:bottom w:val="single" w:color="auto" w:sz="4" w:space="0"/>
                  <w:right w:val="single" w:color="auto" w:sz="4" w:space="0"/>
                </w:tcBorders>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78c37e1ffeec46149cdba0b488738611"/>
                <w:id w:val="6774356"/>
                <w:lock w:val="sdtLocked"/>
              </w:sdtPr>
              <w:sdtEndPr>
                <w:rPr>
                  <w:sz w:val="18"/>
                  <w:szCs w:val="18"/>
                </w:rPr>
              </w:sdtEndPr>
              <w:sdtContent>
                <w:tc>
                  <w:tcPr>
                    <w:tcW w:w="138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单项金额重大并单独计提坏账准备的应收账款</w:t>
                    </w:r>
                  </w:p>
                </w:tc>
              </w:sdtContent>
            </w:sdt>
            <w:tc>
              <w:tcPr>
                <w:tcW w:w="108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17,000,000.00</w:t>
                </w:r>
              </w:p>
            </w:tc>
            <w:tc>
              <w:tcPr>
                <w:tcW w:w="43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6.21</w:t>
                </w:r>
              </w:p>
            </w:tc>
            <w:tc>
              <w:tcPr>
                <w:tcW w:w="100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17,000,000.00</w:t>
                </w:r>
              </w:p>
            </w:tc>
            <w:tc>
              <w:tcPr>
                <w:tcW w:w="7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100.00</w:t>
                </w:r>
              </w:p>
            </w:tc>
            <w:tc>
              <w:tcPr>
                <w:tcW w:w="108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0</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17,000,000.00</w:t>
                </w:r>
              </w:p>
            </w:tc>
            <w:tc>
              <w:tcPr>
                <w:tcW w:w="56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8.06</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17,000,000.00</w:t>
                </w:r>
              </w:p>
            </w:tc>
            <w:tc>
              <w:tcPr>
                <w:tcW w:w="69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100.00</w:t>
                </w:r>
              </w:p>
            </w:tc>
            <w:tc>
              <w:tcPr>
                <w:tcW w:w="111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7bee3fe1730b42419d9b10f025af193b"/>
                <w:id w:val="6774357"/>
                <w:lock w:val="sdtLocked"/>
              </w:sdtPr>
              <w:sdtEndPr>
                <w:rPr>
                  <w:sz w:val="18"/>
                  <w:szCs w:val="18"/>
                </w:rPr>
              </w:sdtEndPr>
              <w:sdtContent>
                <w:tc>
                  <w:tcPr>
                    <w:tcW w:w="138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按信用风险特征组合计提坏账准备的应收账款</w:t>
                    </w:r>
                  </w:p>
                </w:tc>
              </w:sdtContent>
            </w:sdt>
            <w:tc>
              <w:tcPr>
                <w:tcW w:w="108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256,237,092.33</w:t>
                </w:r>
              </w:p>
            </w:tc>
            <w:tc>
              <w:tcPr>
                <w:tcW w:w="43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93.62</w:t>
                </w:r>
              </w:p>
            </w:tc>
            <w:tc>
              <w:tcPr>
                <w:tcW w:w="100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17,605,332.63</w:t>
                </w:r>
              </w:p>
            </w:tc>
            <w:tc>
              <w:tcPr>
                <w:tcW w:w="7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6.87</w:t>
                </w:r>
              </w:p>
            </w:tc>
            <w:tc>
              <w:tcPr>
                <w:tcW w:w="108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238,631,759.7</w:t>
                </w:r>
                <w:r>
                  <w:rPr>
                    <w:rFonts w:hint="eastAsia" w:ascii="Arial Narrow" w:hAnsi="Arial Narrow"/>
                    <w:sz w:val="18"/>
                    <w:szCs w:val="18"/>
                  </w:rPr>
                  <w:t>0</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193,556,044.75</w:t>
                </w:r>
              </w:p>
            </w:tc>
            <w:tc>
              <w:tcPr>
                <w:tcW w:w="56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91.73</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14,067,268.92</w:t>
                </w:r>
              </w:p>
            </w:tc>
            <w:tc>
              <w:tcPr>
                <w:tcW w:w="69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7.27</w:t>
                </w:r>
              </w:p>
            </w:tc>
            <w:tc>
              <w:tcPr>
                <w:tcW w:w="111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179,488,775.83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5d8fae76f2bd484e98548243c38eb131"/>
                <w:id w:val="6774358"/>
                <w:lock w:val="sdtLocked"/>
              </w:sdtPr>
              <w:sdtEndPr>
                <w:rPr>
                  <w:sz w:val="18"/>
                  <w:szCs w:val="18"/>
                </w:rPr>
              </w:sdtEndPr>
              <w:sdtContent>
                <w:tc>
                  <w:tcPr>
                    <w:tcW w:w="138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单项金额不重大但单独计提坏账准备的应收账款</w:t>
                    </w:r>
                  </w:p>
                </w:tc>
              </w:sdtContent>
            </w:sdt>
            <w:tc>
              <w:tcPr>
                <w:tcW w:w="108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459,920.56</w:t>
                </w:r>
              </w:p>
            </w:tc>
            <w:tc>
              <w:tcPr>
                <w:tcW w:w="43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0.17</w:t>
                </w:r>
              </w:p>
            </w:tc>
            <w:tc>
              <w:tcPr>
                <w:tcW w:w="100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459,920.56</w:t>
                </w:r>
              </w:p>
            </w:tc>
            <w:tc>
              <w:tcPr>
                <w:tcW w:w="7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100.00</w:t>
                </w:r>
              </w:p>
            </w:tc>
            <w:tc>
              <w:tcPr>
                <w:tcW w:w="108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0.00</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459,920.56</w:t>
                </w:r>
              </w:p>
            </w:tc>
            <w:tc>
              <w:tcPr>
                <w:tcW w:w="56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0.21</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459,920.56</w:t>
                </w:r>
              </w:p>
            </w:tc>
            <w:tc>
              <w:tcPr>
                <w:tcW w:w="69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100.00</w:t>
                </w:r>
              </w:p>
            </w:tc>
            <w:tc>
              <w:tcPr>
                <w:tcW w:w="111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aa1dfd248eb944149a6fadadaf0a6bd6"/>
                <w:id w:val="6774359"/>
                <w:lock w:val="sdtLocked"/>
              </w:sdtPr>
              <w:sdtEndPr>
                <w:rPr>
                  <w:sz w:val="18"/>
                  <w:szCs w:val="18"/>
                </w:rPr>
              </w:sdtEndPr>
              <w:sdtContent>
                <w:tc>
                  <w:tcPr>
                    <w:tcW w:w="13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18"/>
                        <w:szCs w:val="18"/>
                      </w:rPr>
                    </w:pPr>
                    <w:r>
                      <w:rPr>
                        <w:rFonts w:hint="eastAsia"/>
                        <w:sz w:val="18"/>
                        <w:szCs w:val="18"/>
                      </w:rPr>
                      <w:t>合计</w:t>
                    </w:r>
                  </w:p>
                </w:tc>
              </w:sdtContent>
            </w:sdt>
            <w:tc>
              <w:tcPr>
                <w:tcW w:w="108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273,697,012.89</w:t>
                </w:r>
              </w:p>
            </w:tc>
            <w:tc>
              <w:tcPr>
                <w:tcW w:w="43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35,065,253.19</w:t>
                </w:r>
              </w:p>
            </w:tc>
            <w:tc>
              <w:tcPr>
                <w:tcW w:w="7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w:t>
                </w:r>
              </w:p>
            </w:tc>
            <w:tc>
              <w:tcPr>
                <w:tcW w:w="108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238,631,759.7</w:t>
                </w:r>
                <w:r>
                  <w:rPr>
                    <w:rFonts w:hint="eastAsia" w:ascii="Arial Narrow" w:hAnsi="Arial Narrow"/>
                    <w:sz w:val="18"/>
                    <w:szCs w:val="18"/>
                  </w:rPr>
                  <w:t>0</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211,015,965.31</w:t>
                </w:r>
              </w:p>
            </w:tc>
            <w:tc>
              <w:tcPr>
                <w:tcW w:w="56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31,527,189.48</w:t>
                </w:r>
              </w:p>
            </w:tc>
            <w:tc>
              <w:tcPr>
                <w:tcW w:w="69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w:t>
                </w:r>
              </w:p>
            </w:tc>
            <w:tc>
              <w:tcPr>
                <w:tcW w:w="111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179,488,775.83</w:t>
                </w:r>
              </w:p>
            </w:tc>
          </w:tr>
        </w:tbl>
        <w:p/>
      </w:sdtContent>
    </w:sdt>
    <w:p/>
    <w:sdt>
      <w:sdtPr>
        <w:rPr>
          <w:rFonts w:hint="eastAsia"/>
          <w:szCs w:val="21"/>
        </w:rPr>
        <w:alias w:val="模块:单项金额重大并单项计提坏帐准备的应收账款　　　　　　　　　..."/>
        <w:tag w:val="_SEC_9d903f1a89bb4ee1907d41b547e7cf28"/>
        <w:id w:val="6774372"/>
        <w:lock w:val="sdtLocked"/>
        <w:placeholder>
          <w:docPart w:val="GBC22222222222222222222222222222"/>
        </w:placeholder>
      </w:sdtPr>
      <w:sdtEndPr>
        <w:rPr>
          <w:rFonts w:hint="eastAsia"/>
          <w:szCs w:val="21"/>
        </w:rPr>
      </w:sdtEndPr>
      <w:sdtContent>
        <w:p>
          <w:pPr>
            <w:rPr>
              <w:szCs w:val="21"/>
            </w:rPr>
          </w:pPr>
          <w:r>
            <w:rPr>
              <w:rFonts w:hint="eastAsia"/>
              <w:szCs w:val="21"/>
            </w:rPr>
            <w:t>期末单项金额重大并单项计提坏帐准备的应收账款</w:t>
          </w:r>
        </w:p>
        <w:sdt>
          <w:sdtPr>
            <w:rPr>
              <w:szCs w:val="21"/>
            </w:rPr>
            <w:alias w:val="是否适用：单项金额重大并单项计提坏账准备的应收账款[双击切换]"/>
            <w:tag w:val="_GBC_d928ba9b323645659de2ea695d919912"/>
            <w:id w:val="6774361"/>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autoSpaceDE w:val="0"/>
            <w:autoSpaceDN w:val="0"/>
            <w:adjustRightInd w:val="0"/>
            <w:jc w:val="right"/>
            <w:rPr>
              <w:szCs w:val="21"/>
            </w:rPr>
          </w:pPr>
          <w:r>
            <w:rPr>
              <w:rFonts w:hint="eastAsia"/>
              <w:szCs w:val="21"/>
            </w:rPr>
            <w:t>单位：</w:t>
          </w:r>
          <w:sdt>
            <w:sdtPr>
              <w:rPr>
                <w:rFonts w:hint="eastAsia"/>
                <w:szCs w:val="21"/>
              </w:rPr>
              <w:alias w:val="单位：财务附注：单项金额重大并单项计提坏帐准备的应收账款"/>
              <w:tag w:val="_GBC_5a325833b642452a8aeff79804b147aa"/>
              <w:id w:val="67743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单项金额重大并单项计提坏帐准备的应收账款"/>
              <w:tag w:val="_GBC_d9e5adb9e4324ce4a4f337feadf19e78"/>
              <w:id w:val="67743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Layout w:type="fixed"/>
            <w:tblCellMar>
              <w:top w:w="0" w:type="dxa"/>
              <w:left w:w="108" w:type="dxa"/>
              <w:bottom w:w="0" w:type="dxa"/>
              <w:right w:w="108" w:type="dxa"/>
            </w:tblCellMar>
          </w:tblPr>
          <w:tblGrid>
            <w:gridCol w:w="1973"/>
            <w:gridCol w:w="1710"/>
            <w:gridCol w:w="1900"/>
            <w:gridCol w:w="1752"/>
            <w:gridCol w:w="1714"/>
          </w:tblGrid>
          <w:tr>
            <w:tblPrEx>
              <w:tblLayout w:type="fixed"/>
              <w:tblCellMar>
                <w:top w:w="0" w:type="dxa"/>
                <w:left w:w="108" w:type="dxa"/>
                <w:bottom w:w="0" w:type="dxa"/>
                <w:right w:w="108" w:type="dxa"/>
              </w:tblCellMar>
            </w:tblPrEx>
            <w:sdt>
              <w:sdtPr>
                <w:tag w:val="_PLD_0d28f74bb4c141748fedccdd94678423"/>
                <w:id w:val="6774364"/>
                <w:lock w:val="sdtLocked"/>
              </w:sdtPr>
              <w:sdtContent>
                <w:tc>
                  <w:tcPr>
                    <w:tcW w:w="1973"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应收账款</w:t>
                    </w:r>
                  </w:p>
                  <w:p>
                    <w:pPr>
                      <w:jc w:val="center"/>
                      <w:rPr>
                        <w:szCs w:val="21"/>
                      </w:rPr>
                    </w:pPr>
                    <w:r>
                      <w:rPr>
                        <w:rFonts w:hint="eastAsia"/>
                        <w:szCs w:val="21"/>
                      </w:rPr>
                      <w:t>（按单位）</w:t>
                    </w:r>
                  </w:p>
                </w:tc>
              </w:sdtContent>
            </w:sdt>
            <w:sdt>
              <w:sdtPr>
                <w:tag w:val="_PLD_635f7eb7cab3494f8cc7c88bed143168"/>
                <w:id w:val="6774365"/>
                <w:lock w:val="sdtLocked"/>
              </w:sdtPr>
              <w:sdtContent>
                <w:tc>
                  <w:tcPr>
                    <w:tcW w:w="7076"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期末余额</w:t>
                    </w:r>
                  </w:p>
                </w:tc>
              </w:sdtContent>
            </w:sdt>
          </w:tr>
          <w:tr>
            <w:tblPrEx>
              <w:tblLayout w:type="fixed"/>
              <w:tblCellMar>
                <w:top w:w="0" w:type="dxa"/>
                <w:left w:w="108" w:type="dxa"/>
                <w:bottom w:w="0" w:type="dxa"/>
                <w:right w:w="108" w:type="dxa"/>
              </w:tblCellMar>
            </w:tblPrEx>
            <w:tc>
              <w:tcPr>
                <w:tcW w:w="1973" w:type="dxa"/>
                <w:vMerge w:val="continue"/>
                <w:tcBorders>
                  <w:left w:val="single" w:color="auto" w:sz="4" w:space="0"/>
                  <w:bottom w:val="single" w:color="auto" w:sz="4" w:space="0"/>
                  <w:right w:val="single" w:color="auto" w:sz="4" w:space="0"/>
                </w:tcBorders>
                <w:vAlign w:val="center"/>
              </w:tcPr>
              <w:p>
                <w:pPr>
                  <w:jc w:val="center"/>
                  <w:rPr>
                    <w:szCs w:val="21"/>
                  </w:rPr>
                </w:pPr>
              </w:p>
            </w:tc>
            <w:sdt>
              <w:sdtPr>
                <w:tag w:val="_PLD_6d525ced96e54bfcb184e5db72cb456b"/>
                <w:id w:val="6774366"/>
                <w:lock w:val="sdtLocked"/>
              </w:sdtPr>
              <w:sdtContent>
                <w:tc>
                  <w:tcPr>
                    <w:tcW w:w="17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应收账款</w:t>
                    </w:r>
                  </w:p>
                </w:tc>
              </w:sdtContent>
            </w:sdt>
            <w:sdt>
              <w:sdtPr>
                <w:tag w:val="_PLD_42a5d0e19ef647cca12b38f8bbd668db"/>
                <w:id w:val="6774367"/>
                <w:lock w:val="sdtLocked"/>
              </w:sdtPr>
              <w:sdtContent>
                <w:tc>
                  <w:tcPr>
                    <w:tcW w:w="1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坏账准备</w:t>
                    </w:r>
                  </w:p>
                </w:tc>
              </w:sdtContent>
            </w:sdt>
            <w:sdt>
              <w:sdtPr>
                <w:tag w:val="_PLD_24ef65e41c2a4579b7e22d8c385d6bab"/>
                <w:id w:val="6774368"/>
                <w:lock w:val="sdtLocked"/>
              </w:sdtPr>
              <w:sdtContent>
                <w:tc>
                  <w:tcPr>
                    <w:tcW w:w="175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计提比例（%）</w:t>
                    </w:r>
                  </w:p>
                </w:tc>
              </w:sdtContent>
            </w:sdt>
            <w:sdt>
              <w:sdtPr>
                <w:tag w:val="_PLD_94275811116c4219881551eb36b3f50d"/>
                <w:id w:val="6774369"/>
                <w:lock w:val="sdtLocked"/>
              </w:sdtPr>
              <w:sdtContent>
                <w:tc>
                  <w:tcPr>
                    <w:tcW w:w="171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计提理由</w:t>
                    </w:r>
                  </w:p>
                </w:tc>
              </w:sdtContent>
            </w:sdt>
          </w:tr>
          <w:sdt>
            <w:sdtPr>
              <w:rPr>
                <w:szCs w:val="21"/>
              </w:rPr>
              <w:alias w:val="单项金额重大并单项计提坏帐准备的应收账款明细"/>
              <w:tag w:val="_TUP_d704e60718a4436d9d4f463b351633ee"/>
              <w:id w:val="6774370"/>
              <w:lock w:val="sdtLocked"/>
            </w:sdtPr>
            <w:sdtEndPr>
              <w:rPr>
                <w:szCs w:val="21"/>
              </w:rPr>
            </w:sdtEndPr>
            <w:sdtContent>
              <w:tr>
                <w:tblPrEx>
                  <w:tblLayout w:type="fixed"/>
                  <w:tblCellMar>
                    <w:top w:w="0" w:type="dxa"/>
                    <w:left w:w="108" w:type="dxa"/>
                    <w:bottom w:w="0" w:type="dxa"/>
                    <w:right w:w="108" w:type="dxa"/>
                  </w:tblCellMar>
                </w:tblPrEx>
                <w:tc>
                  <w:tcPr>
                    <w:tcW w:w="1973" w:type="dxa"/>
                    <w:tcBorders>
                      <w:top w:val="single" w:color="auto" w:sz="4" w:space="0"/>
                      <w:left w:val="single" w:color="auto" w:sz="4" w:space="0"/>
                      <w:bottom w:val="single" w:color="auto" w:sz="4" w:space="0"/>
                      <w:right w:val="single" w:color="auto" w:sz="4" w:space="0"/>
                    </w:tcBorders>
                  </w:tcPr>
                  <w:p>
                    <w:pPr>
                      <w:rPr>
                        <w:szCs w:val="21"/>
                      </w:rPr>
                    </w:pPr>
                    <w:r>
                      <w:rPr>
                        <w:rFonts w:hint="eastAsia"/>
                      </w:rPr>
                      <w:t>单位一</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t>17,000,000.00</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t>17,000,000.00</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100.00</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发生坏账风险大</w:t>
                    </w:r>
                  </w:p>
                </w:tc>
              </w:tr>
            </w:sdtContent>
          </w:sdt>
          <w:tr>
            <w:tblPrEx>
              <w:tblLayout w:type="fixed"/>
              <w:tblCellMar>
                <w:top w:w="0" w:type="dxa"/>
                <w:left w:w="108" w:type="dxa"/>
                <w:bottom w:w="0" w:type="dxa"/>
                <w:right w:w="108" w:type="dxa"/>
              </w:tblCellMar>
            </w:tblPrEx>
            <w:sdt>
              <w:sdtPr>
                <w:tag w:val="_PLD_0430a1bea4e44931818b512e2cb1c3a7"/>
                <w:id w:val="6774371"/>
                <w:lock w:val="sdtLocked"/>
              </w:sdtPr>
              <w:sdtContent>
                <w:tc>
                  <w:tcPr>
                    <w:tcW w:w="197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w:t>
                    </w:r>
                  </w:p>
                </w:tc>
              </w:sdtContent>
            </w:sdt>
            <w:tc>
              <w:tcPr>
                <w:tcW w:w="1710" w:type="dxa"/>
                <w:tcBorders>
                  <w:top w:val="single" w:color="auto" w:sz="4" w:space="0"/>
                  <w:left w:val="single" w:color="auto" w:sz="4" w:space="0"/>
                  <w:bottom w:val="single" w:color="auto" w:sz="4" w:space="0"/>
                  <w:right w:val="single" w:color="auto" w:sz="4" w:space="0"/>
                </w:tcBorders>
              </w:tcPr>
              <w:p>
                <w:pPr>
                  <w:jc w:val="right"/>
                  <w:rPr>
                    <w:szCs w:val="21"/>
                  </w:rPr>
                </w:pPr>
                <w:r>
                  <w:t>17,000,000.00</w:t>
                </w:r>
              </w:p>
            </w:tc>
            <w:tc>
              <w:tcPr>
                <w:tcW w:w="1900" w:type="dxa"/>
                <w:tcBorders>
                  <w:top w:val="single" w:color="auto" w:sz="4" w:space="0"/>
                  <w:left w:val="single" w:color="auto" w:sz="4" w:space="0"/>
                  <w:bottom w:val="single" w:color="auto" w:sz="4" w:space="0"/>
                  <w:right w:val="single" w:color="auto" w:sz="4" w:space="0"/>
                </w:tcBorders>
              </w:tcPr>
              <w:p>
                <w:pPr>
                  <w:jc w:val="right"/>
                  <w:rPr>
                    <w:szCs w:val="21"/>
                  </w:rPr>
                </w:pPr>
                <w:r>
                  <w:t>17,000,000.00</w:t>
                </w:r>
              </w:p>
            </w:tc>
            <w:tc>
              <w:tcPr>
                <w:tcW w:w="1752"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w:t>
                </w:r>
              </w:p>
            </w:tc>
            <w:tc>
              <w:tcPr>
                <w:tcW w:w="1714"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w:t>
                </w:r>
              </w:p>
            </w:tc>
          </w:tr>
        </w:tbl>
        <w:p>
          <w:pPr>
            <w:rPr>
              <w:szCs w:val="21"/>
            </w:rPr>
          </w:pPr>
        </w:p>
      </w:sdtContent>
    </w:sdt>
    <w:p>
      <w:pPr>
        <w:rPr>
          <w:szCs w:val="21"/>
        </w:rPr>
      </w:pPr>
      <w:r>
        <w:rPr>
          <w:rFonts w:hint="eastAsia"/>
          <w:szCs w:val="21"/>
        </w:rPr>
        <w:t>组合中，按账龄分析法计提坏账准备的应收账款：</w:t>
      </w:r>
    </w:p>
    <w:sdt>
      <w:sdtPr>
        <w:rPr>
          <w:rFonts w:hint="eastAsia"/>
          <w:szCs w:val="21"/>
        </w:rPr>
        <w:alias w:val="是否适用：组合中，按账龄分析法计提坏账准备的应收账款[双击切换]"/>
        <w:tag w:val="_GBC_ffd7535e9125483e9f711c891b9069d6"/>
        <w:id w:val="677437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模块:组合中，按账龄分析法计提坏账准备的应收账款"/>
        <w:tag w:val="_SEC_c5fcf9d8c7eb4fd3911d274ef1f5bc4f"/>
        <w:id w:val="6774391"/>
        <w:lock w:val="sdtLocked"/>
      </w:sdtPr>
      <w:sdtEndPr>
        <w:rPr>
          <w:rFonts w:hint="default"/>
          <w:szCs w:val="21"/>
        </w:rPr>
      </w:sdtEndPr>
      <w:sdtContent>
        <w:p>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fa3d0466175949199ccab17f6f8c6747"/>
              <w:id w:val="6774374"/>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08d813636db44b658f6e5b63ed6cbc7d"/>
              <w:id w:val="677437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2048"/>
            <w:gridCol w:w="2282"/>
            <w:gridCol w:w="2316"/>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7d94de5a9a224654872d5a450ca1c14e"/>
                <w:id w:val="6774376"/>
                <w:lock w:val="sdtLocked"/>
              </w:sdtPr>
              <w:sdtContent>
                <w:tc>
                  <w:tcPr>
                    <w:tcW w:w="2048"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账龄</w:t>
                    </w:r>
                  </w:p>
                </w:tc>
              </w:sdtContent>
            </w:sdt>
            <w:sdt>
              <w:sdtPr>
                <w:tag w:val="_PLD_bb99ccc46c7348e197ba8677a643aa52"/>
                <w:id w:val="6774377"/>
                <w:lock w:val="sdtLocked"/>
              </w:sdtPr>
              <w:sdtContent>
                <w:tc>
                  <w:tcPr>
                    <w:tcW w:w="6847"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048"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sdt>
              <w:sdtPr>
                <w:tag w:val="_PLD_8ce1b4d4e9a848209a543929e6c03146"/>
                <w:id w:val="6774378"/>
                <w:lock w:val="sdtLocked"/>
              </w:sdtPr>
              <w:sdtContent>
                <w:tc>
                  <w:tcPr>
                    <w:tcW w:w="228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应收账款</w:t>
                    </w:r>
                  </w:p>
                </w:tc>
              </w:sdtContent>
            </w:sdt>
            <w:sdt>
              <w:sdtPr>
                <w:tag w:val="_PLD_ff29783d86f846bfb06bc662763f5094"/>
                <w:id w:val="6774379"/>
                <w:lock w:val="sdtLocked"/>
              </w:sdtPr>
              <w:sdtContent>
                <w:tc>
                  <w:tcPr>
                    <w:tcW w:w="23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坏账准备</w:t>
                    </w:r>
                  </w:p>
                </w:tc>
              </w:sdtContent>
            </w:sdt>
            <w:sdt>
              <w:sdtPr>
                <w:tag w:val="_PLD_ce03679a1bd242a08fd61c4cf53d1a34"/>
                <w:id w:val="6774380"/>
                <w:lock w:val="sdtLocked"/>
              </w:sdtPr>
              <w:sdtContent>
                <w:tc>
                  <w:tcPr>
                    <w:tcW w:w="224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计提比例（%）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b746987b41ca434abf35426e8a0477c1"/>
                <w:id w:val="6774381"/>
                <w:lock w:val="sdtLocked"/>
              </w:sdtPr>
              <w:sdtContent>
                <w:tc>
                  <w:tcPr>
                    <w:tcW w:w="204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1年以内</w:t>
                    </w:r>
                  </w:p>
                </w:tc>
              </w:sdtContent>
            </w:sdt>
            <w:tc>
              <w:tcPr>
                <w:tcW w:w="2282" w:type="dxa"/>
                <w:tcBorders>
                  <w:top w:val="single" w:color="auto" w:sz="4" w:space="0"/>
                  <w:left w:val="single" w:color="auto" w:sz="4" w:space="0"/>
                  <w:bottom w:val="single" w:color="auto" w:sz="4" w:space="0"/>
                  <w:right w:val="single" w:color="auto" w:sz="4" w:space="0"/>
                </w:tcBorders>
              </w:tcPr>
              <w:p>
                <w:pPr>
                  <w:jc w:val="right"/>
                  <w:rPr>
                    <w:color w:val="FF0000"/>
                    <w:szCs w:val="21"/>
                  </w:rPr>
                </w:pPr>
                <w:r>
                  <w:t>231,598,418.04</w:t>
                </w:r>
              </w:p>
            </w:tc>
            <w:tc>
              <w:tcPr>
                <w:tcW w:w="2316" w:type="dxa"/>
                <w:tcBorders>
                  <w:top w:val="single" w:color="auto" w:sz="4" w:space="0"/>
                  <w:left w:val="single" w:color="auto" w:sz="4" w:space="0"/>
                  <w:bottom w:val="single" w:color="auto" w:sz="4" w:space="0"/>
                  <w:right w:val="single" w:color="auto" w:sz="4" w:space="0"/>
                </w:tcBorders>
              </w:tcPr>
              <w:p>
                <w:pPr>
                  <w:jc w:val="right"/>
                  <w:rPr>
                    <w:color w:val="FF0000"/>
                    <w:szCs w:val="21"/>
                  </w:rPr>
                </w:pPr>
                <w:r>
                  <w:t>6,947,952.54</w:t>
                </w:r>
              </w:p>
            </w:tc>
            <w:tc>
              <w:tcPr>
                <w:tcW w:w="2249" w:type="dxa"/>
                <w:tcBorders>
                  <w:top w:val="single" w:color="auto" w:sz="4" w:space="0"/>
                  <w:left w:val="single" w:color="auto" w:sz="4" w:space="0"/>
                  <w:bottom w:val="single" w:color="auto" w:sz="4" w:space="0"/>
                  <w:right w:val="single" w:color="auto" w:sz="4" w:space="0"/>
                </w:tcBorders>
              </w:tcPr>
              <w:p>
                <w:pPr>
                  <w:jc w:val="right"/>
                  <w:rPr>
                    <w:color w:val="000000" w:themeColor="text1"/>
                    <w:szCs w:val="21"/>
                  </w:rPr>
                </w:pPr>
                <w:r>
                  <w:rPr>
                    <w:color w:val="000000" w:themeColor="text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0fc350150ed742279f691d69d7df8828"/>
                <w:id w:val="6774382"/>
                <w:lock w:val="sdtLocked"/>
              </w:sdtPr>
              <w:sdtContent>
                <w:tc>
                  <w:tcPr>
                    <w:tcW w:w="204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其中：1年以内分项</w:t>
                    </w:r>
                  </w:p>
                </w:tc>
              </w:sdtContent>
            </w:sdt>
            <w:tc>
              <w:tcPr>
                <w:tcW w:w="2282" w:type="dxa"/>
                <w:tcBorders>
                  <w:top w:val="single" w:color="auto" w:sz="4" w:space="0"/>
                  <w:left w:val="single" w:color="auto" w:sz="4" w:space="0"/>
                  <w:bottom w:val="single" w:color="auto" w:sz="4" w:space="0"/>
                  <w:right w:val="single" w:color="auto" w:sz="4" w:space="0"/>
                </w:tcBorders>
              </w:tcPr>
              <w:p>
                <w:pPr>
                  <w:jc w:val="right"/>
                  <w:rPr>
                    <w:szCs w:val="21"/>
                  </w:rPr>
                </w:pPr>
                <w:r>
                  <w:t>231,598,418.04</w:t>
                </w:r>
              </w:p>
            </w:tc>
            <w:tc>
              <w:tcPr>
                <w:tcW w:w="2316" w:type="dxa"/>
                <w:tcBorders>
                  <w:top w:val="single" w:color="auto" w:sz="4" w:space="0"/>
                  <w:left w:val="single" w:color="auto" w:sz="4" w:space="0"/>
                  <w:bottom w:val="single" w:color="auto" w:sz="4" w:space="0"/>
                  <w:right w:val="single" w:color="auto" w:sz="4" w:space="0"/>
                </w:tcBorders>
              </w:tcPr>
              <w:p>
                <w:pPr>
                  <w:jc w:val="right"/>
                  <w:rPr>
                    <w:szCs w:val="21"/>
                  </w:rPr>
                </w:pPr>
                <w:r>
                  <w:t>6,947,952.54</w:t>
                </w:r>
              </w:p>
            </w:tc>
            <w:tc>
              <w:tcPr>
                <w:tcW w:w="2249" w:type="dxa"/>
                <w:tcBorders>
                  <w:top w:val="single" w:color="auto" w:sz="4" w:space="0"/>
                  <w:left w:val="single" w:color="auto" w:sz="4" w:space="0"/>
                  <w:bottom w:val="single" w:color="auto" w:sz="4" w:space="0"/>
                  <w:right w:val="single" w:color="auto" w:sz="4" w:space="0"/>
                </w:tcBorders>
              </w:tcPr>
              <w:p>
                <w:pPr>
                  <w:jc w:val="right"/>
                  <w:rPr>
                    <w:color w:val="000000" w:themeColor="text1"/>
                    <w:szCs w:val="21"/>
                  </w:rPr>
                </w:pPr>
                <w:r>
                  <w:rPr>
                    <w:color w:val="000000" w:themeColor="text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9d5b6e75acc942b6a508a6e7dbaf96d7"/>
                <w:id w:val="6774383"/>
                <w:lock w:val="sdtLocked"/>
              </w:sdtPr>
              <w:sdtContent>
                <w:tc>
                  <w:tcPr>
                    <w:tcW w:w="204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1年以内小计</w:t>
                    </w:r>
                  </w:p>
                </w:tc>
              </w:sdtContent>
            </w:sdt>
            <w:tc>
              <w:tcPr>
                <w:tcW w:w="2282" w:type="dxa"/>
                <w:tcBorders>
                  <w:top w:val="single" w:color="auto" w:sz="4" w:space="0"/>
                  <w:left w:val="single" w:color="auto" w:sz="4" w:space="0"/>
                  <w:bottom w:val="single" w:color="auto" w:sz="4" w:space="0"/>
                  <w:right w:val="single" w:color="auto" w:sz="4" w:space="0"/>
                </w:tcBorders>
              </w:tcPr>
              <w:p>
                <w:pPr>
                  <w:jc w:val="right"/>
                  <w:rPr>
                    <w:szCs w:val="21"/>
                  </w:rPr>
                </w:pPr>
                <w:r>
                  <w:t>231,598,418.04</w:t>
                </w:r>
              </w:p>
            </w:tc>
            <w:tc>
              <w:tcPr>
                <w:tcW w:w="2316" w:type="dxa"/>
                <w:tcBorders>
                  <w:top w:val="single" w:color="auto" w:sz="4" w:space="0"/>
                  <w:left w:val="single" w:color="auto" w:sz="4" w:space="0"/>
                  <w:bottom w:val="single" w:color="auto" w:sz="4" w:space="0"/>
                  <w:right w:val="single" w:color="auto" w:sz="4" w:space="0"/>
                </w:tcBorders>
              </w:tcPr>
              <w:p>
                <w:pPr>
                  <w:jc w:val="right"/>
                  <w:rPr>
                    <w:szCs w:val="21"/>
                  </w:rPr>
                </w:pPr>
                <w:r>
                  <w:t>6,947,952.54</w:t>
                </w:r>
              </w:p>
            </w:tc>
            <w:tc>
              <w:tcPr>
                <w:tcW w:w="2249" w:type="dxa"/>
                <w:tcBorders>
                  <w:top w:val="single" w:color="auto" w:sz="4" w:space="0"/>
                  <w:left w:val="single" w:color="auto" w:sz="4" w:space="0"/>
                  <w:bottom w:val="single" w:color="auto" w:sz="4" w:space="0"/>
                  <w:right w:val="single" w:color="auto" w:sz="4" w:space="0"/>
                </w:tcBorders>
              </w:tcPr>
              <w:p>
                <w:pPr>
                  <w:jc w:val="right"/>
                  <w:rPr>
                    <w:color w:val="000000" w:themeColor="text1"/>
                    <w:szCs w:val="21"/>
                  </w:rPr>
                </w:pPr>
                <w:r>
                  <w:rPr>
                    <w:color w:val="000000" w:themeColor="text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276e461fe6414642a52c9578f1522e87"/>
                <w:id w:val="6774384"/>
                <w:lock w:val="sdtLocked"/>
              </w:sdtPr>
              <w:sdtContent>
                <w:tc>
                  <w:tcPr>
                    <w:tcW w:w="204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1至2年</w:t>
                    </w:r>
                  </w:p>
                </w:tc>
              </w:sdtContent>
            </w:sdt>
            <w:tc>
              <w:tcPr>
                <w:tcW w:w="2282" w:type="dxa"/>
                <w:tcBorders>
                  <w:top w:val="single" w:color="auto" w:sz="4" w:space="0"/>
                  <w:left w:val="single" w:color="auto" w:sz="4" w:space="0"/>
                  <w:bottom w:val="single" w:color="auto" w:sz="4" w:space="0"/>
                  <w:right w:val="single" w:color="auto" w:sz="4" w:space="0"/>
                </w:tcBorders>
              </w:tcPr>
              <w:p>
                <w:pPr>
                  <w:jc w:val="right"/>
                  <w:rPr>
                    <w:szCs w:val="21"/>
                  </w:rPr>
                </w:pPr>
                <w:r>
                  <w:t>6,061,708.56</w:t>
                </w:r>
              </w:p>
            </w:tc>
            <w:tc>
              <w:tcPr>
                <w:tcW w:w="2316" w:type="dxa"/>
                <w:tcBorders>
                  <w:top w:val="single" w:color="auto" w:sz="4" w:space="0"/>
                  <w:left w:val="single" w:color="auto" w:sz="4" w:space="0"/>
                  <w:bottom w:val="single" w:color="auto" w:sz="4" w:space="0"/>
                  <w:right w:val="single" w:color="auto" w:sz="4" w:space="0"/>
                </w:tcBorders>
              </w:tcPr>
              <w:p>
                <w:pPr>
                  <w:jc w:val="right"/>
                  <w:rPr>
                    <w:szCs w:val="21"/>
                  </w:rPr>
                </w:pPr>
                <w:r>
                  <w:t>606,170.86</w:t>
                </w:r>
              </w:p>
            </w:tc>
            <w:tc>
              <w:tcPr>
                <w:tcW w:w="2249" w:type="dxa"/>
                <w:tcBorders>
                  <w:top w:val="single" w:color="auto" w:sz="4" w:space="0"/>
                  <w:left w:val="single" w:color="auto" w:sz="4" w:space="0"/>
                  <w:bottom w:val="single" w:color="auto" w:sz="4" w:space="0"/>
                  <w:right w:val="single" w:color="auto" w:sz="4" w:space="0"/>
                </w:tcBorders>
              </w:tcPr>
              <w:p>
                <w:pPr>
                  <w:jc w:val="right"/>
                  <w:rPr>
                    <w:color w:val="000000" w:themeColor="text1"/>
                    <w:szCs w:val="21"/>
                  </w:rPr>
                </w:pPr>
                <w:r>
                  <w:rPr>
                    <w:color w:val="000000" w:themeColor="text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42f81db8f1884a239fa5257b53ba6800"/>
                <w:id w:val="6774385"/>
                <w:lock w:val="sdtLocked"/>
              </w:sdtPr>
              <w:sdtContent>
                <w:tc>
                  <w:tcPr>
                    <w:tcW w:w="204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2至3年</w:t>
                    </w:r>
                  </w:p>
                </w:tc>
              </w:sdtContent>
            </w:sdt>
            <w:tc>
              <w:tcPr>
                <w:tcW w:w="2282" w:type="dxa"/>
                <w:tcBorders>
                  <w:top w:val="single" w:color="auto" w:sz="4" w:space="0"/>
                  <w:left w:val="single" w:color="auto" w:sz="4" w:space="0"/>
                  <w:bottom w:val="single" w:color="auto" w:sz="4" w:space="0"/>
                  <w:right w:val="single" w:color="auto" w:sz="4" w:space="0"/>
                </w:tcBorders>
              </w:tcPr>
              <w:p>
                <w:pPr>
                  <w:jc w:val="right"/>
                  <w:rPr>
                    <w:szCs w:val="21"/>
                  </w:rPr>
                </w:pPr>
                <w:r>
                  <w:t>1,768,449.00</w:t>
                </w:r>
              </w:p>
            </w:tc>
            <w:tc>
              <w:tcPr>
                <w:tcW w:w="2316" w:type="dxa"/>
                <w:tcBorders>
                  <w:top w:val="single" w:color="auto" w:sz="4" w:space="0"/>
                  <w:left w:val="single" w:color="auto" w:sz="4" w:space="0"/>
                  <w:bottom w:val="single" w:color="auto" w:sz="4" w:space="0"/>
                  <w:right w:val="single" w:color="auto" w:sz="4" w:space="0"/>
                </w:tcBorders>
              </w:tcPr>
              <w:p>
                <w:pPr>
                  <w:jc w:val="right"/>
                  <w:rPr>
                    <w:szCs w:val="21"/>
                  </w:rPr>
                </w:pPr>
                <w:r>
                  <w:t>530,534.70</w:t>
                </w:r>
              </w:p>
            </w:tc>
            <w:tc>
              <w:tcPr>
                <w:tcW w:w="2249" w:type="dxa"/>
                <w:tcBorders>
                  <w:top w:val="single" w:color="auto" w:sz="4" w:space="0"/>
                  <w:left w:val="single" w:color="auto" w:sz="4" w:space="0"/>
                  <w:bottom w:val="single" w:color="auto" w:sz="4" w:space="0"/>
                  <w:right w:val="single" w:color="auto" w:sz="4" w:space="0"/>
                </w:tcBorders>
              </w:tcPr>
              <w:p>
                <w:pPr>
                  <w:jc w:val="right"/>
                  <w:rPr>
                    <w:color w:val="000000" w:themeColor="text1"/>
                    <w:szCs w:val="21"/>
                  </w:rPr>
                </w:pPr>
                <w:r>
                  <w:rPr>
                    <w:color w:val="000000" w:themeColor="text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6858e0696e9a47a78701fe9a980af0fd"/>
                <w:id w:val="6774386"/>
                <w:lock w:val="sdtLocked"/>
              </w:sdtPr>
              <w:sdtContent>
                <w:tc>
                  <w:tcPr>
                    <w:tcW w:w="204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3至4年</w:t>
                    </w:r>
                  </w:p>
                </w:tc>
              </w:sdtContent>
            </w:sdt>
            <w:tc>
              <w:tcPr>
                <w:tcW w:w="2282" w:type="dxa"/>
                <w:tcBorders>
                  <w:top w:val="single" w:color="auto" w:sz="4" w:space="0"/>
                  <w:left w:val="single" w:color="auto" w:sz="4" w:space="0"/>
                  <w:bottom w:val="single" w:color="auto" w:sz="4" w:space="0"/>
                  <w:right w:val="single" w:color="auto" w:sz="4" w:space="0"/>
                </w:tcBorders>
              </w:tcPr>
              <w:p>
                <w:pPr>
                  <w:jc w:val="right"/>
                  <w:rPr>
                    <w:szCs w:val="21"/>
                  </w:rPr>
                </w:pPr>
                <w:r>
                  <w:t>14,030,625.88</w:t>
                </w:r>
              </w:p>
            </w:tc>
            <w:tc>
              <w:tcPr>
                <w:tcW w:w="2316" w:type="dxa"/>
                <w:tcBorders>
                  <w:top w:val="single" w:color="auto" w:sz="4" w:space="0"/>
                  <w:left w:val="single" w:color="auto" w:sz="4" w:space="0"/>
                  <w:bottom w:val="single" w:color="auto" w:sz="4" w:space="0"/>
                  <w:right w:val="single" w:color="auto" w:sz="4" w:space="0"/>
                </w:tcBorders>
              </w:tcPr>
              <w:p>
                <w:pPr>
                  <w:jc w:val="right"/>
                  <w:rPr>
                    <w:szCs w:val="21"/>
                  </w:rPr>
                </w:pPr>
                <w:r>
                  <w:t>7,015,312.94</w:t>
                </w:r>
              </w:p>
            </w:tc>
            <w:tc>
              <w:tcPr>
                <w:tcW w:w="2249" w:type="dxa"/>
                <w:tcBorders>
                  <w:top w:val="single" w:color="auto" w:sz="4" w:space="0"/>
                  <w:left w:val="single" w:color="auto" w:sz="4" w:space="0"/>
                  <w:bottom w:val="single" w:color="auto" w:sz="4" w:space="0"/>
                  <w:right w:val="single" w:color="auto" w:sz="4" w:space="0"/>
                </w:tcBorders>
              </w:tcPr>
              <w:p>
                <w:pPr>
                  <w:jc w:val="right"/>
                  <w:rPr>
                    <w:color w:val="000000" w:themeColor="text1"/>
                    <w:szCs w:val="21"/>
                  </w:rPr>
                </w:pPr>
                <w:r>
                  <w:rPr>
                    <w:color w:val="000000" w:themeColor="text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14ec61fe170d4fe790012eac68711d29"/>
                <w:id w:val="6774387"/>
                <w:lock w:val="sdtLocked"/>
              </w:sdtPr>
              <w:sdtContent>
                <w:tc>
                  <w:tcPr>
                    <w:tcW w:w="204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4至5年</w:t>
                    </w:r>
                  </w:p>
                </w:tc>
              </w:sdtContent>
            </w:sdt>
            <w:tc>
              <w:tcPr>
                <w:tcW w:w="2282" w:type="dxa"/>
                <w:tcBorders>
                  <w:top w:val="single" w:color="auto" w:sz="4" w:space="0"/>
                  <w:left w:val="single" w:color="auto" w:sz="4" w:space="0"/>
                  <w:bottom w:val="single" w:color="auto" w:sz="4" w:space="0"/>
                  <w:right w:val="single" w:color="auto" w:sz="4" w:space="0"/>
                </w:tcBorders>
              </w:tcPr>
              <w:p>
                <w:pPr>
                  <w:jc w:val="right"/>
                  <w:rPr>
                    <w:szCs w:val="21"/>
                  </w:rPr>
                </w:pPr>
                <w:r>
                  <w:t>1,362,646.30</w:t>
                </w:r>
              </w:p>
            </w:tc>
            <w:tc>
              <w:tcPr>
                <w:tcW w:w="2316" w:type="dxa"/>
                <w:tcBorders>
                  <w:top w:val="single" w:color="auto" w:sz="4" w:space="0"/>
                  <w:left w:val="single" w:color="auto" w:sz="4" w:space="0"/>
                  <w:bottom w:val="single" w:color="auto" w:sz="4" w:space="0"/>
                  <w:right w:val="single" w:color="auto" w:sz="4" w:space="0"/>
                </w:tcBorders>
              </w:tcPr>
              <w:p>
                <w:pPr>
                  <w:jc w:val="right"/>
                  <w:rPr>
                    <w:szCs w:val="21"/>
                  </w:rPr>
                </w:pPr>
                <w:r>
                  <w:t>1,090,117.04</w:t>
                </w:r>
              </w:p>
            </w:tc>
            <w:tc>
              <w:tcPr>
                <w:tcW w:w="2249" w:type="dxa"/>
                <w:tcBorders>
                  <w:top w:val="single" w:color="auto" w:sz="4" w:space="0"/>
                  <w:left w:val="single" w:color="auto" w:sz="4" w:space="0"/>
                  <w:bottom w:val="single" w:color="auto" w:sz="4" w:space="0"/>
                  <w:right w:val="single" w:color="auto" w:sz="4" w:space="0"/>
                </w:tcBorders>
              </w:tcPr>
              <w:p>
                <w:pPr>
                  <w:jc w:val="right"/>
                  <w:rPr>
                    <w:color w:val="000000" w:themeColor="text1"/>
                    <w:szCs w:val="21"/>
                  </w:rPr>
                </w:pPr>
                <w:r>
                  <w:rPr>
                    <w:color w:val="000000" w:themeColor="text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bc1e7c2d1a354c1ba7daa2c7f790db7d"/>
                <w:id w:val="6774388"/>
                <w:lock w:val="sdtLocked"/>
              </w:sdtPr>
              <w:sdtContent>
                <w:tc>
                  <w:tcPr>
                    <w:tcW w:w="2048"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5年以上</w:t>
                    </w:r>
                  </w:p>
                </w:tc>
              </w:sdtContent>
            </w:sdt>
            <w:tc>
              <w:tcPr>
                <w:tcW w:w="2282" w:type="dxa"/>
                <w:tcBorders>
                  <w:top w:val="single" w:color="auto" w:sz="4" w:space="0"/>
                  <w:left w:val="single" w:color="auto" w:sz="4" w:space="0"/>
                  <w:bottom w:val="single" w:color="auto" w:sz="4" w:space="0"/>
                  <w:right w:val="single" w:color="auto" w:sz="4" w:space="0"/>
                </w:tcBorders>
              </w:tcPr>
              <w:p>
                <w:pPr>
                  <w:jc w:val="right"/>
                  <w:rPr>
                    <w:szCs w:val="21"/>
                  </w:rPr>
                </w:pPr>
                <w:r>
                  <w:t>1,415,244.55</w:t>
                </w:r>
              </w:p>
            </w:tc>
            <w:tc>
              <w:tcPr>
                <w:tcW w:w="2316" w:type="dxa"/>
                <w:tcBorders>
                  <w:top w:val="single" w:color="auto" w:sz="4" w:space="0"/>
                  <w:left w:val="single" w:color="auto" w:sz="4" w:space="0"/>
                  <w:bottom w:val="single" w:color="auto" w:sz="4" w:space="0"/>
                  <w:right w:val="single" w:color="auto" w:sz="4" w:space="0"/>
                </w:tcBorders>
              </w:tcPr>
              <w:p>
                <w:pPr>
                  <w:jc w:val="right"/>
                  <w:rPr>
                    <w:szCs w:val="21"/>
                  </w:rPr>
                </w:pPr>
                <w:r>
                  <w:t>1,415,244.55</w:t>
                </w:r>
              </w:p>
            </w:tc>
            <w:tc>
              <w:tcPr>
                <w:tcW w:w="2249" w:type="dxa"/>
                <w:tcBorders>
                  <w:top w:val="single" w:color="auto" w:sz="4" w:space="0"/>
                  <w:left w:val="single" w:color="auto" w:sz="4" w:space="0"/>
                  <w:bottom w:val="single" w:color="auto" w:sz="4" w:space="0"/>
                  <w:right w:val="single" w:color="auto" w:sz="4" w:space="0"/>
                </w:tcBorders>
              </w:tcPr>
              <w:p>
                <w:pPr>
                  <w:jc w:val="right"/>
                  <w:rPr>
                    <w:color w:val="000000" w:themeColor="text1"/>
                    <w:szCs w:val="21"/>
                  </w:rPr>
                </w:pPr>
                <w:r>
                  <w:rPr>
                    <w:color w:val="000000" w:themeColor="text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ebc7316ab8554534a8bec35492683b07"/>
                <w:id w:val="6774389"/>
                <w:lock w:val="sdtLocked"/>
              </w:sdtPr>
              <w:sdtContent>
                <w:tc>
                  <w:tcPr>
                    <w:tcW w:w="204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w:t>
                    </w:r>
                  </w:p>
                </w:tc>
              </w:sdtContent>
            </w:sdt>
            <w:tc>
              <w:tcPr>
                <w:tcW w:w="2282" w:type="dxa"/>
                <w:tcBorders>
                  <w:top w:val="single" w:color="auto" w:sz="4" w:space="0"/>
                  <w:left w:val="single" w:color="auto" w:sz="4" w:space="0"/>
                  <w:bottom w:val="single" w:color="auto" w:sz="4" w:space="0"/>
                  <w:right w:val="single" w:color="auto" w:sz="4" w:space="0"/>
                </w:tcBorders>
              </w:tcPr>
              <w:p>
                <w:pPr>
                  <w:jc w:val="right"/>
                  <w:rPr>
                    <w:szCs w:val="21"/>
                  </w:rPr>
                </w:pPr>
                <w:r>
                  <w:t>256,237,092.33</w:t>
                </w:r>
              </w:p>
            </w:tc>
            <w:tc>
              <w:tcPr>
                <w:tcW w:w="2316" w:type="dxa"/>
                <w:tcBorders>
                  <w:top w:val="single" w:color="auto" w:sz="4" w:space="0"/>
                  <w:left w:val="single" w:color="auto" w:sz="4" w:space="0"/>
                  <w:bottom w:val="single" w:color="auto" w:sz="4" w:space="0"/>
                  <w:right w:val="single" w:color="auto" w:sz="4" w:space="0"/>
                </w:tcBorders>
              </w:tcPr>
              <w:p>
                <w:pPr>
                  <w:jc w:val="right"/>
                  <w:rPr>
                    <w:szCs w:val="21"/>
                  </w:rPr>
                </w:pPr>
                <w:r>
                  <w:t>17,605,332.63</w:t>
                </w:r>
              </w:p>
            </w:tc>
            <w:tc>
              <w:tcPr>
                <w:tcW w:w="2249" w:type="dxa"/>
                <w:tcBorders>
                  <w:top w:val="single" w:color="auto" w:sz="4" w:space="0"/>
                  <w:left w:val="single" w:color="auto" w:sz="4" w:space="0"/>
                  <w:bottom w:val="single" w:color="auto" w:sz="4" w:space="0"/>
                  <w:right w:val="single" w:color="auto" w:sz="4" w:space="0"/>
                </w:tcBorders>
              </w:tcPr>
              <w:p>
                <w:pPr>
                  <w:jc w:val="right"/>
                  <w:rPr>
                    <w:szCs w:val="21"/>
                  </w:rPr>
                </w:pPr>
              </w:p>
            </w:tc>
          </w:tr>
        </w:tbl>
        <w:p/>
        <w:p>
          <w:r>
            <w:rPr>
              <w:rFonts w:hint="eastAsia"/>
            </w:rPr>
            <w:t>确定该组合依据的</w:t>
          </w:r>
          <w:r>
            <w:t>说明：</w:t>
          </w:r>
        </w:p>
        <w:sdt>
          <w:sdtPr>
            <w:rPr>
              <w:szCs w:val="21"/>
            </w:rPr>
            <w:alias w:val="按账龄分析法计提坏账准备的应收账款-确定该组合依据的说明"/>
            <w:tag w:val="_GBC_ee0911470a0d4253b3c5c7ab8e976b61"/>
            <w:id w:val="6774390"/>
            <w:lock w:val="sdtLocked"/>
          </w:sdtPr>
          <w:sdtEndPr>
            <w:rPr>
              <w:szCs w:val="21"/>
            </w:rPr>
          </w:sdtEndPr>
          <w:sdtContent>
            <w:p>
              <w:pPr>
                <w:snapToGrid w:val="0"/>
                <w:spacing w:line="240" w:lineRule="atLeast"/>
                <w:rPr>
                  <w:szCs w:val="21"/>
                </w:rPr>
              </w:pPr>
              <w:r>
                <w:rPr>
                  <w:rFonts w:hint="eastAsia"/>
                  <w:szCs w:val="21"/>
                </w:rPr>
                <w:t>采用账龄分析法计提坏账准备主要是基于相同账龄具有相类似信用风险假设。</w:t>
              </w:r>
            </w:p>
          </w:sdtContent>
        </w:sdt>
        <w:p>
          <w:pPr>
            <w:ind w:right="-1594" w:rightChars="-759"/>
            <w:rPr>
              <w:szCs w:val="21"/>
            </w:rPr>
          </w:pPr>
        </w:p>
      </w:sdtContent>
    </w:sdt>
    <w:p>
      <w:pPr>
        <w:ind w:right="-1594" w:rightChars="-759"/>
        <w:rPr>
          <w:szCs w:val="21"/>
        </w:rPr>
      </w:pPr>
    </w:p>
    <w:p>
      <w:pPr>
        <w:ind w:right="-1594" w:rightChars="-759"/>
        <w:rPr>
          <w:szCs w:val="21"/>
        </w:rPr>
      </w:pPr>
    </w:p>
    <w:sdt>
      <w:sdtPr>
        <w:rPr>
          <w:rFonts w:hint="eastAsia"/>
          <w:szCs w:val="21"/>
        </w:rPr>
        <w:alias w:val="模块:组合中，采用余额百分比法计提坏账准备的应收账款"/>
        <w:tag w:val="_SEC_ddab22215b994431be5308a48289a799"/>
        <w:id w:val="6774393"/>
        <w:lock w:val="sdtLocked"/>
        <w:placeholder>
          <w:docPart w:val="GBC22222222222222222222222222222"/>
        </w:placeholder>
      </w:sdtPr>
      <w:sdtEndPr>
        <w:rPr>
          <w:rFonts w:hint="eastAsia"/>
          <w:szCs w:val="21"/>
        </w:rPr>
      </w:sdtEndPr>
      <w:sdtContent>
        <w:p>
          <w:pPr>
            <w:rPr>
              <w:szCs w:val="21"/>
            </w:rPr>
          </w:pPr>
          <w:r>
            <w:rPr>
              <w:rFonts w:hint="eastAsia"/>
              <w:szCs w:val="21"/>
            </w:rPr>
            <w:t>组合中，采用余额百分比法计提坏账准备的应收账款：</w:t>
          </w:r>
        </w:p>
        <w:sdt>
          <w:sdtPr>
            <w:rPr>
              <w:rFonts w:hint="eastAsia"/>
              <w:szCs w:val="21"/>
            </w:rPr>
            <w:alias w:val="是否适用：组合中，采用余额百分比法计提坏账准备的应收账款[双击切换]"/>
            <w:tag w:val="_GBC_36e1b78becd3460abb4359f87484c55b"/>
            <w:id w:val="6774392"/>
            <w:lock w:val="sdtContentLocked"/>
            <w:placeholder>
              <w:docPart w:val="GBC22222222222222222222222222222"/>
            </w:placeholder>
          </w:sdtPr>
          <w:sdtEndPr>
            <w:rPr>
              <w:rFonts w:hint="eastAsia"/>
              <w:szCs w:val="21"/>
            </w:rPr>
          </w:sdtEndPr>
          <w:sdtContent>
            <w:p>
              <w:pPr>
                <w:tabs>
                  <w:tab w:val="left" w:pos="8280"/>
                </w:tabs>
                <w:ind w:right="25" w:rightChars="12"/>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p>
          <w:pPr>
            <w:rPr>
              <w:szCs w:val="21"/>
            </w:rPr>
          </w:pPr>
        </w:p>
      </w:sdtContent>
    </w:sdt>
    <w:sdt>
      <w:sdtPr>
        <w:rPr>
          <w:rFonts w:hint="eastAsia"/>
        </w:rPr>
        <w:alias w:val="模块:组合中，采用其他方法计提坏账准备的应收账款："/>
        <w:tag w:val="_SEC_9da61e50bb04477a8b22cb735d160ee4"/>
        <w:id w:val="6774395"/>
        <w:lock w:val="sdtLocked"/>
        <w:placeholder>
          <w:docPart w:val="GBC22222222222222222222222222222"/>
        </w:placeholder>
      </w:sdtPr>
      <w:sdtEndPr>
        <w:rPr>
          <w:rFonts w:hint="eastAsia"/>
          <w:szCs w:val="21"/>
        </w:rPr>
      </w:sdtEndPr>
      <w:sdtContent>
        <w:p>
          <w:r>
            <w:rPr>
              <w:rFonts w:hint="eastAsia"/>
            </w:rPr>
            <w:t>组合中，采用其他方法计提坏账准备的应收账款：</w:t>
          </w:r>
        </w:p>
        <w:sdt>
          <w:sdtPr>
            <w:rPr>
              <w:rFonts w:hint="eastAsia"/>
              <w:szCs w:val="21"/>
            </w:rPr>
            <w:alias w:val="是否适用：组合中采用其他方法计提坏账准备的应收账款[双击切换]"/>
            <w:tag w:val="_GBC_9b99ca4449f748c994c02748a6b908d2"/>
            <w:id w:val="6774394"/>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hint="eastAsia" w:ascii="宋体" w:hAnsi="宋体" w:cs="宋体"/>
          <w:b w:val="0"/>
          <w:bCs w:val="0"/>
          <w:kern w:val="0"/>
          <w:szCs w:val="21"/>
        </w:rPr>
        <w:alias w:val="模块:本期计提、收回或转回的坏账准备情况："/>
        <w:tag w:val="_SEC_f0a463b9089646a19547c53d1bb7f0c8"/>
        <w:id w:val="6774398"/>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3"/>
              <w:numId w:val="68"/>
            </w:numPr>
            <w:tabs>
              <w:tab w:val="left" w:pos="574"/>
            </w:tabs>
            <w:rPr>
              <w:szCs w:val="21"/>
            </w:rPr>
          </w:pPr>
          <w:r>
            <w:rPr>
              <w:rFonts w:hint="eastAsia"/>
              <w:szCs w:val="21"/>
            </w:rPr>
            <w:t>本期计提、收回或转回的坏账准备情况：</w:t>
          </w:r>
        </w:p>
        <w:p>
          <w:pPr>
            <w:rPr>
              <w:szCs w:val="21"/>
            </w:rPr>
          </w:pPr>
          <w:r>
            <w:rPr>
              <w:rFonts w:hint="eastAsia"/>
              <w:szCs w:val="21"/>
            </w:rPr>
            <w:t>本期计提坏账准备金额</w:t>
          </w:r>
          <w:sdt>
            <w:sdtPr>
              <w:rPr>
                <w:rFonts w:hint="eastAsia"/>
                <w:szCs w:val="21"/>
              </w:rPr>
              <w:alias w:val="应收账款计提坏账准备金额"/>
              <w:tag w:val="_GBC_961e83e7b24d4bb0a79c1d5ec12bb85f"/>
              <w:id w:val="6774396"/>
              <w:lock w:val="sdtLocked"/>
              <w:placeholder>
                <w:docPart w:val="GBC22222222222222222222222222222"/>
              </w:placeholder>
            </w:sdtPr>
            <w:sdtEndPr>
              <w:rPr>
                <w:rFonts w:hint="eastAsia"/>
                <w:szCs w:val="21"/>
              </w:rPr>
            </w:sdtEndPr>
            <w:sdtContent>
              <w:r>
                <w:rPr>
                  <w:rFonts w:hint="eastAsia"/>
                  <w:szCs w:val="21"/>
                </w:rPr>
                <w:t>0</w:t>
              </w:r>
            </w:sdtContent>
          </w:sdt>
          <w:r>
            <w:rPr>
              <w:szCs w:val="21"/>
            </w:rPr>
            <w:t>元；本期收回坏账准备金额</w:t>
          </w:r>
          <w:sdt>
            <w:sdtPr>
              <w:rPr>
                <w:szCs w:val="21"/>
              </w:rPr>
              <w:alias w:val="应收账款收回或转回坏账准备金额"/>
              <w:tag w:val="_GBC_8a31af3291cb4b2496a3e358b5fe42e8"/>
              <w:id w:val="6774397"/>
              <w:lock w:val="sdtLocked"/>
              <w:placeholder>
                <w:docPart w:val="GBC22222222222222222222222222222"/>
              </w:placeholder>
            </w:sdtPr>
            <w:sdtEndPr>
              <w:rPr>
                <w:szCs w:val="21"/>
              </w:rPr>
            </w:sdtEndPr>
            <w:sdtContent>
              <w:r>
                <w:rPr>
                  <w:szCs w:val="21"/>
                </w:rPr>
                <w:t>19,345,009.04</w:t>
              </w:r>
            </w:sdtContent>
          </w:sdt>
          <w:r>
            <w:rPr>
              <w:szCs w:val="21"/>
            </w:rPr>
            <w:t>元</w:t>
          </w:r>
          <w:r>
            <w:rPr>
              <w:rFonts w:hint="eastAsia"/>
              <w:szCs w:val="21"/>
            </w:rPr>
            <w:t>，转回坏账准备金额</w:t>
          </w:r>
          <w:r>
            <w:rPr>
              <w:szCs w:val="21"/>
            </w:rPr>
            <w:t>15,806,945.33元。</w:t>
          </w:r>
        </w:p>
      </w:sdtContent>
    </w:sdt>
    <w:p>
      <w:pPr>
        <w:rPr>
          <w:szCs w:val="21"/>
        </w:rPr>
      </w:pPr>
    </w:p>
    <w:sdt>
      <w:sdtPr>
        <w:rPr>
          <w:rFonts w:asciiTheme="minorHAnsi" w:hAnsiTheme="minorHAnsi"/>
          <w:b/>
          <w:bCs/>
          <w:szCs w:val="22"/>
        </w:rPr>
        <w:alias w:val="模块:本期坏账准备收回或转回金额重要的"/>
        <w:tag w:val="_SEC_3a74ab07636f4f7aaaa3aefe56fdcd36"/>
        <w:id w:val="6774408"/>
        <w:lock w:val="sdtLocked"/>
        <w:placeholder>
          <w:docPart w:val="GBC22222222222222222222222222222"/>
        </w:placeholder>
      </w:sdtPr>
      <w:sdtEndPr>
        <w:rPr>
          <w:rFonts w:ascii="Times New Roman" w:hAnsi="Times New Roman" w:cs="Times New Roman"/>
          <w:b w:val="0"/>
          <w:bCs w:val="0"/>
          <w:kern w:val="2"/>
          <w:szCs w:val="24"/>
        </w:rPr>
      </w:sdtEndPr>
      <w:sdtContent>
        <w:p>
          <w:r>
            <w:rPr>
              <w:rFonts w:hint="eastAsia"/>
            </w:rPr>
            <w:t>其中本期坏账准备收回或转回金额重要的：</w:t>
          </w:r>
        </w:p>
        <w:sdt>
          <w:sdtPr>
            <w:alias w:val="是否适用：其中本期坏账准备收回或转回金额重要的[双击切换]"/>
            <w:tag w:val="_GBC_6da74212535e450f9d1465f00dddd00b"/>
            <w:id w:val="677439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highlight w:val="yellow"/>
            </w:rPr>
          </w:pPr>
          <w:r>
            <w:rPr>
              <w:rFonts w:hint="eastAsia"/>
              <w:szCs w:val="21"/>
            </w:rPr>
            <w:t>单位：</w:t>
          </w:r>
          <w:sdt>
            <w:sdtPr>
              <w:rPr>
                <w:rFonts w:hint="eastAsia"/>
                <w:szCs w:val="21"/>
              </w:rPr>
              <w:alias w:val="单位：本期转回或收回情况"/>
              <w:tag w:val="_GBC_d588682760704c0f914665020e456f9b"/>
              <w:id w:val="67744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本期转回或收回情况"/>
              <w:tag w:val="_GBC_0588275b11e047d4acf6f4fdf22f587d"/>
              <w:id w:val="67744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967"/>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c3fcb90eaea4da4aed0cb4c8e82e51b"/>
                <w:id w:val="6774402"/>
                <w:lock w:val="sdtLocked"/>
              </w:sdtPr>
              <w:sdtContent>
                <w:tc>
                  <w:tcPr>
                    <w:tcW w:w="3652" w:type="dxa"/>
                    <w:vAlign w:val="center"/>
                  </w:tcPr>
                  <w:p>
                    <w:pPr>
                      <w:jc w:val="center"/>
                      <w:rPr>
                        <w:szCs w:val="21"/>
                      </w:rPr>
                    </w:pPr>
                    <w:r>
                      <w:rPr>
                        <w:rFonts w:hint="eastAsia"/>
                        <w:szCs w:val="21"/>
                      </w:rPr>
                      <w:t>单位名称</w:t>
                    </w:r>
                  </w:p>
                </w:tc>
              </w:sdtContent>
            </w:sdt>
            <w:sdt>
              <w:sdtPr>
                <w:tag w:val="_PLD_8e81b94af6544906a6a1ac7a3035f951"/>
                <w:id w:val="6774403"/>
                <w:lock w:val="sdtLocked"/>
              </w:sdtPr>
              <w:sdtContent>
                <w:tc>
                  <w:tcPr>
                    <w:tcW w:w="1967" w:type="dxa"/>
                    <w:vAlign w:val="center"/>
                  </w:tcPr>
                  <w:p>
                    <w:pPr>
                      <w:jc w:val="center"/>
                      <w:rPr>
                        <w:szCs w:val="21"/>
                      </w:rPr>
                    </w:pPr>
                    <w:r>
                      <w:rPr>
                        <w:rFonts w:hint="eastAsia"/>
                        <w:szCs w:val="21"/>
                      </w:rPr>
                      <w:t>收回或转回金额</w:t>
                    </w:r>
                  </w:p>
                </w:tc>
              </w:sdtContent>
            </w:sdt>
            <w:sdt>
              <w:sdtPr>
                <w:tag w:val="_PLD_07d37e8b445546679009ed599f886725"/>
                <w:id w:val="6774404"/>
                <w:lock w:val="sdtLocked"/>
              </w:sdtPr>
              <w:sdtContent>
                <w:tc>
                  <w:tcPr>
                    <w:tcW w:w="3430" w:type="dxa"/>
                    <w:vAlign w:val="center"/>
                  </w:tcPr>
                  <w:p>
                    <w:pPr>
                      <w:jc w:val="center"/>
                      <w:rPr>
                        <w:szCs w:val="21"/>
                      </w:rPr>
                    </w:pPr>
                    <w:r>
                      <w:rPr>
                        <w:rFonts w:hint="eastAsia"/>
                        <w:szCs w:val="21"/>
                      </w:rPr>
                      <w:t>收回方式</w:t>
                    </w:r>
                  </w:p>
                </w:tc>
              </w:sdtContent>
            </w:sdt>
          </w:tr>
          <w:sdt>
            <w:sdtPr>
              <w:rPr>
                <w:szCs w:val="21"/>
              </w:rPr>
              <w:alias w:val="转回或收回的应收账款明细"/>
              <w:tag w:val="_TUP_ded9f80fa2244157a7d7c517bbc85ff9"/>
              <w:id w:val="6774405"/>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52" w:type="dxa"/>
                  </w:tcPr>
                  <w:p>
                    <w:pPr>
                      <w:rPr>
                        <w:szCs w:val="21"/>
                      </w:rPr>
                    </w:pPr>
                    <w:r>
                      <w:t>佛山市南海区南桂钢铁材料有限公司</w:t>
                    </w:r>
                  </w:p>
                </w:tc>
                <w:tc>
                  <w:tcPr>
                    <w:tcW w:w="1967" w:type="dxa"/>
                    <w:vAlign w:val="center"/>
                  </w:tcPr>
                  <w:p>
                    <w:pPr>
                      <w:jc w:val="right"/>
                      <w:rPr>
                        <w:szCs w:val="21"/>
                      </w:rPr>
                    </w:pPr>
                    <w:r>
                      <w:t>19,345,009.04</w:t>
                    </w:r>
                  </w:p>
                </w:tc>
                <w:tc>
                  <w:tcPr>
                    <w:tcW w:w="3430" w:type="dxa"/>
                  </w:tcPr>
                  <w:p>
                    <w:pPr>
                      <w:rPr>
                        <w:szCs w:val="21"/>
                      </w:rPr>
                    </w:pPr>
                    <w:r>
                      <w:rPr>
                        <w:rFonts w:hint="eastAsia"/>
                        <w:szCs w:val="21"/>
                      </w:rPr>
                      <w:t>现款</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593908adc294c139e24cf2218378644"/>
                <w:id w:val="6774406"/>
                <w:lock w:val="sdtLocked"/>
              </w:sdtPr>
              <w:sdtContent>
                <w:tc>
                  <w:tcPr>
                    <w:tcW w:w="3652" w:type="dxa"/>
                    <w:vAlign w:val="center"/>
                  </w:tcPr>
                  <w:p>
                    <w:pPr>
                      <w:jc w:val="center"/>
                      <w:rPr>
                        <w:szCs w:val="21"/>
                      </w:rPr>
                    </w:pPr>
                    <w:r>
                      <w:rPr>
                        <w:szCs w:val="21"/>
                      </w:rPr>
                      <w:t>合计</w:t>
                    </w:r>
                  </w:p>
                </w:tc>
              </w:sdtContent>
            </w:sdt>
            <w:tc>
              <w:tcPr>
                <w:tcW w:w="1967" w:type="dxa"/>
                <w:vAlign w:val="center"/>
              </w:tcPr>
              <w:p>
                <w:pPr>
                  <w:jc w:val="right"/>
                  <w:rPr>
                    <w:szCs w:val="21"/>
                  </w:rPr>
                </w:pPr>
                <w:r>
                  <w:rPr>
                    <w:szCs w:val="21"/>
                  </w:rPr>
                  <w:t>19,345,009.04</w:t>
                </w:r>
              </w:p>
            </w:tc>
            <w:tc>
              <w:tcPr>
                <w:tcW w:w="3430" w:type="dxa"/>
              </w:tcPr>
              <w:p>
                <w:pPr>
                  <w:jc w:val="center"/>
                  <w:rPr>
                    <w:szCs w:val="21"/>
                  </w:rPr>
                </w:pPr>
                <w:r>
                  <w:rPr>
                    <w:rFonts w:hint="eastAsia"/>
                    <w:szCs w:val="21"/>
                  </w:rPr>
                  <w:t>/</w:t>
                </w:r>
              </w:p>
            </w:tc>
          </w:tr>
        </w:tbl>
        <w:p>
          <w:r>
            <w:rPr>
              <w:rFonts w:hint="eastAsia"/>
            </w:rPr>
            <w:t>本期公司收回的坏账准备为法院对债务人查封财产拍卖后按债权比例分配所得。</w:t>
          </w:r>
        </w:p>
        <w:p/>
      </w:sdtContent>
    </w:sdt>
    <w:sdt>
      <w:sdtPr>
        <w:rPr>
          <w:rFonts w:hint="eastAsia" w:ascii="Times New Roman" w:hAnsi="Times New Roman" w:cs="宋体"/>
          <w:b w:val="0"/>
          <w:bCs w:val="0"/>
          <w:kern w:val="0"/>
          <w:szCs w:val="24"/>
        </w:rPr>
        <w:alias w:val="模块:本报告期实际核销的应收账款情况"/>
        <w:tag w:val="_SEC_232653caa33f43eface8372ffe3a60eb"/>
        <w:id w:val="6774410"/>
        <w:lock w:val="sdtLocked"/>
        <w:placeholder>
          <w:docPart w:val="GBC22222222222222222222222222222"/>
        </w:placeholder>
      </w:sdtPr>
      <w:sdtEndPr>
        <w:rPr>
          <w:rFonts w:hint="default" w:ascii="宋体" w:hAnsi="宋体" w:cs="宋体"/>
          <w:b w:val="0"/>
          <w:bCs w:val="0"/>
          <w:kern w:val="0"/>
          <w:szCs w:val="24"/>
        </w:rPr>
      </w:sdtEndPr>
      <w:sdtContent>
        <w:p>
          <w:pPr>
            <w:pStyle w:val="5"/>
            <w:numPr>
              <w:ilvl w:val="3"/>
              <w:numId w:val="68"/>
            </w:numPr>
            <w:tabs>
              <w:tab w:val="left" w:pos="574"/>
            </w:tabs>
          </w:pPr>
          <w:r>
            <w:t>本期实际核销的应收</w:t>
          </w:r>
          <w:r>
            <w:rPr>
              <w:rFonts w:hint="eastAsia"/>
            </w:rPr>
            <w:t>账款</w:t>
          </w:r>
          <w:r>
            <w:t>情况</w:t>
          </w:r>
        </w:p>
        <w:sdt>
          <w:sdtPr>
            <w:alias w:val="是否适用：本期实际核销的应收账款情况[双击切换]"/>
            <w:tag w:val="_GBC_a6ff40b990b34b00968a4938eac82a74"/>
            <w:id w:val="677440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sdtContent>
    </w:sdt>
    <w:p/>
    <w:sdt>
      <w:sdtPr>
        <w:rPr>
          <w:rFonts w:hint="eastAsia" w:ascii="Times New Roman" w:hAnsi="Times New Roman" w:cs="宋体"/>
          <w:b w:val="0"/>
          <w:bCs w:val="0"/>
          <w:kern w:val="0"/>
          <w:szCs w:val="24"/>
        </w:rPr>
        <w:alias w:val="模块:按欠款方归集的期末余额前五名的应收账款情况："/>
        <w:tag w:val="_SEC_71c89f02128446e2b4ea3a2dfb767bd2"/>
        <w:id w:val="6774413"/>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3"/>
              <w:numId w:val="68"/>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384d0a1c7eac41bb9693117cbe9c7e5b"/>
            <w:id w:val="6774411"/>
            <w:lock w:val="sdtContentLocked"/>
            <w:placeholder>
              <w:docPart w:val="GBC22222222222222222222222222222"/>
            </w:placeholder>
          </w:sdtPr>
          <w:sdtEndPr>
            <w:rPr>
              <w:rFonts w:hint="eastAsia"/>
              <w:szCs w:val="21"/>
            </w:rPr>
          </w:sdtEndPr>
          <w:sdtContent>
            <w:p>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c00993263f034b6b95498635f166760d"/>
            <w:id w:val="6774412"/>
            <w:lock w:val="sdtLocked"/>
            <w:placeholder>
              <w:docPart w:val="GBC22222222222222222222222222222"/>
            </w:placeholder>
          </w:sdtPr>
          <w:sdtEndPr>
            <w:rPr>
              <w:szCs w:val="21"/>
            </w:rPr>
          </w:sdtEndPr>
          <w:sdtContent>
            <w:p>
              <w:pPr>
                <w:snapToGrid w:val="0"/>
                <w:spacing w:line="240" w:lineRule="atLeast"/>
                <w:rPr>
                  <w:szCs w:val="21"/>
                </w:rPr>
              </w:pPr>
            </w:p>
            <w:tbl>
              <w:tblPr>
                <w:tblStyle w:val="83"/>
                <w:tblW w:w="8843" w:type="dxa"/>
                <w:tblInd w:w="-26"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031"/>
                <w:gridCol w:w="709"/>
                <w:gridCol w:w="1417"/>
                <w:gridCol w:w="890"/>
                <w:gridCol w:w="1349"/>
                <w:gridCol w:w="144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tcBorders>
                      <w:top w:val="single" w:color="auto" w:sz="12" w:space="0"/>
                    </w:tcBorders>
                    <w:vAlign w:val="center"/>
                  </w:tcPr>
                  <w:p>
                    <w:pPr>
                      <w:snapToGrid w:val="0"/>
                      <w:spacing w:line="240" w:lineRule="atLeast"/>
                      <w:jc w:val="center"/>
                      <w:rPr>
                        <w:rFonts w:ascii="Arial Narrow" w:hAnsi="Arial Narrow" w:cs="Arial Narrow"/>
                        <w:szCs w:val="21"/>
                      </w:rPr>
                    </w:pPr>
                    <w:r>
                      <w:rPr>
                        <w:rFonts w:hint="eastAsia" w:ascii="Arial Narrow" w:hAnsi="Arial Narrow"/>
                        <w:szCs w:val="21"/>
                      </w:rPr>
                      <w:t>单位名称</w:t>
                    </w:r>
                  </w:p>
                </w:tc>
                <w:tc>
                  <w:tcPr>
                    <w:tcW w:w="709" w:type="dxa"/>
                    <w:tcBorders>
                      <w:top w:val="single" w:color="auto" w:sz="12" w:space="0"/>
                    </w:tcBorders>
                    <w:vAlign w:val="center"/>
                  </w:tcPr>
                  <w:p>
                    <w:pPr>
                      <w:snapToGrid w:val="0"/>
                      <w:spacing w:line="240" w:lineRule="atLeast"/>
                      <w:jc w:val="center"/>
                      <w:rPr>
                        <w:rFonts w:ascii="Arial Narrow" w:hAnsi="Arial Narrow" w:cs="Arial Narrow"/>
                        <w:szCs w:val="21"/>
                      </w:rPr>
                    </w:pPr>
                    <w:r>
                      <w:rPr>
                        <w:rFonts w:hint="eastAsia" w:ascii="Arial Narrow" w:hAnsi="Arial Narrow"/>
                        <w:szCs w:val="21"/>
                      </w:rPr>
                      <w:t>款项的性质</w:t>
                    </w:r>
                  </w:p>
                </w:tc>
                <w:tc>
                  <w:tcPr>
                    <w:tcW w:w="1417" w:type="dxa"/>
                    <w:tcBorders>
                      <w:top w:val="single" w:color="auto" w:sz="12" w:space="0"/>
                    </w:tcBorders>
                    <w:vAlign w:val="center"/>
                  </w:tcPr>
                  <w:p>
                    <w:pPr>
                      <w:snapToGrid w:val="0"/>
                      <w:spacing w:line="240" w:lineRule="atLeast"/>
                      <w:jc w:val="center"/>
                      <w:rPr>
                        <w:rFonts w:ascii="Arial Narrow" w:hAnsi="Arial Narrow" w:cs="Arial Narrow"/>
                        <w:szCs w:val="21"/>
                      </w:rPr>
                    </w:pPr>
                    <w:r>
                      <w:rPr>
                        <w:rFonts w:hint="eastAsia" w:ascii="Arial Narrow" w:hAnsi="Arial Narrow"/>
                        <w:szCs w:val="21"/>
                      </w:rPr>
                      <w:t>期末余额</w:t>
                    </w:r>
                  </w:p>
                </w:tc>
                <w:tc>
                  <w:tcPr>
                    <w:tcW w:w="890" w:type="dxa"/>
                    <w:tcBorders>
                      <w:top w:val="single" w:color="auto" w:sz="12" w:space="0"/>
                    </w:tcBorders>
                    <w:vAlign w:val="center"/>
                  </w:tcPr>
                  <w:p>
                    <w:pPr>
                      <w:snapToGrid w:val="0"/>
                      <w:spacing w:line="240" w:lineRule="atLeast"/>
                      <w:jc w:val="center"/>
                      <w:rPr>
                        <w:rFonts w:ascii="Arial Narrow" w:hAnsi="Arial Narrow" w:cs="Arial Narrow"/>
                        <w:szCs w:val="21"/>
                      </w:rPr>
                    </w:pPr>
                    <w:r>
                      <w:rPr>
                        <w:rFonts w:hint="eastAsia" w:ascii="Arial Narrow" w:hAnsi="Arial Narrow"/>
                        <w:szCs w:val="21"/>
                      </w:rPr>
                      <w:t>账龄</w:t>
                    </w:r>
                  </w:p>
                </w:tc>
                <w:tc>
                  <w:tcPr>
                    <w:tcW w:w="1349" w:type="dxa"/>
                    <w:tcBorders>
                      <w:top w:val="single" w:color="auto" w:sz="12" w:space="0"/>
                    </w:tcBorders>
                    <w:vAlign w:val="center"/>
                  </w:tcPr>
                  <w:p>
                    <w:pPr>
                      <w:snapToGrid w:val="0"/>
                      <w:spacing w:line="240" w:lineRule="atLeast"/>
                      <w:jc w:val="center"/>
                      <w:rPr>
                        <w:rFonts w:ascii="Arial Narrow" w:hAnsi="Arial Narrow" w:cs="Arial Narrow"/>
                        <w:szCs w:val="21"/>
                      </w:rPr>
                    </w:pPr>
                    <w:r>
                      <w:rPr>
                        <w:rFonts w:hint="eastAsia" w:ascii="Arial Narrow" w:hAnsi="Arial Narrow"/>
                        <w:szCs w:val="21"/>
                      </w:rPr>
                      <w:t>占应收账款期末余额合计数的比例</w:t>
                    </w:r>
                    <w:r>
                      <w:rPr>
                        <w:rFonts w:ascii="Arial Narrow" w:hAnsi="Arial Narrow" w:cs="Arial Narrow"/>
                        <w:szCs w:val="21"/>
                      </w:rPr>
                      <w:t>(%)</w:t>
                    </w:r>
                  </w:p>
                </w:tc>
                <w:tc>
                  <w:tcPr>
                    <w:tcW w:w="1447" w:type="dxa"/>
                    <w:tcBorders>
                      <w:top w:val="single" w:color="auto" w:sz="12" w:space="0"/>
                    </w:tcBorders>
                    <w:vAlign w:val="center"/>
                  </w:tcPr>
                  <w:p>
                    <w:pPr>
                      <w:snapToGrid w:val="0"/>
                      <w:spacing w:line="240" w:lineRule="atLeast"/>
                      <w:jc w:val="center"/>
                      <w:rPr>
                        <w:rFonts w:ascii="Arial Narrow" w:hAnsi="Arial Narrow" w:cs="Arial Narrow"/>
                        <w:szCs w:val="21"/>
                      </w:rPr>
                    </w:pPr>
                    <w:r>
                      <w:rPr>
                        <w:rFonts w:hint="eastAsia" w:ascii="Arial Narrow" w:hAnsi="Arial Narrow"/>
                        <w:szCs w:val="21"/>
                      </w:rPr>
                      <w:t>坏账准备期末余额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vAlign w:val="center"/>
                  </w:tcPr>
                  <w:p>
                    <w:pPr>
                      <w:rPr>
                        <w:rFonts w:ascii="Arial Narrow" w:hAnsi="Arial Narrow"/>
                        <w:szCs w:val="21"/>
                      </w:rPr>
                    </w:pPr>
                    <w:r>
                      <w:rPr>
                        <w:rFonts w:hint="eastAsia" w:ascii="Arial Narrow" w:hAnsi="Arial Narrow"/>
                        <w:szCs w:val="21"/>
                      </w:rPr>
                      <w:t>单位一</w:t>
                    </w:r>
                  </w:p>
                </w:tc>
                <w:tc>
                  <w:tcPr>
                    <w:tcW w:w="709" w:type="dxa"/>
                    <w:vAlign w:val="center"/>
                  </w:tcPr>
                  <w:p>
                    <w:pPr>
                      <w:jc w:val="center"/>
                      <w:rPr>
                        <w:rFonts w:ascii="Arial Narrow" w:hAnsi="Arial Narrow"/>
                        <w:szCs w:val="21"/>
                      </w:rPr>
                    </w:pPr>
                    <w:r>
                      <w:rPr>
                        <w:rFonts w:ascii="Arial Narrow" w:hAnsi="Arial Narrow"/>
                        <w:szCs w:val="21"/>
                      </w:rPr>
                      <w:t>货款</w:t>
                    </w:r>
                  </w:p>
                </w:tc>
                <w:tc>
                  <w:tcPr>
                    <w:tcW w:w="1417" w:type="dxa"/>
                    <w:vAlign w:val="center"/>
                  </w:tcPr>
                  <w:p>
                    <w:pPr>
                      <w:jc w:val="right"/>
                      <w:rPr>
                        <w:rFonts w:ascii="Arial Narrow" w:hAnsi="Arial Narrow"/>
                        <w:szCs w:val="21"/>
                      </w:rPr>
                    </w:pPr>
                    <w:r>
                      <w:rPr>
                        <w:rFonts w:ascii="Arial Narrow" w:hAnsi="Arial Narrow"/>
                        <w:szCs w:val="21"/>
                      </w:rPr>
                      <w:t>82</w:t>
                    </w:r>
                    <w:r>
                      <w:rPr>
                        <w:rFonts w:hint="eastAsia" w:ascii="Arial Narrow" w:hAnsi="Arial Narrow"/>
                        <w:szCs w:val="21"/>
                      </w:rPr>
                      <w:t>,</w:t>
                    </w:r>
                    <w:r>
                      <w:rPr>
                        <w:rFonts w:ascii="Arial Narrow" w:hAnsi="Arial Narrow"/>
                        <w:szCs w:val="21"/>
                      </w:rPr>
                      <w:t>863</w:t>
                    </w:r>
                    <w:r>
                      <w:rPr>
                        <w:rFonts w:hint="eastAsia" w:ascii="Arial Narrow" w:hAnsi="Arial Narrow"/>
                        <w:szCs w:val="21"/>
                      </w:rPr>
                      <w:t>,</w:t>
                    </w:r>
                    <w:r>
                      <w:rPr>
                        <w:rFonts w:ascii="Arial Narrow" w:hAnsi="Arial Narrow"/>
                        <w:szCs w:val="21"/>
                      </w:rPr>
                      <w:t>251.04</w:t>
                    </w:r>
                  </w:p>
                </w:tc>
                <w:tc>
                  <w:tcPr>
                    <w:tcW w:w="890" w:type="dxa"/>
                    <w:vAlign w:val="center"/>
                  </w:tcPr>
                  <w:p>
                    <w:pPr>
                      <w:jc w:val="center"/>
                      <w:rPr>
                        <w:rFonts w:ascii="Arial Narrow" w:hAnsi="Arial Narrow"/>
                        <w:szCs w:val="21"/>
                      </w:rPr>
                    </w:pPr>
                    <w:r>
                      <w:rPr>
                        <w:rFonts w:ascii="Arial Narrow" w:hAnsi="Arial Narrow"/>
                        <w:szCs w:val="21"/>
                      </w:rPr>
                      <w:t>1年以内</w:t>
                    </w:r>
                  </w:p>
                </w:tc>
                <w:tc>
                  <w:tcPr>
                    <w:tcW w:w="1349" w:type="dxa"/>
                    <w:vAlign w:val="center"/>
                  </w:tcPr>
                  <w:p>
                    <w:pPr>
                      <w:jc w:val="right"/>
                      <w:rPr>
                        <w:rFonts w:ascii="Arial Narrow" w:hAnsi="Arial Narrow"/>
                        <w:szCs w:val="21"/>
                      </w:rPr>
                    </w:pPr>
                    <w:r>
                      <w:rPr>
                        <w:rFonts w:hint="eastAsia" w:ascii="Arial Narrow" w:hAnsi="Arial Narrow"/>
                        <w:szCs w:val="21"/>
                      </w:rPr>
                      <w:t>30.28</w:t>
                    </w:r>
                  </w:p>
                </w:tc>
                <w:tc>
                  <w:tcPr>
                    <w:tcW w:w="1447" w:type="dxa"/>
                    <w:vAlign w:val="center"/>
                  </w:tcPr>
                  <w:p>
                    <w:pPr>
                      <w:jc w:val="right"/>
                      <w:rPr>
                        <w:rFonts w:ascii="Arial Narrow" w:hAnsi="Arial Narrow"/>
                        <w:szCs w:val="21"/>
                      </w:rPr>
                    </w:pPr>
                    <w:r>
                      <w:rPr>
                        <w:rFonts w:hint="eastAsia" w:ascii="Arial Narrow" w:hAnsi="Arial Narrow"/>
                        <w:szCs w:val="21"/>
                      </w:rPr>
                      <w:t>2,485,897.53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vAlign w:val="center"/>
                  </w:tcPr>
                  <w:p>
                    <w:pPr>
                      <w:rPr>
                        <w:rFonts w:ascii="Arial Narrow" w:hAnsi="Arial Narrow"/>
                        <w:szCs w:val="21"/>
                      </w:rPr>
                    </w:pPr>
                    <w:r>
                      <w:rPr>
                        <w:rFonts w:ascii="Arial Narrow" w:hAnsi="Arial Narrow"/>
                        <w:szCs w:val="21"/>
                      </w:rPr>
                      <w:t>柳州市新游化工有限责任公司</w:t>
                    </w:r>
                  </w:p>
                </w:tc>
                <w:tc>
                  <w:tcPr>
                    <w:tcW w:w="709" w:type="dxa"/>
                    <w:vAlign w:val="center"/>
                  </w:tcPr>
                  <w:p>
                    <w:pPr>
                      <w:jc w:val="center"/>
                      <w:rPr>
                        <w:rFonts w:ascii="Arial Narrow" w:hAnsi="Arial Narrow"/>
                        <w:szCs w:val="21"/>
                      </w:rPr>
                    </w:pPr>
                    <w:r>
                      <w:rPr>
                        <w:rFonts w:ascii="Arial Narrow" w:hAnsi="Arial Narrow"/>
                        <w:szCs w:val="21"/>
                      </w:rPr>
                      <w:t>货款</w:t>
                    </w:r>
                  </w:p>
                </w:tc>
                <w:tc>
                  <w:tcPr>
                    <w:tcW w:w="1417" w:type="dxa"/>
                    <w:vAlign w:val="center"/>
                  </w:tcPr>
                  <w:p>
                    <w:pPr>
                      <w:jc w:val="right"/>
                      <w:rPr>
                        <w:rFonts w:ascii="Arial Narrow" w:hAnsi="Arial Narrow"/>
                        <w:szCs w:val="21"/>
                      </w:rPr>
                    </w:pPr>
                    <w:r>
                      <w:rPr>
                        <w:rFonts w:ascii="Arial Narrow" w:hAnsi="Arial Narrow"/>
                        <w:szCs w:val="21"/>
                      </w:rPr>
                      <w:t>41,714,361.06</w:t>
                    </w:r>
                  </w:p>
                </w:tc>
                <w:tc>
                  <w:tcPr>
                    <w:tcW w:w="890" w:type="dxa"/>
                    <w:vAlign w:val="center"/>
                  </w:tcPr>
                  <w:p>
                    <w:pPr>
                      <w:jc w:val="center"/>
                      <w:rPr>
                        <w:rFonts w:ascii="Arial Narrow" w:hAnsi="Arial Narrow"/>
                        <w:szCs w:val="21"/>
                      </w:rPr>
                    </w:pPr>
                    <w:r>
                      <w:rPr>
                        <w:rFonts w:ascii="Arial Narrow" w:hAnsi="Arial Narrow"/>
                        <w:szCs w:val="21"/>
                      </w:rPr>
                      <w:t>1年以内</w:t>
                    </w:r>
                  </w:p>
                </w:tc>
                <w:tc>
                  <w:tcPr>
                    <w:tcW w:w="1349" w:type="dxa"/>
                  </w:tcPr>
                  <w:p>
                    <w:pPr>
                      <w:jc w:val="right"/>
                      <w:rPr>
                        <w:rFonts w:ascii="Arial Narrow" w:hAnsi="Arial Narrow"/>
                        <w:szCs w:val="21"/>
                      </w:rPr>
                    </w:pPr>
                    <w:r>
                      <w:rPr>
                        <w:rFonts w:ascii="Arial Narrow" w:hAnsi="Arial Narrow"/>
                        <w:szCs w:val="21"/>
                      </w:rPr>
                      <w:t>15.24</w:t>
                    </w:r>
                  </w:p>
                </w:tc>
                <w:tc>
                  <w:tcPr>
                    <w:tcW w:w="1447" w:type="dxa"/>
                  </w:tcPr>
                  <w:p>
                    <w:pPr>
                      <w:jc w:val="right"/>
                      <w:rPr>
                        <w:rFonts w:ascii="Arial Narrow" w:hAnsi="Arial Narrow"/>
                        <w:szCs w:val="21"/>
                      </w:rPr>
                    </w:pPr>
                    <w:r>
                      <w:rPr>
                        <w:rFonts w:ascii="Arial Narrow" w:hAnsi="Arial Narrow"/>
                        <w:szCs w:val="21"/>
                      </w:rPr>
                      <w:t>1,251,430.83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vAlign w:val="center"/>
                  </w:tcPr>
                  <w:p>
                    <w:pPr>
                      <w:rPr>
                        <w:rFonts w:ascii="Arial Narrow" w:hAnsi="Arial Narrow"/>
                        <w:szCs w:val="21"/>
                      </w:rPr>
                    </w:pPr>
                    <w:r>
                      <w:rPr>
                        <w:rFonts w:ascii="Arial Narrow" w:hAnsi="Arial Narrow"/>
                        <w:szCs w:val="21"/>
                      </w:rPr>
                      <w:t>柳州市强实科技有限公司</w:t>
                    </w:r>
                  </w:p>
                </w:tc>
                <w:tc>
                  <w:tcPr>
                    <w:tcW w:w="709" w:type="dxa"/>
                    <w:vAlign w:val="center"/>
                  </w:tcPr>
                  <w:p>
                    <w:pPr>
                      <w:jc w:val="center"/>
                      <w:rPr>
                        <w:rFonts w:ascii="Arial Narrow" w:hAnsi="Arial Narrow"/>
                        <w:szCs w:val="21"/>
                      </w:rPr>
                    </w:pPr>
                    <w:r>
                      <w:rPr>
                        <w:rFonts w:ascii="Arial Narrow" w:hAnsi="Arial Narrow"/>
                        <w:szCs w:val="21"/>
                      </w:rPr>
                      <w:t>货款</w:t>
                    </w:r>
                  </w:p>
                </w:tc>
                <w:tc>
                  <w:tcPr>
                    <w:tcW w:w="1417" w:type="dxa"/>
                  </w:tcPr>
                  <w:p>
                    <w:pPr>
                      <w:jc w:val="right"/>
                      <w:rPr>
                        <w:rFonts w:ascii="Arial Narrow" w:hAnsi="Arial Narrow"/>
                        <w:szCs w:val="21"/>
                      </w:rPr>
                    </w:pPr>
                    <w:r>
                      <w:rPr>
                        <w:rFonts w:ascii="Arial Narrow" w:hAnsi="Arial Narrow"/>
                        <w:szCs w:val="21"/>
                      </w:rPr>
                      <w:t>32,996,998.18</w:t>
                    </w:r>
                  </w:p>
                </w:tc>
                <w:tc>
                  <w:tcPr>
                    <w:tcW w:w="890" w:type="dxa"/>
                  </w:tcPr>
                  <w:p>
                    <w:pPr>
                      <w:jc w:val="right"/>
                      <w:rPr>
                        <w:rFonts w:ascii="Arial Narrow" w:hAnsi="Arial Narrow"/>
                        <w:szCs w:val="21"/>
                      </w:rPr>
                    </w:pPr>
                    <w:r>
                      <w:rPr>
                        <w:rFonts w:ascii="Arial Narrow" w:hAnsi="Arial Narrow"/>
                        <w:szCs w:val="21"/>
                      </w:rPr>
                      <w:t>1年以内</w:t>
                    </w:r>
                  </w:p>
                </w:tc>
                <w:tc>
                  <w:tcPr>
                    <w:tcW w:w="1349" w:type="dxa"/>
                  </w:tcPr>
                  <w:p>
                    <w:pPr>
                      <w:jc w:val="right"/>
                      <w:rPr>
                        <w:rFonts w:ascii="Arial Narrow" w:hAnsi="Arial Narrow"/>
                        <w:szCs w:val="21"/>
                      </w:rPr>
                    </w:pPr>
                    <w:r>
                      <w:rPr>
                        <w:rFonts w:ascii="Arial Narrow" w:hAnsi="Arial Narrow"/>
                        <w:szCs w:val="21"/>
                      </w:rPr>
                      <w:t>12.06</w:t>
                    </w:r>
                  </w:p>
                </w:tc>
                <w:tc>
                  <w:tcPr>
                    <w:tcW w:w="1447" w:type="dxa"/>
                  </w:tcPr>
                  <w:p>
                    <w:pPr>
                      <w:jc w:val="right"/>
                      <w:rPr>
                        <w:rFonts w:ascii="Arial Narrow" w:hAnsi="Arial Narrow"/>
                        <w:szCs w:val="21"/>
                      </w:rPr>
                    </w:pPr>
                    <w:r>
                      <w:rPr>
                        <w:rFonts w:ascii="Arial Narrow" w:hAnsi="Arial Narrow"/>
                        <w:szCs w:val="21"/>
                      </w:rPr>
                      <w:t>989,909.95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vAlign w:val="bottom"/>
                  </w:tcPr>
                  <w:p>
                    <w:pPr>
                      <w:rPr>
                        <w:rFonts w:ascii="Arial Narrow" w:hAnsi="Arial Narrow"/>
                        <w:szCs w:val="21"/>
                      </w:rPr>
                    </w:pPr>
                    <w:r>
                      <w:rPr>
                        <w:rFonts w:hint="eastAsia" w:ascii="Arial Narrow" w:hAnsi="Arial Narrow"/>
                        <w:szCs w:val="21"/>
                      </w:rPr>
                      <w:t>单位二</w:t>
                    </w:r>
                  </w:p>
                </w:tc>
                <w:tc>
                  <w:tcPr>
                    <w:tcW w:w="709" w:type="dxa"/>
                    <w:vAlign w:val="bottom"/>
                  </w:tcPr>
                  <w:p>
                    <w:pPr>
                      <w:jc w:val="center"/>
                      <w:rPr>
                        <w:rFonts w:ascii="Arial Narrow" w:hAnsi="Arial Narrow"/>
                        <w:szCs w:val="21"/>
                      </w:rPr>
                    </w:pPr>
                    <w:r>
                      <w:rPr>
                        <w:rFonts w:ascii="Arial Narrow" w:hAnsi="Arial Narrow"/>
                        <w:szCs w:val="21"/>
                      </w:rPr>
                      <w:t>货款</w:t>
                    </w:r>
                  </w:p>
                </w:tc>
                <w:tc>
                  <w:tcPr>
                    <w:tcW w:w="1417" w:type="dxa"/>
                    <w:vAlign w:val="center"/>
                  </w:tcPr>
                  <w:p>
                    <w:pPr>
                      <w:jc w:val="right"/>
                      <w:rPr>
                        <w:rFonts w:ascii="Arial Narrow" w:hAnsi="Arial Narrow"/>
                        <w:szCs w:val="21"/>
                      </w:rPr>
                    </w:pPr>
                    <w:r>
                      <w:rPr>
                        <w:rFonts w:ascii="Arial Narrow" w:hAnsi="Arial Narrow"/>
                        <w:szCs w:val="21"/>
                      </w:rPr>
                      <w:t>17,000,000.00</w:t>
                    </w:r>
                  </w:p>
                </w:tc>
                <w:tc>
                  <w:tcPr>
                    <w:tcW w:w="890" w:type="dxa"/>
                    <w:vAlign w:val="center"/>
                  </w:tcPr>
                  <w:p>
                    <w:pPr>
                      <w:jc w:val="center"/>
                      <w:rPr>
                        <w:rFonts w:ascii="Arial Narrow" w:hAnsi="Arial Narrow"/>
                        <w:szCs w:val="21"/>
                      </w:rPr>
                    </w:pPr>
                    <w:r>
                      <w:rPr>
                        <w:rFonts w:hint="eastAsia" w:ascii="Arial Narrow" w:hAnsi="Arial Narrow"/>
                        <w:szCs w:val="21"/>
                      </w:rPr>
                      <w:t>3</w:t>
                    </w:r>
                    <w:r>
                      <w:rPr>
                        <w:rFonts w:ascii="Arial Narrow" w:hAnsi="Arial Narrow"/>
                        <w:szCs w:val="21"/>
                      </w:rPr>
                      <w:t>-</w:t>
                    </w:r>
                    <w:r>
                      <w:rPr>
                        <w:rFonts w:hint="eastAsia" w:ascii="Arial Narrow" w:hAnsi="Arial Narrow"/>
                        <w:szCs w:val="21"/>
                      </w:rPr>
                      <w:t>4</w:t>
                    </w:r>
                    <w:r>
                      <w:rPr>
                        <w:rFonts w:ascii="Arial Narrow" w:hAnsi="Arial Narrow"/>
                        <w:szCs w:val="21"/>
                      </w:rPr>
                      <w:t>年</w:t>
                    </w:r>
                  </w:p>
                </w:tc>
                <w:tc>
                  <w:tcPr>
                    <w:tcW w:w="1349" w:type="dxa"/>
                    <w:vAlign w:val="center"/>
                  </w:tcPr>
                  <w:p>
                    <w:pPr>
                      <w:jc w:val="right"/>
                      <w:rPr>
                        <w:rFonts w:ascii="Arial Narrow" w:hAnsi="Arial Narrow"/>
                        <w:szCs w:val="21"/>
                      </w:rPr>
                    </w:pPr>
                    <w:r>
                      <w:rPr>
                        <w:rFonts w:hint="eastAsia" w:ascii="Arial Narrow" w:hAnsi="Arial Narrow"/>
                        <w:szCs w:val="21"/>
                      </w:rPr>
                      <w:t>6.21</w:t>
                    </w:r>
                  </w:p>
                </w:tc>
                <w:tc>
                  <w:tcPr>
                    <w:tcW w:w="1447" w:type="dxa"/>
                    <w:vAlign w:val="center"/>
                  </w:tcPr>
                  <w:p>
                    <w:pPr>
                      <w:jc w:val="right"/>
                      <w:rPr>
                        <w:rFonts w:ascii="Arial Narrow" w:hAnsi="Arial Narrow"/>
                        <w:szCs w:val="21"/>
                      </w:rPr>
                    </w:pPr>
                    <w:r>
                      <w:rPr>
                        <w:rFonts w:ascii="Arial Narrow" w:hAnsi="Arial Narrow"/>
                        <w:szCs w:val="21"/>
                      </w:rPr>
                      <w:t>17,000,000.00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vAlign w:val="center"/>
                  </w:tcPr>
                  <w:p>
                    <w:pPr>
                      <w:rPr>
                        <w:rFonts w:ascii="Arial Narrow" w:hAnsi="Arial Narrow"/>
                        <w:szCs w:val="21"/>
                      </w:rPr>
                    </w:pPr>
                    <w:r>
                      <w:rPr>
                        <w:rFonts w:hint="eastAsia" w:ascii="Arial Narrow" w:hAnsi="Arial Narrow"/>
                        <w:szCs w:val="21"/>
                      </w:rPr>
                      <w:t>单位三</w:t>
                    </w:r>
                  </w:p>
                </w:tc>
                <w:tc>
                  <w:tcPr>
                    <w:tcW w:w="709" w:type="dxa"/>
                    <w:vAlign w:val="center"/>
                  </w:tcPr>
                  <w:p>
                    <w:pPr>
                      <w:jc w:val="center"/>
                      <w:rPr>
                        <w:rFonts w:ascii="Arial Narrow" w:hAnsi="Arial Narrow"/>
                        <w:szCs w:val="21"/>
                      </w:rPr>
                    </w:pPr>
                    <w:r>
                      <w:rPr>
                        <w:rFonts w:ascii="Arial Narrow" w:hAnsi="Arial Narrow"/>
                        <w:szCs w:val="21"/>
                      </w:rPr>
                      <w:t>货款</w:t>
                    </w:r>
                  </w:p>
                </w:tc>
                <w:tc>
                  <w:tcPr>
                    <w:tcW w:w="1417" w:type="dxa"/>
                    <w:vAlign w:val="center"/>
                  </w:tcPr>
                  <w:p>
                    <w:pPr>
                      <w:jc w:val="right"/>
                      <w:rPr>
                        <w:rFonts w:ascii="Arial Narrow" w:hAnsi="Arial Narrow"/>
                        <w:szCs w:val="21"/>
                      </w:rPr>
                    </w:pPr>
                    <w:r>
                      <w:rPr>
                        <w:rFonts w:ascii="Arial Narrow" w:hAnsi="Arial Narrow"/>
                        <w:szCs w:val="21"/>
                      </w:rPr>
                      <w:t>13</w:t>
                    </w:r>
                    <w:r>
                      <w:rPr>
                        <w:rFonts w:hint="eastAsia" w:ascii="Arial Narrow" w:hAnsi="Arial Narrow"/>
                        <w:szCs w:val="21"/>
                      </w:rPr>
                      <w:t>,</w:t>
                    </w:r>
                    <w:r>
                      <w:rPr>
                        <w:rFonts w:ascii="Arial Narrow" w:hAnsi="Arial Narrow"/>
                        <w:szCs w:val="21"/>
                      </w:rPr>
                      <w:t>946</w:t>
                    </w:r>
                    <w:r>
                      <w:rPr>
                        <w:rFonts w:hint="eastAsia" w:ascii="Arial Narrow" w:hAnsi="Arial Narrow"/>
                        <w:szCs w:val="21"/>
                      </w:rPr>
                      <w:t>,</w:t>
                    </w:r>
                    <w:r>
                      <w:rPr>
                        <w:rFonts w:ascii="Arial Narrow" w:hAnsi="Arial Narrow"/>
                        <w:szCs w:val="21"/>
                      </w:rPr>
                      <w:t>140.39</w:t>
                    </w:r>
                  </w:p>
                </w:tc>
                <w:tc>
                  <w:tcPr>
                    <w:tcW w:w="890" w:type="dxa"/>
                    <w:vAlign w:val="center"/>
                  </w:tcPr>
                  <w:p>
                    <w:pPr>
                      <w:jc w:val="center"/>
                      <w:rPr>
                        <w:rFonts w:ascii="Arial Narrow" w:hAnsi="Arial Narrow"/>
                        <w:szCs w:val="21"/>
                      </w:rPr>
                    </w:pPr>
                    <w:r>
                      <w:rPr>
                        <w:rFonts w:hint="eastAsia" w:ascii="Arial Narrow" w:hAnsi="Arial Narrow"/>
                        <w:szCs w:val="21"/>
                      </w:rPr>
                      <w:t>3</w:t>
                    </w:r>
                    <w:r>
                      <w:rPr>
                        <w:rFonts w:ascii="Arial Narrow" w:hAnsi="Arial Narrow"/>
                        <w:szCs w:val="21"/>
                      </w:rPr>
                      <w:t>-</w:t>
                    </w:r>
                    <w:r>
                      <w:rPr>
                        <w:rFonts w:hint="eastAsia" w:ascii="Arial Narrow" w:hAnsi="Arial Narrow"/>
                        <w:szCs w:val="21"/>
                      </w:rPr>
                      <w:t>4</w:t>
                    </w:r>
                    <w:r>
                      <w:rPr>
                        <w:rFonts w:ascii="Arial Narrow" w:hAnsi="Arial Narrow"/>
                        <w:szCs w:val="21"/>
                      </w:rPr>
                      <w:t>年</w:t>
                    </w:r>
                  </w:p>
                </w:tc>
                <w:tc>
                  <w:tcPr>
                    <w:tcW w:w="1349" w:type="dxa"/>
                    <w:vAlign w:val="center"/>
                  </w:tcPr>
                  <w:p>
                    <w:pPr>
                      <w:jc w:val="right"/>
                      <w:rPr>
                        <w:rFonts w:ascii="Arial Narrow" w:hAnsi="Arial Narrow"/>
                        <w:szCs w:val="21"/>
                      </w:rPr>
                    </w:pPr>
                    <w:r>
                      <w:rPr>
                        <w:rFonts w:hint="eastAsia" w:ascii="Arial Narrow" w:hAnsi="Arial Narrow"/>
                        <w:szCs w:val="21"/>
                      </w:rPr>
                      <w:t>5.10</w:t>
                    </w:r>
                  </w:p>
                </w:tc>
                <w:tc>
                  <w:tcPr>
                    <w:tcW w:w="1447" w:type="dxa"/>
                    <w:vAlign w:val="center"/>
                  </w:tcPr>
                  <w:p>
                    <w:pPr>
                      <w:jc w:val="right"/>
                      <w:rPr>
                        <w:rFonts w:ascii="Arial Narrow" w:hAnsi="Arial Narrow"/>
                        <w:szCs w:val="21"/>
                      </w:rPr>
                    </w:pPr>
                    <w:r>
                      <w:rPr>
                        <w:rFonts w:hint="eastAsia" w:ascii="Arial Narrow" w:hAnsi="Arial Narrow"/>
                        <w:szCs w:val="21"/>
                      </w:rPr>
                      <w:t>6,973,070.20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031" w:type="dxa"/>
                    <w:tcBorders>
                      <w:bottom w:val="single" w:color="auto" w:sz="12" w:space="0"/>
                    </w:tcBorders>
                    <w:vAlign w:val="center"/>
                  </w:tcPr>
                  <w:p>
                    <w:pPr>
                      <w:jc w:val="center"/>
                      <w:rPr>
                        <w:rFonts w:ascii="Arial Narrow" w:hAnsi="Arial Narrow"/>
                        <w:szCs w:val="21"/>
                      </w:rPr>
                    </w:pPr>
                    <w:r>
                      <w:rPr>
                        <w:rFonts w:ascii="Arial Narrow" w:hAnsi="Arial Narrow"/>
                        <w:szCs w:val="21"/>
                      </w:rPr>
                      <w:t>合计</w:t>
                    </w:r>
                  </w:p>
                </w:tc>
                <w:tc>
                  <w:tcPr>
                    <w:tcW w:w="709" w:type="dxa"/>
                    <w:tcBorders>
                      <w:bottom w:val="single" w:color="auto" w:sz="12" w:space="0"/>
                    </w:tcBorders>
                    <w:vAlign w:val="center"/>
                  </w:tcPr>
                  <w:p>
                    <w:pPr>
                      <w:jc w:val="center"/>
                      <w:rPr>
                        <w:rFonts w:ascii="Arial Narrow" w:hAnsi="Arial Narrow"/>
                        <w:szCs w:val="21"/>
                      </w:rPr>
                    </w:pPr>
                    <w:r>
                      <w:rPr>
                        <w:rFonts w:ascii="Arial Narrow" w:hAnsi="Arial Narrow"/>
                        <w:szCs w:val="21"/>
                      </w:rPr>
                      <w:t>/</w:t>
                    </w:r>
                  </w:p>
                </w:tc>
                <w:tc>
                  <w:tcPr>
                    <w:tcW w:w="1417" w:type="dxa"/>
                    <w:tcBorders>
                      <w:bottom w:val="single" w:color="auto" w:sz="12" w:space="0"/>
                    </w:tcBorders>
                  </w:tcPr>
                  <w:p>
                    <w:pPr>
                      <w:jc w:val="right"/>
                      <w:rPr>
                        <w:rFonts w:ascii="Arial Narrow" w:hAnsi="Arial Narrow"/>
                        <w:szCs w:val="21"/>
                      </w:rPr>
                    </w:pPr>
                    <w:r>
                      <w:rPr>
                        <w:rFonts w:ascii="Arial Narrow" w:hAnsi="Arial Narrow"/>
                        <w:szCs w:val="21"/>
                      </w:rPr>
                      <w:t>188,520,750.67</w:t>
                    </w:r>
                  </w:p>
                </w:tc>
                <w:tc>
                  <w:tcPr>
                    <w:tcW w:w="890" w:type="dxa"/>
                    <w:tcBorders>
                      <w:bottom w:val="single" w:color="auto" w:sz="12" w:space="0"/>
                    </w:tcBorders>
                  </w:tcPr>
                  <w:p>
                    <w:pPr>
                      <w:jc w:val="right"/>
                      <w:rPr>
                        <w:rFonts w:ascii="Arial Narrow" w:hAnsi="Arial Narrow"/>
                        <w:szCs w:val="21"/>
                      </w:rPr>
                    </w:pPr>
                  </w:p>
                </w:tc>
                <w:tc>
                  <w:tcPr>
                    <w:tcW w:w="1349" w:type="dxa"/>
                    <w:tcBorders>
                      <w:bottom w:val="single" w:color="auto" w:sz="12" w:space="0"/>
                    </w:tcBorders>
                  </w:tcPr>
                  <w:p>
                    <w:pPr>
                      <w:jc w:val="right"/>
                      <w:rPr>
                        <w:rFonts w:ascii="Arial Narrow" w:hAnsi="Arial Narrow"/>
                        <w:szCs w:val="21"/>
                      </w:rPr>
                    </w:pPr>
                    <w:r>
                      <w:rPr>
                        <w:rFonts w:ascii="Arial Narrow" w:hAnsi="Arial Narrow"/>
                        <w:szCs w:val="21"/>
                      </w:rPr>
                      <w:t>68.88</w:t>
                    </w:r>
                  </w:p>
                </w:tc>
                <w:tc>
                  <w:tcPr>
                    <w:tcW w:w="1447" w:type="dxa"/>
                    <w:tcBorders>
                      <w:bottom w:val="single" w:color="auto" w:sz="12" w:space="0"/>
                    </w:tcBorders>
                  </w:tcPr>
                  <w:p>
                    <w:pPr>
                      <w:jc w:val="right"/>
                      <w:rPr>
                        <w:rFonts w:ascii="Arial Narrow" w:hAnsi="Arial Narrow"/>
                        <w:szCs w:val="21"/>
                      </w:rPr>
                    </w:pPr>
                    <w:r>
                      <w:rPr>
                        <w:rFonts w:ascii="Arial Narrow" w:hAnsi="Arial Narrow"/>
                        <w:szCs w:val="21"/>
                      </w:rPr>
                      <w:t>28,700,308.51</w:t>
                    </w:r>
                  </w:p>
                </w:tc>
              </w:tr>
            </w:tbl>
            <w:p>
              <w:pPr>
                <w:snapToGrid w:val="0"/>
                <w:spacing w:line="240" w:lineRule="atLeast"/>
                <w:rPr>
                  <w:szCs w:val="21"/>
                </w:rPr>
              </w:pPr>
            </w:p>
          </w:sdtContent>
        </w:sdt>
      </w:sdtContent>
    </w:sdt>
    <w:p>
      <w:pPr>
        <w:snapToGrid w:val="0"/>
        <w:spacing w:line="240" w:lineRule="atLeast"/>
        <w:rPr>
          <w:szCs w:val="21"/>
        </w:rPr>
      </w:pPr>
    </w:p>
    <w:sdt>
      <w:sdtPr>
        <w:rPr>
          <w:rFonts w:hint="eastAsia" w:ascii="Times New Roman" w:hAnsi="Times New Roman" w:cs="宋体"/>
          <w:b w:val="0"/>
          <w:bCs w:val="0"/>
          <w:kern w:val="0"/>
          <w:szCs w:val="24"/>
        </w:rPr>
        <w:alias w:val="模块:因金融资产转移而终止确认的应收账款"/>
        <w:tag w:val="_SEC_c714bd6e3e0e4f269266374f899ea672"/>
        <w:id w:val="6774415"/>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3"/>
              <w:numId w:val="68"/>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dfb8423e0ae348dfb33933d73bade44c"/>
            <w:id w:val="6774414"/>
            <w:lock w:val="sdtContentLocked"/>
            <w:placeholder>
              <w:docPart w:val="GBC22222222222222222222222222222"/>
            </w:placeholder>
          </w:sdtPr>
          <w:sdtEndPr>
            <w:rPr>
              <w:rFonts w:hint="eastAsia"/>
              <w:szCs w:val="21"/>
            </w:rPr>
          </w:sdtEndPr>
          <w:sdtContent>
            <w:p>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snapToGrid w:val="0"/>
            <w:spacing w:line="240" w:lineRule="atLeast"/>
            <w:rPr>
              <w:rFonts w:ascii="Times New Roman" w:hAnsi="Times New Roman"/>
            </w:rPr>
          </w:pPr>
        </w:p>
      </w:sdtContent>
    </w:sdt>
    <w:sdt>
      <w:sdtPr>
        <w:rPr>
          <w:rFonts w:hint="eastAsia" w:ascii="Times New Roman" w:hAnsi="Times New Roman" w:cs="宋体"/>
          <w:b w:val="0"/>
          <w:bCs w:val="0"/>
          <w:kern w:val="0"/>
          <w:szCs w:val="24"/>
        </w:rPr>
        <w:alias w:val="模块:转移应收账款且继续涉入的，分项列示继续涉入形成的资产、负债的金额"/>
        <w:tag w:val="_SEC_304899e10c75409c8a53fa6208e46b9c"/>
        <w:id w:val="6774417"/>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3"/>
              <w:numId w:val="68"/>
            </w:numPr>
            <w:tabs>
              <w:tab w:val="left" w:pos="574"/>
            </w:tabs>
            <w:rPr>
              <w:rFonts w:ascii="宋体" w:hAnsi="宋体"/>
            </w:rPr>
          </w:pPr>
          <w:r>
            <w:rPr>
              <w:rFonts w:hint="eastAsia" w:ascii="宋体" w:hAnsi="宋体"/>
              <w:kern w:val="0"/>
              <w:szCs w:val="21"/>
            </w:rPr>
            <w:t>转移应收账款且</w:t>
          </w:r>
          <w:r>
            <w:rPr>
              <w:rFonts w:hint="eastAsia" w:ascii="宋体" w:hAnsi="宋体"/>
            </w:rPr>
            <w:t>继续</w:t>
          </w:r>
          <w:r>
            <w:rPr>
              <w:rFonts w:hint="eastAsia" w:ascii="宋体" w:hAnsi="宋体"/>
              <w:kern w:val="0"/>
              <w:szCs w:val="21"/>
            </w:rPr>
            <w:t>涉入形成的资产、负债金额</w:t>
          </w:r>
          <w:r>
            <w:rPr>
              <w:rFonts w:hint="eastAsia" w:ascii="宋体" w:hAnsi="宋体"/>
              <w:szCs w:val="21"/>
            </w:rPr>
            <w:t>：</w:t>
          </w:r>
        </w:p>
        <w:sdt>
          <w:sdtPr>
            <w:rPr>
              <w:rFonts w:hint="eastAsia"/>
            </w:rPr>
            <w:alias w:val="是否适用：转移应收账款且继续涉入形成的资产、负债金额[双击切换]"/>
            <w:tag w:val="_GBC_b2ae4888f2a44724852098ef5926692e"/>
            <w:id w:val="6774416"/>
            <w:lock w:val="sdtContentLocked"/>
            <w:placeholder>
              <w:docPart w:val="GBC22222222222222222222222222222"/>
            </w:placeholder>
          </w:sdtPr>
          <w:sdtEndPr>
            <w:rPr>
              <w:rFonts w:hint="eastAsia"/>
            </w:rPr>
          </w:sdtEndPr>
          <w:sdtContent>
            <w:p>
              <w:pPr>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snapToGrid w:val="0"/>
        <w:spacing w:line="240" w:lineRule="atLeast"/>
        <w:ind w:left="-105" w:leftChars="-50"/>
        <w:rPr>
          <w:rFonts w:ascii="Times New Roman" w:hAnsi="Times New Roman"/>
        </w:rPr>
      </w:pPr>
    </w:p>
    <w:sdt>
      <w:sdtPr>
        <w:rPr>
          <w:rFonts w:hint="eastAsia" w:ascii="Times New Roman" w:hAnsi="Times New Roman"/>
          <w:b/>
          <w:bCs/>
        </w:rPr>
        <w:alias w:val="模块:应收账款其他说明"/>
        <w:tag w:val="_SEC_46308b28e0464ca38e1d9a9e55371ee9"/>
        <w:id w:val="6774419"/>
        <w:lock w:val="sdtLocked"/>
        <w:placeholder>
          <w:docPart w:val="GBC22222222222222222222222222222"/>
        </w:placeholder>
      </w:sdtPr>
      <w:sdtEndPr>
        <w:rPr>
          <w:rFonts w:hint="default" w:ascii="Times New Roman" w:hAnsi="Times New Roman"/>
          <w:b w:val="0"/>
          <w:bCs w:val="0"/>
        </w:rPr>
      </w:sdtEndPr>
      <w:sdtContent>
        <w:p>
          <w:pPr>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6774418"/>
            <w:lock w:val="sdtContentLocked"/>
            <w:placeholder>
              <w:docPart w:val="GBC22222222222222222222222222222"/>
            </w:placeholder>
          </w:sdtPr>
          <w:sdtEndPr>
            <w:rPr>
              <w:rFonts w:hint="eastAsia"/>
            </w:rPr>
          </w:sdtEndPr>
          <w:sdtContent>
            <w:p>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p>
      <w:pPr>
        <w:pStyle w:val="4"/>
        <w:numPr>
          <w:ilvl w:val="0"/>
          <w:numId w:val="66"/>
        </w:numPr>
      </w:pPr>
      <w:r>
        <w:rPr>
          <w:rFonts w:hint="eastAsia"/>
        </w:rPr>
        <w:t>预付款项</w:t>
      </w:r>
    </w:p>
    <w:sdt>
      <w:sdtPr>
        <w:rPr>
          <w:rFonts w:hint="eastAsia" w:cs="宋体" w:asciiTheme="minorHAnsi" w:hAnsiTheme="minorHAnsi"/>
          <w:b w:val="0"/>
          <w:bCs w:val="0"/>
          <w:kern w:val="0"/>
          <w:szCs w:val="22"/>
        </w:rPr>
        <w:alias w:val="模块:预付款项按账龄列示"/>
        <w:tag w:val="_SEC_c3a77c7d5fc54cf3891eeb30bc294643"/>
        <w:id w:val="6774436"/>
        <w:lock w:val="sdtLocked"/>
        <w:placeholder>
          <w:docPart w:val="GBC22222222222222222222222222222"/>
        </w:placeholder>
      </w:sdtPr>
      <w:sdtEndPr>
        <w:rPr>
          <w:rFonts w:hint="default" w:ascii="宋体" w:hAnsi="宋体" w:cs="宋体"/>
          <w:b w:val="0"/>
          <w:bCs w:val="0"/>
          <w:kern w:val="0"/>
          <w:szCs w:val="24"/>
        </w:rPr>
      </w:sdtEndPr>
      <w:sdtContent>
        <w:p>
          <w:pPr>
            <w:pStyle w:val="5"/>
            <w:numPr>
              <w:ilvl w:val="0"/>
              <w:numId w:val="69"/>
            </w:numPr>
            <w:tabs>
              <w:tab w:val="left" w:pos="616"/>
            </w:tabs>
          </w:pPr>
          <w:r>
            <w:rPr>
              <w:rFonts w:hint="eastAsia"/>
            </w:rPr>
            <w:t>预付款项按账龄列示</w:t>
          </w:r>
        </w:p>
        <w:sdt>
          <w:sdtPr>
            <w:rPr>
              <w:rFonts w:hint="eastAsia"/>
            </w:rPr>
            <w:alias w:val="是否适用：预付款项按账龄列示[双击切换]"/>
            <w:tag w:val="_GBC_9c50af2eedb44a33921bab4a9f5ef35c"/>
            <w:id w:val="6774420"/>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jc w:val="right"/>
            <w:rPr>
              <w:b/>
              <w:szCs w:val="21"/>
            </w:rPr>
          </w:pPr>
          <w:r>
            <w:rPr>
              <w:rFonts w:hint="eastAsia"/>
              <w:szCs w:val="21"/>
            </w:rPr>
            <w:t>单位：</w:t>
          </w:r>
          <w:sdt>
            <w:sdtPr>
              <w:rPr>
                <w:rFonts w:hint="eastAsia"/>
                <w:szCs w:val="21"/>
              </w:rPr>
              <w:alias w:val="单位：财务附注：预付账款账龄"/>
              <w:tag w:val="_GBC_25e874c523c14d528beabbdb96c27981"/>
              <w:id w:val="67744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67744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361"/>
            <w:gridCol w:w="1891"/>
            <w:gridCol w:w="1877"/>
            <w:gridCol w:w="1875"/>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237" w:hRule="atLeast"/>
            </w:trPr>
            <w:sdt>
              <w:sdtPr>
                <w:tag w:val="_PLD_497c76328aa14442bd9ed8d02efaffdc"/>
                <w:id w:val="6774423"/>
                <w:lock w:val="sdtLocked"/>
              </w:sdtPr>
              <w:sdtContent>
                <w:tc>
                  <w:tcPr>
                    <w:tcW w:w="1361" w:type="dxa"/>
                    <w:vMerge w:val="restart"/>
                    <w:vAlign w:val="center"/>
                  </w:tcPr>
                  <w:p>
                    <w:pPr>
                      <w:ind w:right="5"/>
                      <w:jc w:val="center"/>
                      <w:rPr>
                        <w:szCs w:val="21"/>
                      </w:rPr>
                    </w:pPr>
                    <w:r>
                      <w:rPr>
                        <w:rFonts w:hint="eastAsia"/>
                        <w:szCs w:val="21"/>
                      </w:rPr>
                      <w:t>账龄</w:t>
                    </w:r>
                  </w:p>
                </w:tc>
              </w:sdtContent>
            </w:sdt>
            <w:sdt>
              <w:sdtPr>
                <w:tag w:val="_PLD_3c7cef9fd55549768916decb59114918"/>
                <w:id w:val="6774424"/>
                <w:lock w:val="sdtLocked"/>
              </w:sdtPr>
              <w:sdtContent>
                <w:tc>
                  <w:tcPr>
                    <w:tcW w:w="3768" w:type="dxa"/>
                    <w:gridSpan w:val="2"/>
                    <w:vAlign w:val="center"/>
                  </w:tcPr>
                  <w:p>
                    <w:pPr>
                      <w:ind w:right="5"/>
                      <w:jc w:val="center"/>
                      <w:rPr>
                        <w:szCs w:val="21"/>
                      </w:rPr>
                    </w:pPr>
                    <w:r>
                      <w:rPr>
                        <w:rFonts w:hint="eastAsia"/>
                        <w:szCs w:val="21"/>
                      </w:rPr>
                      <w:t>期末余额</w:t>
                    </w:r>
                  </w:p>
                </w:tc>
              </w:sdtContent>
            </w:sdt>
            <w:sdt>
              <w:sdtPr>
                <w:tag w:val="_PLD_3338d9aea932468fa8faa1bef2db4526"/>
                <w:id w:val="6774425"/>
                <w:lock w:val="sdtLocked"/>
              </w:sdtPr>
              <w:sdtContent>
                <w:tc>
                  <w:tcPr>
                    <w:tcW w:w="3766" w:type="dxa"/>
                    <w:gridSpan w:val="2"/>
                    <w:vAlign w:val="center"/>
                  </w:tcPr>
                  <w:p>
                    <w:pPr>
                      <w:ind w:right="5"/>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361" w:type="dxa"/>
                <w:vMerge w:val="continue"/>
              </w:tcPr>
              <w:p>
                <w:pPr>
                  <w:rPr>
                    <w:szCs w:val="21"/>
                  </w:rPr>
                </w:pPr>
              </w:p>
            </w:tc>
            <w:sdt>
              <w:sdtPr>
                <w:tag w:val="_PLD_2b1b05d61c574fe485d979f04a81c8c9"/>
                <w:id w:val="6774426"/>
                <w:lock w:val="sdtLocked"/>
              </w:sdtPr>
              <w:sdtContent>
                <w:tc>
                  <w:tcPr>
                    <w:tcW w:w="1891" w:type="dxa"/>
                    <w:vAlign w:val="center"/>
                  </w:tcPr>
                  <w:p>
                    <w:pPr>
                      <w:ind w:right="5"/>
                      <w:jc w:val="center"/>
                      <w:rPr>
                        <w:szCs w:val="21"/>
                      </w:rPr>
                    </w:pPr>
                    <w:r>
                      <w:rPr>
                        <w:rFonts w:hint="eastAsia"/>
                        <w:szCs w:val="21"/>
                      </w:rPr>
                      <w:t>金额</w:t>
                    </w:r>
                  </w:p>
                </w:tc>
              </w:sdtContent>
            </w:sdt>
            <w:sdt>
              <w:sdtPr>
                <w:tag w:val="_PLD_7faf25028eff45ce8c6bf33a9060f296"/>
                <w:id w:val="6774427"/>
                <w:lock w:val="sdtLocked"/>
              </w:sdtPr>
              <w:sdtContent>
                <w:tc>
                  <w:tcPr>
                    <w:tcW w:w="1877" w:type="dxa"/>
                    <w:vAlign w:val="center"/>
                  </w:tcPr>
                  <w:p>
                    <w:pPr>
                      <w:ind w:right="5"/>
                      <w:jc w:val="center"/>
                      <w:rPr>
                        <w:szCs w:val="21"/>
                      </w:rPr>
                    </w:pPr>
                    <w:r>
                      <w:rPr>
                        <w:rFonts w:hint="eastAsia"/>
                        <w:szCs w:val="21"/>
                      </w:rPr>
                      <w:t>比例</w:t>
                    </w:r>
                    <w:r>
                      <w:rPr>
                        <w:szCs w:val="21"/>
                      </w:rPr>
                      <w:t>(%)</w:t>
                    </w:r>
                  </w:p>
                </w:tc>
              </w:sdtContent>
            </w:sdt>
            <w:sdt>
              <w:sdtPr>
                <w:tag w:val="_PLD_56219e7f20ba4e60b1a3edd32c1c534e"/>
                <w:id w:val="6774428"/>
                <w:lock w:val="sdtLocked"/>
              </w:sdtPr>
              <w:sdtContent>
                <w:tc>
                  <w:tcPr>
                    <w:tcW w:w="1875" w:type="dxa"/>
                    <w:vAlign w:val="center"/>
                  </w:tcPr>
                  <w:p>
                    <w:pPr>
                      <w:ind w:right="5"/>
                      <w:jc w:val="center"/>
                      <w:rPr>
                        <w:szCs w:val="21"/>
                      </w:rPr>
                    </w:pPr>
                    <w:r>
                      <w:rPr>
                        <w:rFonts w:hint="eastAsia"/>
                        <w:szCs w:val="21"/>
                      </w:rPr>
                      <w:t>金额</w:t>
                    </w:r>
                  </w:p>
                </w:tc>
              </w:sdtContent>
            </w:sdt>
            <w:sdt>
              <w:sdtPr>
                <w:tag w:val="_PLD_430fca228ced43ada83018b2091f7abf"/>
                <w:id w:val="6774429"/>
                <w:lock w:val="sdtLocked"/>
              </w:sdtPr>
              <w:sdtContent>
                <w:tc>
                  <w:tcPr>
                    <w:tcW w:w="1891" w:type="dxa"/>
                    <w:vAlign w:val="center"/>
                  </w:tcPr>
                  <w:p>
                    <w:pPr>
                      <w:ind w:right="5"/>
                      <w:jc w:val="center"/>
                      <w:rPr>
                        <w:szCs w:val="21"/>
                      </w:rPr>
                    </w:pPr>
                    <w:r>
                      <w:rPr>
                        <w:rFonts w:hint="eastAsia"/>
                        <w:szCs w:val="21"/>
                      </w:rPr>
                      <w:t>比例</w:t>
                    </w:r>
                    <w:r>
                      <w:rPr>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99" w:hRule="atLeast"/>
            </w:trPr>
            <w:sdt>
              <w:sdtPr>
                <w:tag w:val="_PLD_174778f02a0244e0b2b8c44129503d0e"/>
                <w:id w:val="6774430"/>
                <w:lock w:val="sdtLocked"/>
              </w:sdtPr>
              <w:sdtContent>
                <w:tc>
                  <w:tcPr>
                    <w:tcW w:w="1361" w:type="dxa"/>
                  </w:tcPr>
                  <w:p>
                    <w:pPr>
                      <w:ind w:right="5"/>
                      <w:rPr>
                        <w:szCs w:val="21"/>
                      </w:rPr>
                    </w:pPr>
                    <w:r>
                      <w:rPr>
                        <w:rFonts w:hint="eastAsia"/>
                        <w:szCs w:val="21"/>
                      </w:rPr>
                      <w:t>1年以内</w:t>
                    </w:r>
                  </w:p>
                </w:tc>
              </w:sdtContent>
            </w:sdt>
            <w:tc>
              <w:tcPr>
                <w:tcW w:w="1891" w:type="dxa"/>
              </w:tcPr>
              <w:p>
                <w:pPr>
                  <w:ind w:right="5"/>
                  <w:jc w:val="right"/>
                  <w:rPr>
                    <w:szCs w:val="21"/>
                  </w:rPr>
                </w:pPr>
                <w:r>
                  <w:t>728,489,793.01</w:t>
                </w:r>
              </w:p>
            </w:tc>
            <w:tc>
              <w:tcPr>
                <w:tcW w:w="1877" w:type="dxa"/>
              </w:tcPr>
              <w:p>
                <w:pPr>
                  <w:ind w:right="5"/>
                  <w:jc w:val="right"/>
                  <w:rPr>
                    <w:szCs w:val="21"/>
                  </w:rPr>
                </w:pPr>
                <w:r>
                  <w:t>97.78</w:t>
                </w:r>
              </w:p>
            </w:tc>
            <w:tc>
              <w:tcPr>
                <w:tcW w:w="1875" w:type="dxa"/>
              </w:tcPr>
              <w:p>
                <w:pPr>
                  <w:ind w:right="5"/>
                  <w:jc w:val="right"/>
                  <w:rPr>
                    <w:szCs w:val="21"/>
                  </w:rPr>
                </w:pPr>
                <w:r>
                  <w:t>1,309,376,449.76</w:t>
                </w:r>
              </w:p>
            </w:tc>
            <w:tc>
              <w:tcPr>
                <w:tcW w:w="1891" w:type="dxa"/>
              </w:tcPr>
              <w:p>
                <w:pPr>
                  <w:ind w:right="5"/>
                  <w:jc w:val="right"/>
                  <w:rPr>
                    <w:szCs w:val="21"/>
                  </w:rPr>
                </w:pPr>
                <w:r>
                  <w:t>99.07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4b385111cb5344928917e1906f5b2ab9"/>
                <w:id w:val="6774431"/>
                <w:lock w:val="sdtLocked"/>
              </w:sdtPr>
              <w:sdtContent>
                <w:tc>
                  <w:tcPr>
                    <w:tcW w:w="1361" w:type="dxa"/>
                  </w:tcPr>
                  <w:p>
                    <w:pPr>
                      <w:ind w:right="5"/>
                      <w:rPr>
                        <w:szCs w:val="21"/>
                      </w:rPr>
                    </w:pPr>
                    <w:r>
                      <w:rPr>
                        <w:rFonts w:hint="eastAsia"/>
                        <w:szCs w:val="21"/>
                      </w:rPr>
                      <w:t>1至2年</w:t>
                    </w:r>
                  </w:p>
                </w:tc>
              </w:sdtContent>
            </w:sdt>
            <w:tc>
              <w:tcPr>
                <w:tcW w:w="1891" w:type="dxa"/>
              </w:tcPr>
              <w:p>
                <w:pPr>
                  <w:ind w:right="5"/>
                  <w:jc w:val="right"/>
                  <w:rPr>
                    <w:szCs w:val="21"/>
                  </w:rPr>
                </w:pPr>
                <w:r>
                  <w:t>6,082,034.17</w:t>
                </w:r>
              </w:p>
            </w:tc>
            <w:tc>
              <w:tcPr>
                <w:tcW w:w="1877" w:type="dxa"/>
              </w:tcPr>
              <w:p>
                <w:pPr>
                  <w:ind w:right="5"/>
                  <w:jc w:val="right"/>
                  <w:rPr>
                    <w:szCs w:val="21"/>
                  </w:rPr>
                </w:pPr>
                <w:r>
                  <w:t>0.82</w:t>
                </w:r>
              </w:p>
            </w:tc>
            <w:tc>
              <w:tcPr>
                <w:tcW w:w="1875" w:type="dxa"/>
              </w:tcPr>
              <w:p>
                <w:pPr>
                  <w:ind w:right="5"/>
                  <w:jc w:val="right"/>
                  <w:rPr>
                    <w:szCs w:val="21"/>
                  </w:rPr>
                </w:pPr>
                <w:r>
                  <w:t>9,844,722.37</w:t>
                </w:r>
              </w:p>
            </w:tc>
            <w:tc>
              <w:tcPr>
                <w:tcW w:w="1891" w:type="dxa"/>
              </w:tcPr>
              <w:p>
                <w:pPr>
                  <w:ind w:right="5"/>
                  <w:jc w:val="right"/>
                  <w:rPr>
                    <w:szCs w:val="21"/>
                  </w:rPr>
                </w:pPr>
                <w: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eea945633abf49e9bb136b919b3abb21"/>
                <w:id w:val="6774432"/>
                <w:lock w:val="sdtLocked"/>
              </w:sdtPr>
              <w:sdtContent>
                <w:tc>
                  <w:tcPr>
                    <w:tcW w:w="1361" w:type="dxa"/>
                  </w:tcPr>
                  <w:p>
                    <w:pPr>
                      <w:ind w:right="5"/>
                      <w:rPr>
                        <w:szCs w:val="21"/>
                      </w:rPr>
                    </w:pPr>
                    <w:r>
                      <w:rPr>
                        <w:rFonts w:hint="eastAsia"/>
                        <w:szCs w:val="21"/>
                      </w:rPr>
                      <w:t>2至3年</w:t>
                    </w:r>
                  </w:p>
                </w:tc>
              </w:sdtContent>
            </w:sdt>
            <w:tc>
              <w:tcPr>
                <w:tcW w:w="1891" w:type="dxa"/>
              </w:tcPr>
              <w:p>
                <w:pPr>
                  <w:ind w:right="5"/>
                  <w:jc w:val="right"/>
                  <w:rPr>
                    <w:szCs w:val="21"/>
                  </w:rPr>
                </w:pPr>
                <w:r>
                  <w:t>8,450,345.16</w:t>
                </w:r>
              </w:p>
            </w:tc>
            <w:tc>
              <w:tcPr>
                <w:tcW w:w="1877" w:type="dxa"/>
              </w:tcPr>
              <w:p>
                <w:pPr>
                  <w:ind w:right="5"/>
                  <w:jc w:val="right"/>
                  <w:rPr>
                    <w:szCs w:val="21"/>
                  </w:rPr>
                </w:pPr>
                <w:r>
                  <w:t>1.13</w:t>
                </w:r>
              </w:p>
            </w:tc>
            <w:tc>
              <w:tcPr>
                <w:tcW w:w="1875" w:type="dxa"/>
              </w:tcPr>
              <w:p>
                <w:pPr>
                  <w:ind w:right="5"/>
                  <w:jc w:val="right"/>
                  <w:rPr>
                    <w:szCs w:val="21"/>
                  </w:rPr>
                </w:pPr>
                <w:r>
                  <w:t>1,819,614.48</w:t>
                </w:r>
              </w:p>
            </w:tc>
            <w:tc>
              <w:tcPr>
                <w:tcW w:w="1891" w:type="dxa"/>
              </w:tcPr>
              <w:p>
                <w:pPr>
                  <w:ind w:right="5"/>
                  <w:jc w:val="right"/>
                  <w:rPr>
                    <w:szCs w:val="21"/>
                  </w:rPr>
                </w:pPr>
                <w: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62c62dab318848a98f90bfda1a77337c"/>
                <w:id w:val="6774433"/>
                <w:lock w:val="sdtLocked"/>
              </w:sdtPr>
              <w:sdtContent>
                <w:tc>
                  <w:tcPr>
                    <w:tcW w:w="1361" w:type="dxa"/>
                  </w:tcPr>
                  <w:p>
                    <w:pPr>
                      <w:ind w:right="5"/>
                      <w:rPr>
                        <w:szCs w:val="21"/>
                      </w:rPr>
                    </w:pPr>
                    <w:r>
                      <w:rPr>
                        <w:rFonts w:hint="eastAsia"/>
                        <w:szCs w:val="21"/>
                      </w:rPr>
                      <w:t>3年以上</w:t>
                    </w:r>
                  </w:p>
                </w:tc>
              </w:sdtContent>
            </w:sdt>
            <w:tc>
              <w:tcPr>
                <w:tcW w:w="1891" w:type="dxa"/>
              </w:tcPr>
              <w:p>
                <w:pPr>
                  <w:ind w:right="5"/>
                  <w:jc w:val="right"/>
                  <w:rPr>
                    <w:szCs w:val="21"/>
                  </w:rPr>
                </w:pPr>
                <w:r>
                  <w:t>2,021,088.28</w:t>
                </w:r>
              </w:p>
            </w:tc>
            <w:tc>
              <w:tcPr>
                <w:tcW w:w="1877" w:type="dxa"/>
              </w:tcPr>
              <w:p>
                <w:pPr>
                  <w:ind w:right="5"/>
                  <w:jc w:val="right"/>
                  <w:rPr>
                    <w:szCs w:val="21"/>
                  </w:rPr>
                </w:pPr>
                <w:r>
                  <w:t>0.27</w:t>
                </w:r>
              </w:p>
            </w:tc>
            <w:tc>
              <w:tcPr>
                <w:tcW w:w="1875" w:type="dxa"/>
              </w:tcPr>
              <w:p>
                <w:pPr>
                  <w:ind w:right="5"/>
                  <w:jc w:val="right"/>
                  <w:rPr>
                    <w:szCs w:val="21"/>
                  </w:rPr>
                </w:pPr>
                <w:r>
                  <w:t>581,467.2</w:t>
                </w:r>
              </w:p>
            </w:tc>
            <w:tc>
              <w:tcPr>
                <w:tcW w:w="1891" w:type="dxa"/>
              </w:tcPr>
              <w:p>
                <w:pPr>
                  <w:ind w:right="5"/>
                  <w:jc w:val="right"/>
                  <w:rPr>
                    <w:szCs w:val="21"/>
                  </w:rP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a51bfbd8cae641f4b76a376fea94ac53"/>
                <w:id w:val="6774434"/>
                <w:lock w:val="sdtLocked"/>
              </w:sdtPr>
              <w:sdtContent>
                <w:tc>
                  <w:tcPr>
                    <w:tcW w:w="1361" w:type="dxa"/>
                  </w:tcPr>
                  <w:p>
                    <w:pPr>
                      <w:ind w:right="5"/>
                      <w:jc w:val="center"/>
                      <w:rPr>
                        <w:szCs w:val="21"/>
                      </w:rPr>
                    </w:pPr>
                    <w:r>
                      <w:rPr>
                        <w:rFonts w:hint="eastAsia"/>
                        <w:szCs w:val="21"/>
                      </w:rPr>
                      <w:t>合计</w:t>
                    </w:r>
                  </w:p>
                </w:tc>
              </w:sdtContent>
            </w:sdt>
            <w:tc>
              <w:tcPr>
                <w:tcW w:w="1891" w:type="dxa"/>
              </w:tcPr>
              <w:p>
                <w:pPr>
                  <w:ind w:right="5"/>
                  <w:jc w:val="right"/>
                  <w:rPr>
                    <w:szCs w:val="21"/>
                  </w:rPr>
                </w:pPr>
                <w:r>
                  <w:t>745,043,260.62</w:t>
                </w:r>
              </w:p>
            </w:tc>
            <w:tc>
              <w:tcPr>
                <w:tcW w:w="1877" w:type="dxa"/>
              </w:tcPr>
              <w:p>
                <w:pPr>
                  <w:ind w:right="5"/>
                  <w:jc w:val="right"/>
                  <w:rPr>
                    <w:szCs w:val="21"/>
                  </w:rPr>
                </w:pPr>
                <w:r>
                  <w:t>100</w:t>
                </w:r>
                <w:r>
                  <w:rPr>
                    <w:rFonts w:hint="eastAsia"/>
                  </w:rPr>
                  <w:t>.00</w:t>
                </w:r>
              </w:p>
            </w:tc>
            <w:tc>
              <w:tcPr>
                <w:tcW w:w="1875" w:type="dxa"/>
              </w:tcPr>
              <w:p>
                <w:pPr>
                  <w:ind w:right="5"/>
                  <w:jc w:val="right"/>
                  <w:rPr>
                    <w:szCs w:val="21"/>
                  </w:rPr>
                </w:pPr>
                <w:r>
                  <w:t>1,321,622,253.81</w:t>
                </w:r>
              </w:p>
            </w:tc>
            <w:tc>
              <w:tcPr>
                <w:tcW w:w="1891" w:type="dxa"/>
              </w:tcPr>
              <w:p>
                <w:pPr>
                  <w:ind w:right="5"/>
                  <w:jc w:val="right"/>
                  <w:rPr>
                    <w:szCs w:val="21"/>
                  </w:rPr>
                </w:pPr>
                <w:r>
                  <w:t>100</w:t>
                </w:r>
                <w:r>
                  <w:rPr>
                    <w:rFonts w:hint="eastAsia"/>
                  </w:rPr>
                  <w:t>.00</w:t>
                </w:r>
              </w:p>
            </w:tc>
          </w:tr>
        </w:tbl>
        <w:p/>
        <w:p>
          <w:pPr>
            <w:rPr>
              <w:szCs w:val="21"/>
            </w:rPr>
          </w:pPr>
          <w:r>
            <w:t>账</w:t>
          </w:r>
          <w:r>
            <w:rPr>
              <w:rFonts w:hint="eastAsia"/>
              <w:szCs w:val="21"/>
            </w:rPr>
            <w:t>龄超过1年且金额重要的预付款项未及时结算原因</w:t>
          </w:r>
          <w:r>
            <w:rPr>
              <w:szCs w:val="21"/>
            </w:rPr>
            <w:t>的说明：</w:t>
          </w:r>
        </w:p>
        <w:sdt>
          <w:sdtPr>
            <w:rPr>
              <w:rFonts w:hint="eastAsia"/>
            </w:rPr>
            <w:alias w:val="账龄超过1年且金额重要的预付款项未及时结算原因的说明"/>
            <w:tag w:val="_GBC_21bfefabbdb8489685d0bb3ee64c2ca5"/>
            <w:id w:val="6774435"/>
            <w:lock w:val="sdtLocked"/>
            <w:placeholder>
              <w:docPart w:val="GBC22222222222222222222222222222"/>
            </w:placeholder>
          </w:sdtPr>
          <w:sdtEndPr>
            <w:rPr>
              <w:rFonts w:hint="eastAsia"/>
            </w:rPr>
          </w:sdtEndPr>
          <w:sdtContent>
            <w:p>
              <w:r>
                <w:rPr>
                  <w:rFonts w:hint="eastAsia"/>
                </w:rPr>
                <w:t>公司预付账款账龄超过</w:t>
              </w:r>
              <w:r>
                <w:t>1年的款项均为小额未到结算期款</w:t>
              </w:r>
              <w:r>
                <w:rPr>
                  <w:rFonts w:hint="eastAsia"/>
                </w:rPr>
                <w:t>项。</w:t>
              </w:r>
            </w:p>
          </w:sdtContent>
        </w:sdt>
        <w:p/>
      </w:sdtContent>
    </w:sdt>
    <w:sdt>
      <w:sdtPr>
        <w:rPr>
          <w:rFonts w:hint="eastAsia" w:ascii="宋体" w:hAnsi="宋体" w:cs="宋体"/>
          <w:b w:val="0"/>
          <w:bCs w:val="0"/>
          <w:kern w:val="0"/>
          <w:szCs w:val="24"/>
        </w:rPr>
        <w:alias w:val="模块:预付款项金额前五名单位情况"/>
        <w:tag w:val="_SEC_8a85592946074248a7ee474e6adb363e"/>
        <w:id w:val="6774439"/>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0"/>
              <w:numId w:val="69"/>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6774437"/>
            <w:lock w:val="sdtContentLocked"/>
            <w:placeholder>
              <w:docPart w:val="GBC22222222222222222222222222222"/>
            </w:placeholder>
          </w:sdtPr>
          <w:sdtEndPr>
            <w:rPr>
              <w:rFonts w:hint="eastAsia"/>
              <w:szCs w:val="21"/>
            </w:rPr>
          </w:sdtEndPr>
          <w:sdtContent>
            <w:p>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01cbdc0115484d88931f2dbcc9e0aa2b"/>
            <w:id w:val="6774438"/>
            <w:lock w:val="sdtLocked"/>
            <w:placeholder>
              <w:docPart w:val="GBC22222222222222222222222222222"/>
            </w:placeholder>
          </w:sdtPr>
          <w:sdtEndPr>
            <w:rPr>
              <w:szCs w:val="21"/>
            </w:rPr>
          </w:sdtEndPr>
          <w:sdtContent>
            <w:p>
              <w:pPr>
                <w:snapToGrid w:val="0"/>
                <w:spacing w:line="240" w:lineRule="atLeast"/>
                <w:rPr>
                  <w:szCs w:val="21"/>
                </w:rPr>
              </w:pPr>
            </w:p>
            <w:tbl>
              <w:tblPr>
                <w:tblStyle w:val="83"/>
                <w:tblW w:w="8472" w:type="dxa"/>
                <w:tblInd w:w="-26"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456"/>
                <w:gridCol w:w="2754"/>
                <w:gridCol w:w="226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Borders>
                      <w:top w:val="single" w:color="auto" w:sz="12" w:space="0"/>
                    </w:tcBorders>
                    <w:vAlign w:val="center"/>
                  </w:tcPr>
                  <w:p>
                    <w:pPr>
                      <w:snapToGrid w:val="0"/>
                      <w:spacing w:line="240" w:lineRule="atLeast"/>
                      <w:jc w:val="center"/>
                      <w:rPr>
                        <w:rFonts w:ascii="Arial Narrow" w:hAnsi="Arial Narrow" w:cs="Arial Narrow"/>
                        <w:sz w:val="20"/>
                        <w:szCs w:val="20"/>
                      </w:rPr>
                    </w:pPr>
                    <w:r>
                      <w:rPr>
                        <w:rFonts w:hint="eastAsia" w:ascii="Arial Narrow" w:hAnsi="Arial Narrow"/>
                        <w:sz w:val="20"/>
                        <w:szCs w:val="20"/>
                      </w:rPr>
                      <w:t>单位名称</w:t>
                    </w:r>
                  </w:p>
                </w:tc>
                <w:tc>
                  <w:tcPr>
                    <w:tcW w:w="2754" w:type="dxa"/>
                    <w:tcBorders>
                      <w:top w:val="single" w:color="auto" w:sz="12" w:space="0"/>
                    </w:tcBorders>
                    <w:vAlign w:val="center"/>
                  </w:tcPr>
                  <w:p>
                    <w:pPr>
                      <w:snapToGrid w:val="0"/>
                      <w:spacing w:line="240" w:lineRule="atLeast"/>
                      <w:jc w:val="center"/>
                      <w:rPr>
                        <w:rFonts w:ascii="Arial Narrow" w:hAnsi="Arial Narrow" w:cs="Arial Narrow"/>
                        <w:sz w:val="20"/>
                        <w:szCs w:val="20"/>
                      </w:rPr>
                    </w:pPr>
                    <w:r>
                      <w:rPr>
                        <w:rFonts w:hint="eastAsia" w:ascii="Arial Narrow" w:hAnsi="Arial Narrow"/>
                        <w:sz w:val="20"/>
                        <w:szCs w:val="20"/>
                      </w:rPr>
                      <w:t>期末余额</w:t>
                    </w:r>
                  </w:p>
                </w:tc>
                <w:tc>
                  <w:tcPr>
                    <w:tcW w:w="2262" w:type="dxa"/>
                    <w:tcBorders>
                      <w:top w:val="single" w:color="auto" w:sz="12" w:space="0"/>
                    </w:tcBorders>
                    <w:vAlign w:val="center"/>
                  </w:tcPr>
                  <w:p>
                    <w:pPr>
                      <w:snapToGrid w:val="0"/>
                      <w:spacing w:line="240" w:lineRule="atLeast"/>
                      <w:jc w:val="center"/>
                      <w:rPr>
                        <w:rFonts w:ascii="Arial Narrow" w:hAnsi="Arial Narrow" w:cs="Arial Narrow"/>
                        <w:sz w:val="20"/>
                        <w:szCs w:val="20"/>
                      </w:rPr>
                    </w:pPr>
                    <w:r>
                      <w:rPr>
                        <w:rFonts w:hint="eastAsia" w:ascii="Arial Narrow" w:hAnsi="Arial Narrow"/>
                        <w:sz w:val="20"/>
                        <w:szCs w:val="20"/>
                      </w:rPr>
                      <w:t>占预付账款期末余额合计数的比例</w:t>
                    </w:r>
                    <w:r>
                      <w:rPr>
                        <w:rFonts w:ascii="Arial Narrow" w:hAnsi="Arial Narrow" w:cs="Arial Narrow"/>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rPr>
                        <w:szCs w:val="21"/>
                      </w:rPr>
                    </w:pPr>
                    <w:r>
                      <w:rPr>
                        <w:rFonts w:hint="eastAsia"/>
                        <w:szCs w:val="21"/>
                      </w:rPr>
                      <w:t>单位一</w:t>
                    </w:r>
                  </w:p>
                </w:tc>
                <w:tc>
                  <w:tcPr>
                    <w:tcW w:w="2754" w:type="dxa"/>
                    <w:vAlign w:val="center"/>
                  </w:tcPr>
                  <w:p>
                    <w:pPr>
                      <w:jc w:val="right"/>
                      <w:rPr>
                        <w:rFonts w:asciiTheme="majorEastAsia" w:hAnsiTheme="majorEastAsia" w:eastAsiaTheme="majorEastAsia"/>
                        <w:szCs w:val="21"/>
                      </w:rPr>
                    </w:pPr>
                    <w:r>
                      <w:rPr>
                        <w:rFonts w:asciiTheme="majorEastAsia" w:hAnsiTheme="majorEastAsia" w:eastAsiaTheme="majorEastAsia"/>
                        <w:szCs w:val="21"/>
                      </w:rPr>
                      <w:t>215</w:t>
                    </w:r>
                    <w:r>
                      <w:rPr>
                        <w:rFonts w:hint="eastAsia" w:asciiTheme="majorEastAsia" w:hAnsiTheme="majorEastAsia" w:eastAsiaTheme="majorEastAsia"/>
                        <w:szCs w:val="21"/>
                      </w:rPr>
                      <w:t>,</w:t>
                    </w:r>
                    <w:r>
                      <w:rPr>
                        <w:rFonts w:asciiTheme="majorEastAsia" w:hAnsiTheme="majorEastAsia" w:eastAsiaTheme="majorEastAsia"/>
                        <w:szCs w:val="21"/>
                      </w:rPr>
                      <w:t>895</w:t>
                    </w:r>
                    <w:r>
                      <w:rPr>
                        <w:rFonts w:hint="eastAsia" w:asciiTheme="majorEastAsia" w:hAnsiTheme="majorEastAsia" w:eastAsiaTheme="majorEastAsia"/>
                        <w:szCs w:val="21"/>
                      </w:rPr>
                      <w:t>,</w:t>
                    </w:r>
                    <w:r>
                      <w:rPr>
                        <w:rFonts w:asciiTheme="majorEastAsia" w:hAnsiTheme="majorEastAsia" w:eastAsiaTheme="majorEastAsia"/>
                        <w:szCs w:val="21"/>
                      </w:rPr>
                      <w:t>830.43</w:t>
                    </w:r>
                  </w:p>
                </w:tc>
                <w:tc>
                  <w:tcPr>
                    <w:tcW w:w="2262" w:type="dxa"/>
                    <w:vAlign w:val="center"/>
                  </w:tcPr>
                  <w:p>
                    <w:pPr>
                      <w:jc w:val="right"/>
                      <w:rPr>
                        <w:rFonts w:asciiTheme="majorEastAsia" w:hAnsiTheme="majorEastAsia" w:eastAsiaTheme="majorEastAsia"/>
                        <w:szCs w:val="21"/>
                      </w:rPr>
                    </w:pPr>
                    <w:r>
                      <w:rPr>
                        <w:rFonts w:hint="eastAsia" w:asciiTheme="majorEastAsia" w:hAnsiTheme="majorEastAsia" w:eastAsiaTheme="majorEastAsia"/>
                        <w:szCs w:val="21"/>
                      </w:rPr>
                      <w:t>28.95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rPr>
                        <w:szCs w:val="21"/>
                      </w:rPr>
                    </w:pPr>
                    <w:r>
                      <w:rPr>
                        <w:rFonts w:hint="eastAsia"/>
                        <w:szCs w:val="21"/>
                      </w:rPr>
                      <w:t>广西柳钢国际贸易有限公司</w:t>
                    </w:r>
                  </w:p>
                </w:tc>
                <w:tc>
                  <w:tcPr>
                    <w:tcW w:w="2754" w:type="dxa"/>
                    <w:vAlign w:val="center"/>
                  </w:tcPr>
                  <w:p>
                    <w:pPr>
                      <w:jc w:val="right"/>
                      <w:rPr>
                        <w:rFonts w:asciiTheme="majorEastAsia" w:hAnsiTheme="majorEastAsia" w:eastAsiaTheme="majorEastAsia"/>
                        <w:szCs w:val="21"/>
                      </w:rPr>
                    </w:pPr>
                    <w:r>
                      <w:rPr>
                        <w:rFonts w:asciiTheme="majorEastAsia" w:hAnsiTheme="majorEastAsia" w:eastAsiaTheme="majorEastAsia"/>
                        <w:szCs w:val="21"/>
                      </w:rPr>
                      <w:t>122</w:t>
                    </w:r>
                    <w:r>
                      <w:rPr>
                        <w:rFonts w:hint="eastAsia" w:asciiTheme="majorEastAsia" w:hAnsiTheme="majorEastAsia" w:eastAsiaTheme="majorEastAsia"/>
                        <w:szCs w:val="21"/>
                      </w:rPr>
                      <w:t>,</w:t>
                    </w:r>
                    <w:r>
                      <w:rPr>
                        <w:rFonts w:asciiTheme="majorEastAsia" w:hAnsiTheme="majorEastAsia" w:eastAsiaTheme="majorEastAsia"/>
                        <w:szCs w:val="21"/>
                      </w:rPr>
                      <w:t>244</w:t>
                    </w:r>
                    <w:r>
                      <w:rPr>
                        <w:rFonts w:hint="eastAsia" w:asciiTheme="majorEastAsia" w:hAnsiTheme="majorEastAsia" w:eastAsiaTheme="majorEastAsia"/>
                        <w:szCs w:val="21"/>
                      </w:rPr>
                      <w:t>,</w:t>
                    </w:r>
                    <w:r>
                      <w:rPr>
                        <w:rFonts w:asciiTheme="majorEastAsia" w:hAnsiTheme="majorEastAsia" w:eastAsiaTheme="majorEastAsia"/>
                        <w:szCs w:val="21"/>
                      </w:rPr>
                      <w:t>512.49</w:t>
                    </w:r>
                  </w:p>
                </w:tc>
                <w:tc>
                  <w:tcPr>
                    <w:tcW w:w="2262" w:type="dxa"/>
                    <w:vAlign w:val="center"/>
                  </w:tcPr>
                  <w:p>
                    <w:pPr>
                      <w:jc w:val="right"/>
                      <w:rPr>
                        <w:rFonts w:asciiTheme="majorEastAsia" w:hAnsiTheme="majorEastAsia" w:eastAsiaTheme="majorEastAsia"/>
                        <w:szCs w:val="21"/>
                      </w:rPr>
                    </w:pPr>
                    <w:r>
                      <w:rPr>
                        <w:rFonts w:hint="eastAsia" w:asciiTheme="majorEastAsia" w:hAnsiTheme="majorEastAsia" w:eastAsiaTheme="majorEastAsia"/>
                        <w:szCs w:val="21"/>
                      </w:rPr>
                      <w:t>16.39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rPr>
                        <w:szCs w:val="21"/>
                      </w:rPr>
                    </w:pPr>
                    <w:r>
                      <w:rPr>
                        <w:rFonts w:hint="eastAsia"/>
                        <w:szCs w:val="21"/>
                      </w:rPr>
                      <w:t>单位二</w:t>
                    </w:r>
                  </w:p>
                </w:tc>
                <w:tc>
                  <w:tcPr>
                    <w:tcW w:w="2754" w:type="dxa"/>
                    <w:vAlign w:val="center"/>
                  </w:tcPr>
                  <w:p>
                    <w:pPr>
                      <w:jc w:val="right"/>
                      <w:rPr>
                        <w:rFonts w:asciiTheme="majorEastAsia" w:hAnsiTheme="majorEastAsia" w:eastAsiaTheme="majorEastAsia"/>
                        <w:szCs w:val="21"/>
                      </w:rPr>
                    </w:pPr>
                    <w:r>
                      <w:rPr>
                        <w:rFonts w:asciiTheme="majorEastAsia" w:hAnsiTheme="majorEastAsia" w:eastAsiaTheme="majorEastAsia"/>
                        <w:szCs w:val="21"/>
                      </w:rPr>
                      <w:t xml:space="preserve"> 83,041,891.56 </w:t>
                    </w:r>
                  </w:p>
                </w:tc>
                <w:tc>
                  <w:tcPr>
                    <w:tcW w:w="2262" w:type="dxa"/>
                    <w:vAlign w:val="center"/>
                  </w:tcPr>
                  <w:p>
                    <w:pPr>
                      <w:jc w:val="right"/>
                      <w:rPr>
                        <w:rFonts w:asciiTheme="majorEastAsia" w:hAnsiTheme="majorEastAsia" w:eastAsiaTheme="majorEastAsia"/>
                        <w:szCs w:val="21"/>
                      </w:rPr>
                    </w:pPr>
                    <w:r>
                      <w:rPr>
                        <w:rFonts w:hint="eastAsia" w:asciiTheme="majorEastAsia" w:hAnsiTheme="majorEastAsia" w:eastAsiaTheme="majorEastAsia"/>
                        <w:szCs w:val="21"/>
                      </w:rPr>
                      <w:t>11.14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rPr>
                        <w:szCs w:val="21"/>
                      </w:rPr>
                    </w:pPr>
                    <w:r>
                      <w:rPr>
                        <w:rFonts w:hint="eastAsia"/>
                        <w:szCs w:val="21"/>
                      </w:rPr>
                      <w:t>单位三</w:t>
                    </w:r>
                  </w:p>
                </w:tc>
                <w:tc>
                  <w:tcPr>
                    <w:tcW w:w="2754" w:type="dxa"/>
                    <w:vAlign w:val="center"/>
                  </w:tcPr>
                  <w:p>
                    <w:pPr>
                      <w:jc w:val="right"/>
                      <w:rPr>
                        <w:rFonts w:asciiTheme="majorEastAsia" w:hAnsiTheme="majorEastAsia" w:eastAsiaTheme="majorEastAsia"/>
                        <w:szCs w:val="21"/>
                      </w:rPr>
                    </w:pPr>
                    <w:r>
                      <w:rPr>
                        <w:rFonts w:asciiTheme="majorEastAsia" w:hAnsiTheme="majorEastAsia" w:eastAsiaTheme="majorEastAsia"/>
                        <w:szCs w:val="21"/>
                      </w:rPr>
                      <w:t xml:space="preserve"> 64,085,687.73 </w:t>
                    </w:r>
                  </w:p>
                </w:tc>
                <w:tc>
                  <w:tcPr>
                    <w:tcW w:w="2262" w:type="dxa"/>
                    <w:vAlign w:val="center"/>
                  </w:tcPr>
                  <w:p>
                    <w:pPr>
                      <w:jc w:val="right"/>
                      <w:rPr>
                        <w:rFonts w:asciiTheme="majorEastAsia" w:hAnsiTheme="majorEastAsia" w:eastAsiaTheme="majorEastAsia"/>
                        <w:szCs w:val="21"/>
                      </w:rPr>
                    </w:pPr>
                    <w:r>
                      <w:rPr>
                        <w:rFonts w:hint="eastAsia" w:asciiTheme="majorEastAsia" w:hAnsiTheme="majorEastAsia" w:eastAsiaTheme="majorEastAsia"/>
                        <w:szCs w:val="21"/>
                      </w:rPr>
                      <w:t>8.59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rPr>
                        <w:szCs w:val="21"/>
                      </w:rPr>
                    </w:pPr>
                    <w:r>
                      <w:rPr>
                        <w:rFonts w:hint="eastAsia"/>
                        <w:szCs w:val="21"/>
                      </w:rPr>
                      <w:t>单位四</w:t>
                    </w:r>
                  </w:p>
                </w:tc>
                <w:tc>
                  <w:tcPr>
                    <w:tcW w:w="2754" w:type="dxa"/>
                    <w:vAlign w:val="center"/>
                  </w:tcPr>
                  <w:p>
                    <w:pPr>
                      <w:jc w:val="right"/>
                      <w:rPr>
                        <w:rFonts w:asciiTheme="majorEastAsia" w:hAnsiTheme="majorEastAsia" w:eastAsiaTheme="majorEastAsia"/>
                        <w:szCs w:val="21"/>
                      </w:rPr>
                    </w:pPr>
                    <w:r>
                      <w:rPr>
                        <w:rFonts w:asciiTheme="majorEastAsia" w:hAnsiTheme="majorEastAsia" w:eastAsiaTheme="majorEastAsia"/>
                        <w:szCs w:val="21"/>
                      </w:rPr>
                      <w:t xml:space="preserve"> 57,778,639.46 </w:t>
                    </w:r>
                  </w:p>
                </w:tc>
                <w:tc>
                  <w:tcPr>
                    <w:tcW w:w="2262" w:type="dxa"/>
                    <w:vAlign w:val="center"/>
                  </w:tcPr>
                  <w:p>
                    <w:pPr>
                      <w:jc w:val="right"/>
                      <w:rPr>
                        <w:rFonts w:asciiTheme="majorEastAsia" w:hAnsiTheme="majorEastAsia" w:eastAsiaTheme="majorEastAsia"/>
                        <w:szCs w:val="21"/>
                      </w:rPr>
                    </w:pPr>
                    <w:r>
                      <w:rPr>
                        <w:rFonts w:hint="eastAsia" w:asciiTheme="majorEastAsia" w:hAnsiTheme="majorEastAsia" w:eastAsiaTheme="majorEastAsia"/>
                        <w:szCs w:val="21"/>
                      </w:rPr>
                      <w:t>7.75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Borders>
                      <w:bottom w:val="single" w:color="auto" w:sz="12" w:space="0"/>
                    </w:tcBorders>
                  </w:tcPr>
                  <w:p>
                    <w:pPr>
                      <w:jc w:val="center"/>
                      <w:rPr>
                        <w:szCs w:val="21"/>
                      </w:rPr>
                    </w:pPr>
                    <w:r>
                      <w:rPr>
                        <w:rFonts w:hint="eastAsia"/>
                        <w:szCs w:val="21"/>
                      </w:rPr>
                      <w:t>合计</w:t>
                    </w:r>
                  </w:p>
                </w:tc>
                <w:tc>
                  <w:tcPr>
                    <w:tcW w:w="2754" w:type="dxa"/>
                    <w:tcBorders>
                      <w:bottom w:val="single" w:color="auto" w:sz="12" w:space="0"/>
                    </w:tcBorders>
                    <w:vAlign w:val="center"/>
                  </w:tcPr>
                  <w:p>
                    <w:pPr>
                      <w:jc w:val="right"/>
                      <w:rPr>
                        <w:rFonts w:asciiTheme="majorEastAsia" w:hAnsiTheme="majorEastAsia" w:eastAsiaTheme="majorEastAsia"/>
                        <w:szCs w:val="21"/>
                      </w:rPr>
                    </w:pPr>
                    <w:r>
                      <w:rPr>
                        <w:rFonts w:asciiTheme="majorEastAsia" w:hAnsiTheme="majorEastAsia" w:eastAsiaTheme="majorEastAsia"/>
                        <w:szCs w:val="21"/>
                      </w:rPr>
                      <w:t>543</w:t>
                    </w:r>
                    <w:r>
                      <w:rPr>
                        <w:rFonts w:hint="eastAsia" w:asciiTheme="majorEastAsia" w:hAnsiTheme="majorEastAsia" w:eastAsiaTheme="majorEastAsia"/>
                        <w:szCs w:val="21"/>
                      </w:rPr>
                      <w:t>,</w:t>
                    </w:r>
                    <w:r>
                      <w:rPr>
                        <w:rFonts w:asciiTheme="majorEastAsia" w:hAnsiTheme="majorEastAsia" w:eastAsiaTheme="majorEastAsia"/>
                        <w:szCs w:val="21"/>
                      </w:rPr>
                      <w:t>046</w:t>
                    </w:r>
                    <w:r>
                      <w:rPr>
                        <w:rFonts w:hint="eastAsia" w:asciiTheme="majorEastAsia" w:hAnsiTheme="majorEastAsia" w:eastAsiaTheme="majorEastAsia"/>
                        <w:szCs w:val="21"/>
                      </w:rPr>
                      <w:t>,</w:t>
                    </w:r>
                    <w:r>
                      <w:rPr>
                        <w:rFonts w:asciiTheme="majorEastAsia" w:hAnsiTheme="majorEastAsia" w:eastAsiaTheme="majorEastAsia"/>
                        <w:szCs w:val="21"/>
                      </w:rPr>
                      <w:t>561.</w:t>
                    </w:r>
                    <w:r>
                      <w:rPr>
                        <w:rFonts w:hint="eastAsia" w:asciiTheme="majorEastAsia" w:hAnsiTheme="majorEastAsia" w:eastAsiaTheme="majorEastAsia"/>
                        <w:szCs w:val="21"/>
                      </w:rPr>
                      <w:t xml:space="preserve">67 </w:t>
                    </w:r>
                  </w:p>
                </w:tc>
                <w:tc>
                  <w:tcPr>
                    <w:tcW w:w="2262" w:type="dxa"/>
                    <w:tcBorders>
                      <w:bottom w:val="single" w:color="auto" w:sz="12" w:space="0"/>
                    </w:tcBorders>
                    <w:vAlign w:val="center"/>
                  </w:tcPr>
                  <w:p>
                    <w:pPr>
                      <w:jc w:val="right"/>
                      <w:rPr>
                        <w:rFonts w:asciiTheme="majorEastAsia" w:hAnsiTheme="majorEastAsia" w:eastAsiaTheme="majorEastAsia"/>
                        <w:szCs w:val="21"/>
                      </w:rPr>
                    </w:pPr>
                    <w:r>
                      <w:rPr>
                        <w:rFonts w:hint="eastAsia" w:asciiTheme="majorEastAsia" w:hAnsiTheme="majorEastAsia" w:eastAsiaTheme="majorEastAsia"/>
                        <w:szCs w:val="21"/>
                      </w:rPr>
                      <w:t>72.82</w:t>
                    </w:r>
                  </w:p>
                </w:tc>
              </w:tr>
            </w:tbl>
            <w:p>
              <w:pPr>
                <w:snapToGrid w:val="0"/>
                <w:spacing w:line="240" w:lineRule="atLeast"/>
                <w:rPr>
                  <w:szCs w:val="21"/>
                </w:rPr>
              </w:pPr>
            </w:p>
          </w:sdtContent>
        </w:sdt>
        <w:p>
          <w:pPr>
            <w:snapToGrid w:val="0"/>
            <w:spacing w:line="240" w:lineRule="atLeast"/>
            <w:rPr>
              <w:szCs w:val="21"/>
            </w:rPr>
          </w:pPr>
        </w:p>
      </w:sdtContent>
    </w:sdt>
    <w:sdt>
      <w:sdtPr>
        <w:rPr>
          <w:rFonts w:hint="eastAsia" w:ascii="Times New Roman" w:hAnsi="Times New Roman"/>
          <w:b/>
          <w:bCs/>
        </w:rPr>
        <w:alias w:val="模块:预付款项的说明"/>
        <w:tag w:val="_SEC_b4786b512c5648f09f6aeb396ccb9ee7"/>
        <w:id w:val="6774441"/>
        <w:lock w:val="sdtLocked"/>
        <w:placeholder>
          <w:docPart w:val="GBC22222222222222222222222222222"/>
        </w:placeholder>
      </w:sdtPr>
      <w:sdtEndPr>
        <w:rPr>
          <w:rFonts w:hint="default" w:ascii="Times New Roman" w:hAnsi="Times New Roman"/>
          <w:b w:val="0"/>
          <w:bCs w:val="0"/>
        </w:rPr>
      </w:sdtEndPr>
      <w:sdtContent>
        <w:p>
          <w:r>
            <w:rPr>
              <w:rFonts w:hint="eastAsia"/>
            </w:rPr>
            <w:t>其他说明</w:t>
          </w:r>
        </w:p>
        <w:sdt>
          <w:sdtPr>
            <w:rPr>
              <w:rFonts w:hint="eastAsia"/>
              <w:szCs w:val="21"/>
            </w:rPr>
            <w:alias w:val="是否适用：预付帐款的说明[双击切换]"/>
            <w:tag w:val="_GBC_292d88b78b6d439981e508e0126d8061"/>
            <w:id w:val="6774440"/>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4"/>
        <w:numPr>
          <w:ilvl w:val="0"/>
          <w:numId w:val="66"/>
        </w:numPr>
      </w:pPr>
      <w:r>
        <w:rPr>
          <w:rFonts w:hint="eastAsia"/>
        </w:rPr>
        <w:t>应收利息</w:t>
      </w:r>
    </w:p>
    <w:sdt>
      <w:sdtPr>
        <w:rPr>
          <w:rFonts w:hint="eastAsia" w:cs="宋体" w:asciiTheme="minorHAnsi" w:hAnsiTheme="minorHAnsi"/>
          <w:b w:val="0"/>
          <w:bCs w:val="0"/>
          <w:kern w:val="0"/>
          <w:szCs w:val="22"/>
        </w:rPr>
        <w:alias w:val="模块:应收利息"/>
        <w:tag w:val="_SEC_e7556b18b03f4947b14c0b36c675ff06"/>
        <w:id w:val="6774443"/>
        <w:lock w:val="sdtLocked"/>
        <w:placeholder>
          <w:docPart w:val="GBC22222222222222222222222222222"/>
        </w:placeholder>
      </w:sdtPr>
      <w:sdtEndPr>
        <w:rPr>
          <w:rFonts w:hint="eastAsia" w:ascii="Times New Roman" w:hAnsi="Times New Roman" w:cs="Times New Roman"/>
          <w:b w:val="0"/>
          <w:bCs w:val="0"/>
          <w:kern w:val="2"/>
          <w:szCs w:val="24"/>
        </w:rPr>
      </w:sdtEndPr>
      <w:sdtContent>
        <w:p>
          <w:pPr>
            <w:pStyle w:val="5"/>
            <w:numPr>
              <w:ilvl w:val="3"/>
              <w:numId w:val="70"/>
            </w:numPr>
            <w:tabs>
              <w:tab w:val="left" w:pos="546"/>
            </w:tabs>
          </w:pPr>
          <w:r>
            <w:rPr>
              <w:rFonts w:hint="eastAsia"/>
            </w:rPr>
            <w:t>应收利息分类</w:t>
          </w:r>
        </w:p>
        <w:sdt>
          <w:sdtPr>
            <w:alias w:val="是否适用：应收利息分类[双击切换]"/>
            <w:tag w:val="_GBC_83217ec91e3240eeb9ff337eca1b11bb"/>
            <w:id w:val="6774442"/>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逾期利息"/>
        <w:tag w:val="_SEC_2b1aed9928154ce3b72406656569e1a0"/>
        <w:id w:val="6774445"/>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3"/>
              <w:numId w:val="70"/>
            </w:numPr>
            <w:tabs>
              <w:tab w:val="left" w:pos="546"/>
            </w:tabs>
          </w:pPr>
          <w:r>
            <w:rPr>
              <w:rFonts w:hint="eastAsia"/>
            </w:rPr>
            <w:t>重要逾期利息</w:t>
          </w:r>
        </w:p>
        <w:sdt>
          <w:sdtPr>
            <w:alias w:val="是否适用：重要逾期利息[双击切换]"/>
            <w:tag w:val="_GBC_4720cbb6fd9144c2b14ef7120e6159be"/>
            <w:id w:val="6774444"/>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b/>
          <w:bCs/>
        </w:rPr>
        <w:alias w:val="模块:应收利息的说明"/>
        <w:tag w:val="_SEC_f928a6e9e75047f3b72b49250b05ba14"/>
        <w:id w:val="6774447"/>
        <w:lock w:val="sdtLocked"/>
        <w:placeholder>
          <w:docPart w:val="GBC22222222222222222222222222222"/>
        </w:placeholder>
      </w:sdtPr>
      <w:sdtEndPr>
        <w:rPr>
          <w:rFonts w:hint="default"/>
          <w:b w:val="0"/>
          <w:bCs w:val="0"/>
          <w:szCs w:val="21"/>
        </w:rPr>
      </w:sdtEndPr>
      <w:sdtContent>
        <w:p>
          <w:r>
            <w:rPr>
              <w:rFonts w:hint="eastAsia"/>
            </w:rPr>
            <w:t>其他说明：</w:t>
          </w:r>
        </w:p>
        <w:sdt>
          <w:sdtPr>
            <w:rPr>
              <w:rFonts w:hint="eastAsia"/>
              <w:szCs w:val="21"/>
            </w:rPr>
            <w:alias w:val="是否适用：应收利息的说明[双击切换]"/>
            <w:tag w:val="_GBC_353af20a1db84c639b0e03e660c37a48"/>
            <w:id w:val="677444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4"/>
        <w:numPr>
          <w:ilvl w:val="0"/>
          <w:numId w:val="66"/>
        </w:numPr>
        <w:tabs>
          <w:tab w:val="left" w:pos="567"/>
        </w:tabs>
        <w:rPr>
          <w:rFonts w:ascii="宋体" w:hAnsi="宋体"/>
          <w:szCs w:val="21"/>
        </w:rPr>
      </w:pPr>
      <w:r>
        <w:rPr>
          <w:rFonts w:hint="eastAsia" w:ascii="宋体" w:hAnsi="宋体"/>
          <w:szCs w:val="21"/>
        </w:rPr>
        <w:t>应收股利</w:t>
      </w:r>
    </w:p>
    <w:sdt>
      <w:sdtPr>
        <w:rPr>
          <w:rFonts w:hint="eastAsia" w:asciiTheme="minorHAnsi" w:hAnsiTheme="minorHAnsi" w:cstheme="minorBidi"/>
          <w:b w:val="0"/>
          <w:bCs w:val="0"/>
          <w:kern w:val="0"/>
          <w:szCs w:val="22"/>
        </w:rPr>
        <w:alias w:val="模块:应收股利"/>
        <w:tag w:val="_SEC_531f695428244731b7e3fcf9986e03c5"/>
        <w:id w:val="6774449"/>
        <w:lock w:val="sdtLocked"/>
        <w:placeholder>
          <w:docPart w:val="GBC22222222222222222222222222222"/>
        </w:placeholder>
      </w:sdtPr>
      <w:sdtEndPr>
        <w:rPr>
          <w:rFonts w:hint="eastAsia" w:ascii="Times New Roman" w:hAnsi="Times New Roman" w:cs="Times New Roman"/>
          <w:b w:val="0"/>
          <w:bCs w:val="0"/>
          <w:kern w:val="0"/>
          <w:szCs w:val="24"/>
        </w:rPr>
      </w:sdtEndPr>
      <w:sdtContent>
        <w:p>
          <w:pPr>
            <w:pStyle w:val="5"/>
            <w:numPr>
              <w:ilvl w:val="3"/>
              <w:numId w:val="71"/>
            </w:numPr>
            <w:tabs>
              <w:tab w:val="left" w:pos="560"/>
            </w:tabs>
          </w:pPr>
          <w:r>
            <w:rPr>
              <w:rFonts w:hint="eastAsia"/>
            </w:rPr>
            <w:t>应收股利</w:t>
          </w:r>
        </w:p>
        <w:sdt>
          <w:sdtPr>
            <w:alias w:val="是否适用：应收股利[双击切换]"/>
            <w:tag w:val="_GBC_c0f7b0360a644690b0472107042df17a"/>
            <w:id w:val="6774448"/>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Theme="minorHAnsi" w:hAnsiTheme="minorHAnsi" w:cstheme="minorBidi"/>
          <w:b w:val="0"/>
          <w:bCs w:val="0"/>
          <w:kern w:val="0"/>
          <w:szCs w:val="22"/>
        </w:rPr>
        <w:alias w:val="模块:应收股利"/>
        <w:tag w:val="_SEC_9503084ad1734739bb1a74f5476ec07c"/>
        <w:id w:val="6774451"/>
        <w:lock w:val="sdtLocked"/>
        <w:placeholder>
          <w:docPart w:val="GBC22222222222222222222222222222"/>
        </w:placeholder>
      </w:sdtPr>
      <w:sdtEndPr>
        <w:rPr>
          <w:rFonts w:hint="eastAsia" w:ascii="Times New Roman" w:hAnsi="Times New Roman" w:cs="Times New Roman"/>
          <w:b w:val="0"/>
          <w:bCs w:val="0"/>
          <w:kern w:val="0"/>
          <w:szCs w:val="24"/>
        </w:rPr>
      </w:sdtEndPr>
      <w:sdtContent>
        <w:p>
          <w:pPr>
            <w:pStyle w:val="5"/>
            <w:numPr>
              <w:ilvl w:val="3"/>
              <w:numId w:val="71"/>
            </w:numPr>
            <w:tabs>
              <w:tab w:val="left" w:pos="560"/>
            </w:tabs>
          </w:pPr>
          <w:r>
            <w:rPr>
              <w:rFonts w:hint="eastAsia"/>
            </w:rPr>
            <w:t>重要的账龄超过1年的应收股利：</w:t>
          </w:r>
        </w:p>
        <w:p>
          <w:sdt>
            <w:sdtPr>
              <w:rPr>
                <w:rFonts w:hint="eastAsia"/>
                <w:szCs w:val="21"/>
              </w:rPr>
              <w:alias w:val="是否适用：重要的账龄超过1年的应收股利[双击切换]"/>
              <w:tag w:val="_GBC_d46c4e6d2f2e4e20b430a619bde9abe8"/>
              <w:id w:val="6774450"/>
              <w:lock w:val="sdtContentLocked"/>
              <w:placeholder>
                <w:docPart w:val="GBC22222222222222222222222222222"/>
              </w:placeholder>
            </w:sdtPr>
            <w:sdtEndPr>
              <w:rPr>
                <w:rFonts w:hint="eastAsia"/>
                <w:szCs w:val="21"/>
              </w:rPr>
            </w:sdtEnd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Content>
    </w:sdt>
    <w:sdt>
      <w:sdtPr>
        <w:rPr>
          <w:rFonts w:hint="eastAsia"/>
          <w:szCs w:val="21"/>
        </w:rPr>
        <w:alias w:val="模块:应收股利的说明"/>
        <w:tag w:val="_SEC_e50f0bae57ac4f97bb5148c612a8ca48"/>
        <w:id w:val="6774453"/>
        <w:lock w:val="sdtLocked"/>
        <w:placeholder>
          <w:docPart w:val="GBC22222222222222222222222222222"/>
        </w:placeholder>
      </w:sdtPr>
      <w:sdtEndPr>
        <w:rPr>
          <w:rFonts w:hint="default"/>
          <w:szCs w:val="21"/>
        </w:rPr>
      </w:sdtEndPr>
      <w:sdtContent>
        <w:p>
          <w:pPr>
            <w:rPr>
              <w:szCs w:val="21"/>
            </w:rPr>
          </w:pPr>
          <w:r>
            <w:rPr>
              <w:rFonts w:hint="eastAsia"/>
              <w:szCs w:val="21"/>
            </w:rPr>
            <w:t>其他说明：</w:t>
          </w:r>
        </w:p>
        <w:p>
          <w:pPr>
            <w:rPr>
              <w:szCs w:val="21"/>
            </w:rPr>
          </w:pPr>
          <w:sdt>
            <w:sdtPr>
              <w:rPr>
                <w:szCs w:val="21"/>
              </w:rPr>
              <w:alias w:val="是否适用：应收股利的说明[双击切换]"/>
              <w:tag w:val="_GBC_22314d2cdf794d5f90af92f13665da22"/>
              <w:id w:val="6774452"/>
              <w:lock w:val="sdtContentLocked"/>
              <w:placeholder>
                <w:docPart w:val="GBC22222222222222222222222222222"/>
              </w:placeholder>
            </w:sdtPr>
            <w:sdtEndPr>
              <w:rPr>
                <w:szCs w:val="21"/>
              </w:rPr>
            </w:sdtEnd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Content>
    </w:sdt>
    <w:p>
      <w:pPr>
        <w:snapToGrid w:val="0"/>
        <w:spacing w:line="240" w:lineRule="atLeast"/>
        <w:ind w:right="25" w:rightChars="12"/>
        <w:rPr>
          <w:color w:val="FF0000"/>
          <w:szCs w:val="21"/>
        </w:rPr>
      </w:pPr>
    </w:p>
    <w:p>
      <w:pPr>
        <w:pStyle w:val="4"/>
        <w:numPr>
          <w:ilvl w:val="0"/>
          <w:numId w:val="66"/>
        </w:numPr>
      </w:pPr>
      <w:r>
        <w:rPr>
          <w:rFonts w:hint="eastAsia"/>
        </w:rPr>
        <w:t>其他应收款</w:t>
      </w:r>
    </w:p>
    <w:sdt>
      <w:sdtPr>
        <w:rPr>
          <w:rFonts w:hint="eastAsia" w:ascii="Times New Roman" w:hAnsi="Times New Roman" w:cs="宋体"/>
          <w:b w:val="0"/>
          <w:bCs w:val="0"/>
          <w:kern w:val="0"/>
          <w:szCs w:val="24"/>
        </w:rPr>
        <w:alias w:val="模块:其他应收款分类披露"/>
        <w:tag w:val="_SEC_d047d549aa7244b381492a7cc30da0f7"/>
        <w:id w:val="6774478"/>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3"/>
              <w:numId w:val="72"/>
            </w:numPr>
            <w:tabs>
              <w:tab w:val="left" w:pos="588"/>
            </w:tabs>
          </w:pPr>
          <w:r>
            <w:rPr>
              <w:rFonts w:hint="eastAsia"/>
            </w:rPr>
            <w:t>其他应收款分类披露</w:t>
          </w:r>
        </w:p>
        <w:sdt>
          <w:sdtPr>
            <w:alias w:val="是否适用：其他应收款分类披露[双击切换]"/>
            <w:tag w:val="_GBC_fe3826dfb37147e7a7486e327c662c54"/>
            <w:id w:val="677445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autoSpaceDE w:val="0"/>
            <w:autoSpaceDN w:val="0"/>
            <w:adjustRightInd w:val="0"/>
            <w:ind w:right="105" w:rightChars="50"/>
            <w:jc w:val="right"/>
            <w:rPr>
              <w:szCs w:val="21"/>
            </w:rPr>
          </w:pPr>
          <w:r>
            <w:rPr>
              <w:rFonts w:hint="eastAsia"/>
              <w:szCs w:val="21"/>
            </w:rPr>
            <w:t>单位：</w:t>
          </w:r>
          <w:sdt>
            <w:sdtPr>
              <w:rPr>
                <w:rFonts w:hint="eastAsia"/>
                <w:szCs w:val="21"/>
              </w:rPr>
              <w:alias w:val="单位：其他应收账款按种类披露"/>
              <w:tag w:val="_GBC_e066a6e503624247846592f248c812cb"/>
              <w:id w:val="67744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其他应收账款按种类披露"/>
              <w:tag w:val="_GBC_82c1726363b549f59a0b06775d2a2411"/>
              <w:id w:val="67744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10066" w:type="dxa"/>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673"/>
            <w:gridCol w:w="1084"/>
            <w:gridCol w:w="536"/>
            <w:gridCol w:w="1020"/>
            <w:gridCol w:w="517"/>
            <w:gridCol w:w="1007"/>
            <w:gridCol w:w="1007"/>
            <w:gridCol w:w="526"/>
            <w:gridCol w:w="1143"/>
            <w:gridCol w:w="539"/>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283" w:hRule="atLeast"/>
            </w:trPr>
            <w:sdt>
              <w:sdtPr>
                <w:rPr>
                  <w:sz w:val="18"/>
                  <w:szCs w:val="18"/>
                </w:rPr>
                <w:tag w:val="_PLD_514be3faf1584f669243e1c33dcef2a6"/>
                <w:id w:val="6774457"/>
                <w:lock w:val="sdtLocked"/>
              </w:sdtPr>
              <w:sdtEndPr>
                <w:rPr>
                  <w:sz w:val="18"/>
                  <w:szCs w:val="18"/>
                </w:rPr>
              </w:sdtEndPr>
              <w:sdtContent>
                <w:tc>
                  <w:tcPr>
                    <w:tcW w:w="1673"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类别</w:t>
                    </w:r>
                  </w:p>
                </w:tc>
              </w:sdtContent>
            </w:sdt>
            <w:sdt>
              <w:sdtPr>
                <w:rPr>
                  <w:sz w:val="18"/>
                  <w:szCs w:val="18"/>
                </w:rPr>
                <w:tag w:val="_PLD_919b2e1faaea47dab0ecd94f3350842d"/>
                <w:id w:val="6774458"/>
                <w:lock w:val="sdtLocked"/>
              </w:sdtPr>
              <w:sdtEndPr>
                <w:rPr>
                  <w:sz w:val="18"/>
                  <w:szCs w:val="18"/>
                </w:rPr>
              </w:sdtEndPr>
              <w:sdtContent>
                <w:tc>
                  <w:tcPr>
                    <w:tcW w:w="4164" w:type="dxa"/>
                    <w:gridSpan w:val="5"/>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期末余额</w:t>
                    </w:r>
                  </w:p>
                </w:tc>
              </w:sdtContent>
            </w:sdt>
            <w:sdt>
              <w:sdtPr>
                <w:rPr>
                  <w:sz w:val="18"/>
                  <w:szCs w:val="18"/>
                </w:rPr>
                <w:tag w:val="_PLD_a19da96f45194d1ea05658f273e8fb5d"/>
                <w:id w:val="6774459"/>
                <w:lock w:val="sdtLocked"/>
              </w:sdtPr>
              <w:sdtEndPr>
                <w:rPr>
                  <w:sz w:val="18"/>
                  <w:szCs w:val="18"/>
                </w:rPr>
              </w:sdtEndPr>
              <w:sdtContent>
                <w:tc>
                  <w:tcPr>
                    <w:tcW w:w="4229" w:type="dxa"/>
                    <w:gridSpan w:val="5"/>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150" w:hRule="atLeast"/>
            </w:trPr>
            <w:tc>
              <w:tcPr>
                <w:tcW w:w="1673" w:type="dxa"/>
                <w:vMerge w:val="continue"/>
                <w:tcBorders>
                  <w:left w:val="single" w:color="auto" w:sz="4" w:space="0"/>
                  <w:right w:val="single" w:color="auto" w:sz="4" w:space="0"/>
                </w:tcBorders>
                <w:vAlign w:val="center"/>
              </w:tcPr>
              <w:p>
                <w:pPr>
                  <w:rPr>
                    <w:sz w:val="18"/>
                    <w:szCs w:val="18"/>
                  </w:rPr>
                </w:pPr>
              </w:p>
            </w:tc>
            <w:sdt>
              <w:sdtPr>
                <w:rPr>
                  <w:sz w:val="18"/>
                  <w:szCs w:val="18"/>
                </w:rPr>
                <w:tag w:val="_PLD_92ff28e789214075a6f39193e4232b89"/>
                <w:id w:val="6774460"/>
                <w:lock w:val="sdtLocked"/>
              </w:sdtPr>
              <w:sdtEndPr>
                <w:rPr>
                  <w:sz w:val="18"/>
                  <w:szCs w:val="18"/>
                </w:rPr>
              </w:sdtEndPr>
              <w:sdtContent>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账面余额</w:t>
                    </w:r>
                  </w:p>
                </w:tc>
              </w:sdtContent>
            </w:sdt>
            <w:sdt>
              <w:sdtPr>
                <w:rPr>
                  <w:sz w:val="18"/>
                  <w:szCs w:val="18"/>
                </w:rPr>
                <w:tag w:val="_PLD_222c7fadcca54d5eaf183a83d0ea9397"/>
                <w:id w:val="6774461"/>
                <w:lock w:val="sdtLocked"/>
              </w:sdtPr>
              <w:sdtEndPr>
                <w:rPr>
                  <w:sz w:val="18"/>
                  <w:szCs w:val="18"/>
                </w:rPr>
              </w:sdtEndPr>
              <w:sdtContent>
                <w:tc>
                  <w:tcPr>
                    <w:tcW w:w="153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坏账准备</w:t>
                    </w:r>
                  </w:p>
                </w:tc>
              </w:sdtContent>
            </w:sdt>
            <w:sdt>
              <w:sdtPr>
                <w:rPr>
                  <w:sz w:val="18"/>
                  <w:szCs w:val="18"/>
                </w:rPr>
                <w:tag w:val="_PLD_faab5e9490174a26aab139caaf29013f"/>
                <w:id w:val="6774462"/>
                <w:lock w:val="sdtLocked"/>
              </w:sdtPr>
              <w:sdtEndPr>
                <w:rPr>
                  <w:sz w:val="18"/>
                  <w:szCs w:val="18"/>
                </w:rPr>
              </w:sdtEndPr>
              <w:sdtContent>
                <w:tc>
                  <w:tcPr>
                    <w:tcW w:w="1007"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账面</w:t>
                    </w:r>
                  </w:p>
                  <w:p>
                    <w:pPr>
                      <w:jc w:val="center"/>
                      <w:rPr>
                        <w:sz w:val="18"/>
                        <w:szCs w:val="18"/>
                      </w:rPr>
                    </w:pPr>
                    <w:r>
                      <w:rPr>
                        <w:rFonts w:hint="eastAsia"/>
                        <w:sz w:val="18"/>
                        <w:szCs w:val="18"/>
                      </w:rPr>
                      <w:t>价值</w:t>
                    </w:r>
                  </w:p>
                </w:tc>
              </w:sdtContent>
            </w:sdt>
            <w:sdt>
              <w:sdtPr>
                <w:rPr>
                  <w:sz w:val="18"/>
                  <w:szCs w:val="18"/>
                </w:rPr>
                <w:tag w:val="_PLD_2db1651d703e48fd9a3ecd85b53e5f93"/>
                <w:id w:val="6774463"/>
                <w:lock w:val="sdtLocked"/>
              </w:sdtPr>
              <w:sdtEndPr>
                <w:rPr>
                  <w:sz w:val="18"/>
                  <w:szCs w:val="18"/>
                </w:rPr>
              </w:sdtEndPr>
              <w:sdtContent>
                <w:tc>
                  <w:tcPr>
                    <w:tcW w:w="1533" w:type="dxa"/>
                    <w:gridSpan w:val="2"/>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账面余额</w:t>
                    </w:r>
                  </w:p>
                </w:tc>
              </w:sdtContent>
            </w:sdt>
            <w:sdt>
              <w:sdtPr>
                <w:rPr>
                  <w:sz w:val="18"/>
                  <w:szCs w:val="18"/>
                </w:rPr>
                <w:tag w:val="_PLD_15fb0ee2a54e475fb2c6db42c142a426"/>
                <w:id w:val="6774464"/>
                <w:lock w:val="sdtLocked"/>
              </w:sdtPr>
              <w:sdtEndPr>
                <w:rPr>
                  <w:sz w:val="18"/>
                  <w:szCs w:val="18"/>
                </w:rPr>
              </w:sdtEndPr>
              <w:sdtContent>
                <w:tc>
                  <w:tcPr>
                    <w:tcW w:w="1682" w:type="dxa"/>
                    <w:gridSpan w:val="2"/>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坏账准备</w:t>
                    </w:r>
                  </w:p>
                </w:tc>
              </w:sdtContent>
            </w:sdt>
            <w:sdt>
              <w:sdtPr>
                <w:rPr>
                  <w:sz w:val="18"/>
                  <w:szCs w:val="18"/>
                </w:rPr>
                <w:tag w:val="_PLD_d12793306b7e4c1b8c6bf3df4d32850d"/>
                <w:id w:val="6774465"/>
                <w:lock w:val="sdtLocked"/>
              </w:sdtPr>
              <w:sdtEndPr>
                <w:rPr>
                  <w:sz w:val="18"/>
                  <w:szCs w:val="18"/>
                </w:rPr>
              </w:sdtEndPr>
              <w:sdtContent>
                <w:tc>
                  <w:tcPr>
                    <w:tcW w:w="1014"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账面</w:t>
                    </w:r>
                  </w:p>
                  <w:p>
                    <w:pPr>
                      <w:jc w:val="center"/>
                      <w:rPr>
                        <w:sz w:val="18"/>
                        <w:szCs w:val="18"/>
                      </w:rPr>
                    </w:pPr>
                    <w:r>
                      <w:rPr>
                        <w:rFonts w:hint="eastAsia"/>
                        <w:sz w:val="18"/>
                        <w:szCs w:val="18"/>
                      </w:rPr>
                      <w:t>价值</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135" w:hRule="atLeast"/>
            </w:trPr>
            <w:tc>
              <w:tcPr>
                <w:tcW w:w="1673" w:type="dxa"/>
                <w:vMerge w:val="continue"/>
                <w:tcBorders>
                  <w:left w:val="single" w:color="auto" w:sz="4" w:space="0"/>
                  <w:bottom w:val="single" w:color="auto" w:sz="4" w:space="0"/>
                  <w:right w:val="single" w:color="auto" w:sz="4" w:space="0"/>
                </w:tcBorders>
                <w:vAlign w:val="center"/>
              </w:tcPr>
              <w:p>
                <w:pPr>
                  <w:rPr>
                    <w:sz w:val="18"/>
                    <w:szCs w:val="18"/>
                  </w:rPr>
                </w:pPr>
              </w:p>
            </w:tc>
            <w:sdt>
              <w:sdtPr>
                <w:rPr>
                  <w:sz w:val="18"/>
                  <w:szCs w:val="18"/>
                </w:rPr>
                <w:tag w:val="_PLD_bd1dc9b7293a47e6afa4683dc00b65e0"/>
                <w:id w:val="6774466"/>
                <w:lock w:val="sdtLocked"/>
              </w:sdtPr>
              <w:sdtEndPr>
                <w:rPr>
                  <w:sz w:val="18"/>
                  <w:szCs w:val="18"/>
                </w:rPr>
              </w:sdtEndPr>
              <w:sdtContent>
                <w:tc>
                  <w:tcPr>
                    <w:tcW w:w="108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金额</w:t>
                    </w:r>
                  </w:p>
                </w:tc>
              </w:sdtContent>
            </w:sdt>
            <w:sdt>
              <w:sdtPr>
                <w:rPr>
                  <w:sz w:val="18"/>
                  <w:szCs w:val="18"/>
                </w:rPr>
                <w:tag w:val="_PLD_45c55da5ce3a4d71bf5a178eab1e19b1"/>
                <w:id w:val="6774467"/>
                <w:lock w:val="sdtLocked"/>
              </w:sdtPr>
              <w:sdtEndPr>
                <w:rPr>
                  <w:sz w:val="18"/>
                  <w:szCs w:val="18"/>
                </w:rPr>
              </w:sdtEndPr>
              <w:sdtContent>
                <w:tc>
                  <w:tcPr>
                    <w:tcW w:w="53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比例</w:t>
                    </w:r>
                    <w:r>
                      <w:rPr>
                        <w:sz w:val="18"/>
                        <w:szCs w:val="18"/>
                      </w:rPr>
                      <w:t>(%)</w:t>
                    </w:r>
                  </w:p>
                </w:tc>
              </w:sdtContent>
            </w:sdt>
            <w:sdt>
              <w:sdtPr>
                <w:rPr>
                  <w:sz w:val="18"/>
                  <w:szCs w:val="18"/>
                </w:rPr>
                <w:tag w:val="_PLD_330be69e205f48e0967fb581e37a9875"/>
                <w:id w:val="6774468"/>
                <w:lock w:val="sdtLocked"/>
              </w:sdtPr>
              <w:sdtEndPr>
                <w:rPr>
                  <w:sz w:val="18"/>
                  <w:szCs w:val="18"/>
                </w:rPr>
              </w:sdtEndPr>
              <w:sdtContent>
                <w:tc>
                  <w:tcPr>
                    <w:tcW w:w="102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金额</w:t>
                    </w:r>
                  </w:p>
                </w:tc>
              </w:sdtContent>
            </w:sdt>
            <w:sdt>
              <w:sdtPr>
                <w:rPr>
                  <w:sz w:val="18"/>
                  <w:szCs w:val="18"/>
                </w:rPr>
                <w:tag w:val="_PLD_3184807225eb4e7c9a31b9ccd586cfd7"/>
                <w:id w:val="6774469"/>
                <w:lock w:val="sdtLocked"/>
              </w:sdtPr>
              <w:sdtEndPr>
                <w:rPr>
                  <w:sz w:val="18"/>
                  <w:szCs w:val="18"/>
                </w:rPr>
              </w:sdtEndPr>
              <w:sdtContent>
                <w:tc>
                  <w:tcPr>
                    <w:tcW w:w="5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计提比例</w:t>
                    </w:r>
                    <w:r>
                      <w:rPr>
                        <w:sz w:val="18"/>
                        <w:szCs w:val="18"/>
                      </w:rPr>
                      <w:t>(%)</w:t>
                    </w:r>
                  </w:p>
                </w:tc>
              </w:sdtContent>
            </w:sdt>
            <w:tc>
              <w:tcPr>
                <w:tcW w:w="1007" w:type="dxa"/>
                <w:vMerge w:val="continue"/>
                <w:tcBorders>
                  <w:left w:val="single" w:color="auto" w:sz="4" w:space="0"/>
                  <w:bottom w:val="single" w:color="auto" w:sz="4" w:space="0"/>
                  <w:right w:val="single" w:color="auto" w:sz="4" w:space="0"/>
                </w:tcBorders>
                <w:vAlign w:val="center"/>
              </w:tcPr>
              <w:p>
                <w:pPr>
                  <w:jc w:val="center"/>
                  <w:rPr>
                    <w:sz w:val="18"/>
                    <w:szCs w:val="18"/>
                  </w:rPr>
                </w:pPr>
              </w:p>
            </w:tc>
            <w:sdt>
              <w:sdtPr>
                <w:rPr>
                  <w:sz w:val="18"/>
                  <w:szCs w:val="18"/>
                </w:rPr>
                <w:tag w:val="_PLD_765f6c8f88b947e2aa326205e10f8544"/>
                <w:id w:val="6774470"/>
                <w:lock w:val="sdtLocked"/>
              </w:sdtPr>
              <w:sdtEndPr>
                <w:rPr>
                  <w:sz w:val="18"/>
                  <w:szCs w:val="18"/>
                </w:rPr>
              </w:sdtEndPr>
              <w:sdtContent>
                <w:tc>
                  <w:tcPr>
                    <w:tcW w:w="1007"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金额</w:t>
                    </w:r>
                  </w:p>
                </w:tc>
              </w:sdtContent>
            </w:sdt>
            <w:sdt>
              <w:sdtPr>
                <w:rPr>
                  <w:sz w:val="18"/>
                  <w:szCs w:val="18"/>
                </w:rPr>
                <w:tag w:val="_PLD_ab32a9cf121c4ae186f5291472e0a582"/>
                <w:id w:val="6774471"/>
                <w:lock w:val="sdtLocked"/>
              </w:sdtPr>
              <w:sdtEndPr>
                <w:rPr>
                  <w:sz w:val="18"/>
                  <w:szCs w:val="18"/>
                </w:rPr>
              </w:sdtEndPr>
              <w:sdtContent>
                <w:tc>
                  <w:tcPr>
                    <w:tcW w:w="526"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比例</w:t>
                    </w:r>
                    <w:r>
                      <w:rPr>
                        <w:sz w:val="18"/>
                        <w:szCs w:val="18"/>
                      </w:rPr>
                      <w:t>(%)</w:t>
                    </w:r>
                  </w:p>
                </w:tc>
              </w:sdtContent>
            </w:sdt>
            <w:sdt>
              <w:sdtPr>
                <w:rPr>
                  <w:sz w:val="18"/>
                  <w:szCs w:val="18"/>
                </w:rPr>
                <w:tag w:val="_PLD_43ff6fd06742463aaf85e88f7f31c81f"/>
                <w:id w:val="6774472"/>
                <w:lock w:val="sdtLocked"/>
              </w:sdtPr>
              <w:sdtEndPr>
                <w:rPr>
                  <w:sz w:val="18"/>
                  <w:szCs w:val="18"/>
                </w:rPr>
              </w:sdtEndPr>
              <w:sdtContent>
                <w:tc>
                  <w:tcPr>
                    <w:tcW w:w="1143"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金额</w:t>
                    </w:r>
                  </w:p>
                </w:tc>
              </w:sdtContent>
            </w:sdt>
            <w:sdt>
              <w:sdtPr>
                <w:rPr>
                  <w:sz w:val="18"/>
                  <w:szCs w:val="18"/>
                </w:rPr>
                <w:tag w:val="_PLD_aa2b2239d5e145f59f27204b83417309"/>
                <w:id w:val="6774473"/>
                <w:lock w:val="sdtLocked"/>
              </w:sdtPr>
              <w:sdtEndPr>
                <w:rPr>
                  <w:sz w:val="18"/>
                  <w:szCs w:val="18"/>
                </w:rPr>
              </w:sdtEndPr>
              <w:sdtContent>
                <w:tc>
                  <w:tcPr>
                    <w:tcW w:w="539"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计提比例</w:t>
                    </w:r>
                    <w:r>
                      <w:rPr>
                        <w:sz w:val="18"/>
                        <w:szCs w:val="18"/>
                      </w:rPr>
                      <w:t>(%)</w:t>
                    </w:r>
                  </w:p>
                </w:tc>
              </w:sdtContent>
            </w:sdt>
            <w:tc>
              <w:tcPr>
                <w:tcW w:w="1014" w:type="dxa"/>
                <w:vMerge w:val="continue"/>
                <w:tcBorders>
                  <w:left w:val="single" w:color="auto" w:sz="4" w:space="0"/>
                  <w:bottom w:val="single" w:color="auto" w:sz="4" w:space="0"/>
                  <w:right w:val="single" w:color="auto" w:sz="4" w:space="0"/>
                </w:tcBorders>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7af69fe18f514ed48ced6200a74d6776"/>
                <w:id w:val="6774474"/>
                <w:lock w:val="sdtLocked"/>
              </w:sdtPr>
              <w:sdtEndPr>
                <w:rPr>
                  <w:sz w:val="18"/>
                  <w:szCs w:val="18"/>
                </w:rPr>
              </w:sdtEndPr>
              <w:sdtContent>
                <w:tc>
                  <w:tcPr>
                    <w:tcW w:w="167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rFonts w:hint="eastAsia"/>
                        <w:sz w:val="18"/>
                        <w:szCs w:val="18"/>
                      </w:rPr>
                      <w:t>单项金额重大并单独计提坏账准备的其他应收款</w:t>
                    </w:r>
                  </w:p>
                </w:tc>
              </w:sdtContent>
            </w:sdt>
            <w:tc>
              <w:tcPr>
                <w:tcW w:w="1084"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536"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4,363,861.66</w:t>
                </w:r>
              </w:p>
            </w:tc>
            <w:tc>
              <w:tcPr>
                <w:tcW w:w="526"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12.85</w:t>
                </w:r>
              </w:p>
            </w:tc>
            <w:tc>
              <w:tcPr>
                <w:tcW w:w="114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4,363,861.66</w:t>
                </w:r>
              </w:p>
            </w:tc>
            <w:tc>
              <w:tcPr>
                <w:tcW w:w="53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100.00</w:t>
                </w:r>
              </w:p>
            </w:tc>
            <w:tc>
              <w:tcPr>
                <w:tcW w:w="1014"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r>
                  <w:rPr>
                    <w:rFonts w:ascii="Arial Narrow" w:hAnsi="Arial Narrow"/>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93df1f0d5b244e3db011778951f9b511"/>
                <w:id w:val="6774475"/>
                <w:lock w:val="sdtLocked"/>
              </w:sdtPr>
              <w:sdtEndPr>
                <w:rPr>
                  <w:sz w:val="18"/>
                  <w:szCs w:val="18"/>
                </w:rPr>
              </w:sdtEndPr>
              <w:sdtContent>
                <w:tc>
                  <w:tcPr>
                    <w:tcW w:w="167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rFonts w:hint="eastAsia"/>
                        <w:sz w:val="18"/>
                        <w:szCs w:val="18"/>
                      </w:rPr>
                      <w:t>按信用风险特征组合计提坏账准备的其他应收款</w:t>
                    </w:r>
                  </w:p>
                </w:tc>
              </w:sdtContent>
            </w:sdt>
            <w:tc>
              <w:tcPr>
                <w:tcW w:w="108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20"/>
                    <w:szCs w:val="20"/>
                  </w:rPr>
                </w:pPr>
                <w:r>
                  <w:rPr>
                    <w:rFonts w:ascii="Arial Narrow" w:hAnsi="Arial Narrow"/>
                    <w:sz w:val="20"/>
                    <w:szCs w:val="20"/>
                  </w:rPr>
                  <w:t xml:space="preserve">   16,</w:t>
                </w:r>
                <w:r>
                  <w:rPr>
                    <w:rFonts w:ascii="Arial Narrow" w:hAnsi="Arial Narrow"/>
                    <w:sz w:val="18"/>
                    <w:szCs w:val="18"/>
                  </w:rPr>
                  <w:t>728</w:t>
                </w:r>
                <w:r>
                  <w:rPr>
                    <w:rFonts w:ascii="Arial Narrow" w:hAnsi="Arial Narrow"/>
                    <w:sz w:val="20"/>
                    <w:szCs w:val="20"/>
                  </w:rPr>
                  <w:t xml:space="preserve">,633.00 </w:t>
                </w:r>
              </w:p>
              <w:p>
                <w:pPr>
                  <w:jc w:val="right"/>
                  <w:rPr>
                    <w:rFonts w:ascii="Arial Narrow" w:hAnsi="Arial Narrow"/>
                    <w:sz w:val="18"/>
                    <w:szCs w:val="18"/>
                  </w:rPr>
                </w:pPr>
              </w:p>
            </w:tc>
            <w:tc>
              <w:tcPr>
                <w:tcW w:w="536"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100</w:t>
                </w:r>
              </w:p>
            </w:tc>
            <w:tc>
              <w:tcPr>
                <w:tcW w:w="10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20"/>
                    <w:szCs w:val="20"/>
                  </w:rPr>
                  <w:t>6,314,537.40</w:t>
                </w:r>
              </w:p>
            </w:tc>
            <w:tc>
              <w:tcPr>
                <w:tcW w:w="51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hint="eastAsia" w:ascii="Arial Narrow" w:hAnsi="Arial Narrow"/>
                    <w:sz w:val="18"/>
                    <w:szCs w:val="18"/>
                  </w:rPr>
                  <w:t>37.75</w:t>
                </w:r>
              </w:p>
            </w:tc>
            <w:tc>
              <w:tcPr>
                <w:tcW w:w="100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10,414,095.60</w:t>
                </w:r>
              </w:p>
            </w:tc>
            <w:tc>
              <w:tcPr>
                <w:tcW w:w="100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29,587,813.62</w:t>
                </w:r>
              </w:p>
            </w:tc>
            <w:tc>
              <w:tcPr>
                <w:tcW w:w="526"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87.15</w:t>
                </w:r>
              </w:p>
            </w:tc>
            <w:tc>
              <w:tcPr>
                <w:tcW w:w="114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6,035,389.46</w:t>
                </w:r>
              </w:p>
            </w:tc>
            <w:tc>
              <w:tcPr>
                <w:tcW w:w="53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20.40</w:t>
                </w:r>
              </w:p>
            </w:tc>
            <w:tc>
              <w:tcPr>
                <w:tcW w:w="101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23,552,424.16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5aa0757dc888400081aa0de02dcfb64d"/>
                <w:id w:val="6774476"/>
                <w:lock w:val="sdtLocked"/>
              </w:sdtPr>
              <w:sdtEndPr>
                <w:rPr>
                  <w:sz w:val="18"/>
                  <w:szCs w:val="18"/>
                </w:rPr>
              </w:sdtEndPr>
              <w:sdtContent>
                <w:tc>
                  <w:tcPr>
                    <w:tcW w:w="167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rFonts w:hint="eastAsia"/>
                        <w:sz w:val="18"/>
                        <w:szCs w:val="18"/>
                      </w:rPr>
                      <w:t>单项金额不重大但单独计提坏账准备的其他应收款</w:t>
                    </w:r>
                  </w:p>
                </w:tc>
              </w:sdtContent>
            </w:sdt>
            <w:tc>
              <w:tcPr>
                <w:tcW w:w="1084"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536"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526"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1143"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ind w:right="90"/>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edddc26b27db4eb2a2616b75024dcf62"/>
                <w:id w:val="6774477"/>
                <w:lock w:val="sdtLocked"/>
              </w:sdtPr>
              <w:sdtEndPr>
                <w:rPr>
                  <w:sz w:val="18"/>
                  <w:szCs w:val="18"/>
                </w:rPr>
              </w:sdtEndPr>
              <w:sdtContent>
                <w:tc>
                  <w:tcPr>
                    <w:tcW w:w="16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18"/>
                        <w:szCs w:val="18"/>
                      </w:rPr>
                    </w:pPr>
                    <w:r>
                      <w:rPr>
                        <w:rFonts w:hint="eastAsia"/>
                        <w:sz w:val="18"/>
                        <w:szCs w:val="18"/>
                      </w:rPr>
                      <w:t>合计</w:t>
                    </w:r>
                  </w:p>
                </w:tc>
              </w:sdtContent>
            </w:sdt>
            <w:tc>
              <w:tcPr>
                <w:tcW w:w="108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16,728,633.00</w:t>
                </w:r>
              </w:p>
            </w:tc>
            <w:tc>
              <w:tcPr>
                <w:tcW w:w="536"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6,314,537.40</w:t>
                </w:r>
              </w:p>
            </w:tc>
            <w:tc>
              <w:tcPr>
                <w:tcW w:w="51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10,414,095.60</w:t>
                </w:r>
              </w:p>
            </w:tc>
            <w:tc>
              <w:tcPr>
                <w:tcW w:w="100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33,951,675.28</w:t>
                </w:r>
              </w:p>
            </w:tc>
            <w:tc>
              <w:tcPr>
                <w:tcW w:w="526"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w:t>
                </w:r>
              </w:p>
            </w:tc>
            <w:tc>
              <w:tcPr>
                <w:tcW w:w="114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10,399,251.12</w:t>
                </w:r>
              </w:p>
            </w:tc>
            <w:tc>
              <w:tcPr>
                <w:tcW w:w="53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w:t>
                </w:r>
              </w:p>
            </w:tc>
            <w:tc>
              <w:tcPr>
                <w:tcW w:w="101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23,552,424.16</w:t>
                </w:r>
              </w:p>
            </w:tc>
          </w:tr>
        </w:tbl>
        <w:p/>
      </w:sdtContent>
    </w:sdt>
    <w:p/>
    <w:sdt>
      <w:sdtPr>
        <w:rPr>
          <w:rFonts w:hint="eastAsia"/>
          <w:szCs w:val="21"/>
        </w:rPr>
        <w:alias w:val="模块:单项金额重大并单项计提坏帐准备的其他应收账款　　　　　　　..."/>
        <w:tag w:val="_SEC_ed1f904ec3e64a389e5fd7e560640459"/>
        <w:id w:val="6774480"/>
        <w:lock w:val="sdtLocked"/>
        <w:placeholder>
          <w:docPart w:val="GBC22222222222222222222222222222"/>
        </w:placeholder>
      </w:sdtPr>
      <w:sdtEndPr>
        <w:rPr>
          <w:rFonts w:hint="eastAsia"/>
          <w:szCs w:val="21"/>
        </w:rPr>
      </w:sdtEndPr>
      <w:sdtContent>
        <w:p>
          <w:pPr>
            <w:rPr>
              <w:szCs w:val="21"/>
            </w:rPr>
          </w:pPr>
          <w:r>
            <w:rPr>
              <w:rFonts w:hint="eastAsia"/>
              <w:szCs w:val="21"/>
            </w:rPr>
            <w:t>期末单项金额重大并单项计提坏帐准备的其他应收款</w:t>
          </w:r>
        </w:p>
        <w:sdt>
          <w:sdtPr>
            <w:rPr>
              <w:szCs w:val="21"/>
            </w:rPr>
            <w:alias w:val="是否适用：单项金额重大并单项计提坏帐准备的其他应收账款[双击切换]"/>
            <w:tag w:val="_GBC_efed07ba0ae54dd98e3bafaefe4c13da"/>
            <w:id w:val="6774479"/>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组合中，按账龄分析法计提坏账准备的其他应收账款："/>
        <w:tag w:val="_SEC_83229bb79acf432aaa1ddee8839cbec5"/>
        <w:id w:val="6774499"/>
        <w:lock w:val="sdtLocked"/>
        <w:placeholder>
          <w:docPart w:val="GBC22222222222222222222222222222"/>
        </w:placeholder>
      </w:sdtPr>
      <w:sdtEndPr>
        <w:rPr>
          <w:rFonts w:hint="default"/>
          <w:szCs w:val="21"/>
        </w:rPr>
      </w:sdtEndPr>
      <w:sdtContent>
        <w:p>
          <w:pPr>
            <w:rPr>
              <w:szCs w:val="21"/>
            </w:rPr>
          </w:pPr>
          <w:r>
            <w:rPr>
              <w:rFonts w:hint="eastAsia"/>
              <w:szCs w:val="21"/>
            </w:rPr>
            <w:t>组合中，按账龄分析法计提坏账准备的其他应收款：</w:t>
          </w:r>
        </w:p>
        <w:sdt>
          <w:sdtPr>
            <w:rPr>
              <w:rFonts w:hint="eastAsia"/>
              <w:szCs w:val="21"/>
            </w:rPr>
            <w:alias w:val="是否适用：组合中，按账龄分析法计提坏账准备的其他应收账款[双击切换]"/>
            <w:tag w:val="_GBC_cbe4f9ad63db484d8ef66648a84e3d65"/>
            <w:id w:val="6774481"/>
            <w:lock w:val="sdtLocked"/>
          </w:sdtPr>
          <w:sdtEndPr>
            <w:rPr>
              <w:rFonts w:hint="eastAsia"/>
              <w:szCs w:val="21"/>
            </w:rPr>
          </w:sdtEndPr>
          <w:sdtContent>
            <w:p>
              <w:pPr>
                <w:rPr>
                  <w:szCs w:val="21"/>
                </w:rPr>
              </w:pPr>
              <w:r>
                <w:rPr>
                  <w:rFonts w:hint="eastAsia"/>
                  <w:szCs w:val="21"/>
                </w:rPr>
                <w:fldChar w:fldCharType="begin"/>
              </w:r>
              <w:r>
                <w:rPr>
                  <w:rFonts w:hint="eastAsia"/>
                  <w:szCs w:val="21"/>
                </w:rPr>
                <w:instrText xml:space="preserve">MACROBUTTON  SnrToggleCheckbox √适用  </w:instrText>
              </w:r>
              <w:r>
                <w:rPr>
                  <w:rFonts w:hint="eastAsia"/>
                  <w:szCs w:val="21"/>
                </w:rPr>
                <w:fldChar w:fldCharType="end"/>
              </w:r>
              <w:r>
                <w:rPr>
                  <w:rFonts w:hint="eastAsia"/>
                  <w:szCs w:val="21"/>
                </w:rPr>
                <w:fldChar w:fldCharType="begin"/>
              </w:r>
              <w:r>
                <w:rPr>
                  <w:rFonts w:hint="eastAsia"/>
                  <w:szCs w:val="21"/>
                </w:rPr>
                <w:instrText xml:space="preserve">MACROBUTTON  SnrToggleCheckbox □不适用 </w:instrText>
              </w:r>
              <w:r>
                <w:rPr>
                  <w:rFonts w:hint="eastAsia"/>
                  <w:szCs w:val="21"/>
                </w:rPr>
                <w:fldChar w:fldCharType="end"/>
              </w:r>
            </w:p>
          </w:sdtContent>
        </w:sdt>
        <w:p>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4587df63e39f4285894818e8e80a9d98"/>
              <w:id w:val="6774482"/>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7311780e74f04820ab93e8611dd09018"/>
              <w:id w:val="677448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2154"/>
            <w:gridCol w:w="2416"/>
            <w:gridCol w:w="2131"/>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e7ce6a2fcc7c4438842d23f0fd35598a"/>
                <w:id w:val="6774484"/>
                <w:lock w:val="sdtLocked"/>
              </w:sdtPr>
              <w:sdtContent>
                <w:tc>
                  <w:tcPr>
                    <w:tcW w:w="2154"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p>
                  <w:p>
                    <w:pPr>
                      <w:jc w:val="center"/>
                      <w:rPr>
                        <w:szCs w:val="21"/>
                      </w:rPr>
                    </w:pPr>
                    <w:r>
                      <w:rPr>
                        <w:rFonts w:hint="eastAsia"/>
                        <w:szCs w:val="21"/>
                      </w:rPr>
                      <w:t>账龄</w:t>
                    </w:r>
                  </w:p>
                </w:tc>
              </w:sdtContent>
            </w:sdt>
            <w:sdt>
              <w:sdtPr>
                <w:tag w:val="_PLD_f080991ed421447987c3bf04af5a59a3"/>
                <w:id w:val="6774485"/>
                <w:lock w:val="sdtLocked"/>
              </w:sdtPr>
              <w:sdtContent>
                <w:tc>
                  <w:tcPr>
                    <w:tcW w:w="6741"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154"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sdt>
              <w:sdtPr>
                <w:tag w:val="_PLD_78e93ca2c23a40899f0a044aab776c51"/>
                <w:id w:val="6774486"/>
                <w:lock w:val="sdtLocked"/>
              </w:sdtPr>
              <w:sdtContent>
                <w:tc>
                  <w:tcPr>
                    <w:tcW w:w="2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其他应收款</w:t>
                    </w:r>
                  </w:p>
                </w:tc>
              </w:sdtContent>
            </w:sdt>
            <w:sdt>
              <w:sdtPr>
                <w:tag w:val="_PLD_9e5919a8ddb84989b23435475e64aef8"/>
                <w:id w:val="6774487"/>
                <w:lock w:val="sdtLocked"/>
              </w:sdtPr>
              <w:sdtContent>
                <w:tc>
                  <w:tcPr>
                    <w:tcW w:w="213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坏账准备</w:t>
                    </w:r>
                  </w:p>
                </w:tc>
              </w:sdtContent>
            </w:sdt>
            <w:sdt>
              <w:sdtPr>
                <w:tag w:val="_PLD_57783a9a114141ac9018514b091e6973"/>
                <w:id w:val="6774488"/>
                <w:lock w:val="sdtLocked"/>
              </w:sdtPr>
              <w:sdtContent>
                <w:tc>
                  <w:tcPr>
                    <w:tcW w:w="219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计提比例（%）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8ab36d671a6745819c24e1ccee8125be"/>
                <w:id w:val="6774489"/>
                <w:lock w:val="sdtLocked"/>
              </w:sdtPr>
              <w:sdtContent>
                <w:tc>
                  <w:tcPr>
                    <w:tcW w:w="215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1年以内</w:t>
                    </w:r>
                  </w:p>
                </w:tc>
              </w:sdtContent>
            </w:sdt>
            <w:tc>
              <w:tcPr>
                <w:tcW w:w="2416" w:type="dxa"/>
                <w:tcBorders>
                  <w:top w:val="single" w:color="auto" w:sz="4" w:space="0"/>
                  <w:left w:val="single" w:color="auto" w:sz="4" w:space="0"/>
                  <w:bottom w:val="single" w:color="auto" w:sz="4" w:space="0"/>
                  <w:right w:val="single" w:color="auto" w:sz="4" w:space="0"/>
                </w:tcBorders>
                <w:vAlign w:val="center"/>
              </w:tcPr>
              <w:p>
                <w:pPr>
                  <w:jc w:val="right"/>
                  <w:rPr>
                    <w:color w:val="FF0000"/>
                    <w:szCs w:val="21"/>
                  </w:rPr>
                </w:pPr>
                <w:r>
                  <w:t>9,738,143.42</w:t>
                </w:r>
              </w:p>
            </w:tc>
            <w:tc>
              <w:tcPr>
                <w:tcW w:w="2131" w:type="dxa"/>
                <w:tcBorders>
                  <w:top w:val="single" w:color="auto" w:sz="4" w:space="0"/>
                  <w:left w:val="single" w:color="auto" w:sz="4" w:space="0"/>
                  <w:bottom w:val="single" w:color="auto" w:sz="4" w:space="0"/>
                  <w:right w:val="single" w:color="auto" w:sz="4" w:space="0"/>
                </w:tcBorders>
                <w:vAlign w:val="center"/>
              </w:tcPr>
              <w:p>
                <w:pPr>
                  <w:jc w:val="right"/>
                  <w:rPr>
                    <w:color w:val="FF0000"/>
                    <w:szCs w:val="21"/>
                  </w:rPr>
                </w:pPr>
                <w:r>
                  <w:t>292,144.30</w:t>
                </w:r>
              </w:p>
            </w:tc>
            <w:tc>
              <w:tcPr>
                <w:tcW w:w="2194" w:type="dxa"/>
                <w:tcBorders>
                  <w:top w:val="single" w:color="auto" w:sz="4" w:space="0"/>
                  <w:left w:val="single" w:color="auto" w:sz="4" w:space="0"/>
                  <w:bottom w:val="single" w:color="auto" w:sz="4" w:space="0"/>
                  <w:right w:val="single" w:color="auto" w:sz="4" w:space="0"/>
                </w:tcBorders>
                <w:vAlign w:val="center"/>
              </w:tcPr>
              <w:p>
                <w:pPr>
                  <w:jc w:val="right"/>
                  <w:rPr>
                    <w:color w:val="FF0000"/>
                    <w:szCs w:val="21"/>
                  </w:rP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13e2f1e1767a46f5bb2ce86ea35990ec"/>
                <w:id w:val="6774490"/>
                <w:lock w:val="sdtLocked"/>
              </w:sdtPr>
              <w:sdtContent>
                <w:tc>
                  <w:tcPr>
                    <w:tcW w:w="215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其中：1年以内分项</w:t>
                    </w:r>
                  </w:p>
                </w:tc>
              </w:sdtContent>
            </w:sdt>
            <w:tc>
              <w:tcPr>
                <w:tcW w:w="2416" w:type="dxa"/>
                <w:tcBorders>
                  <w:top w:val="single" w:color="auto" w:sz="4" w:space="0"/>
                  <w:left w:val="single" w:color="auto" w:sz="4" w:space="0"/>
                  <w:bottom w:val="single" w:color="auto" w:sz="4" w:space="0"/>
                  <w:right w:val="single" w:color="auto" w:sz="4" w:space="0"/>
                </w:tcBorders>
                <w:vAlign w:val="center"/>
              </w:tcPr>
              <w:p>
                <w:pPr>
                  <w:ind w:left="111" w:leftChars="53"/>
                  <w:jc w:val="right"/>
                  <w:rPr>
                    <w:szCs w:val="21"/>
                  </w:rPr>
                </w:pPr>
                <w:r>
                  <w:t>9,738,143.42</w:t>
                </w:r>
              </w:p>
            </w:tc>
            <w:tc>
              <w:tcPr>
                <w:tcW w:w="2131" w:type="dxa"/>
                <w:tcBorders>
                  <w:top w:val="single" w:color="auto" w:sz="4" w:space="0"/>
                  <w:left w:val="single" w:color="auto" w:sz="4" w:space="0"/>
                  <w:bottom w:val="single" w:color="auto" w:sz="4" w:space="0"/>
                  <w:right w:val="single" w:color="auto" w:sz="4" w:space="0"/>
                </w:tcBorders>
                <w:vAlign w:val="center"/>
              </w:tcPr>
              <w:p>
                <w:pPr>
                  <w:jc w:val="right"/>
                  <w:rPr>
                    <w:szCs w:val="21"/>
                  </w:rPr>
                </w:pPr>
                <w:r>
                  <w:t>292,144.30</w:t>
                </w:r>
              </w:p>
            </w:tc>
            <w:tc>
              <w:tcPr>
                <w:tcW w:w="2194" w:type="dxa"/>
                <w:tcBorders>
                  <w:top w:val="single" w:color="auto" w:sz="4" w:space="0"/>
                  <w:left w:val="single" w:color="auto" w:sz="4" w:space="0"/>
                  <w:bottom w:val="single" w:color="auto" w:sz="4" w:space="0"/>
                  <w:right w:val="single" w:color="auto" w:sz="4" w:space="0"/>
                </w:tcBorders>
                <w:vAlign w:val="center"/>
              </w:tcPr>
              <w:p>
                <w:pPr>
                  <w:jc w:val="right"/>
                  <w:rPr>
                    <w:szCs w:val="21"/>
                  </w:rP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87a696fa991648ea8b2e68a57f86dd62"/>
                <w:id w:val="6774491"/>
                <w:lock w:val="sdtLocked"/>
              </w:sdtPr>
              <w:sdtContent>
                <w:tc>
                  <w:tcPr>
                    <w:tcW w:w="215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1年以内小计</w:t>
                    </w:r>
                  </w:p>
                </w:tc>
              </w:sdtContent>
            </w:sdt>
            <w:tc>
              <w:tcPr>
                <w:tcW w:w="2416" w:type="dxa"/>
                <w:tcBorders>
                  <w:top w:val="single" w:color="auto" w:sz="4" w:space="0"/>
                  <w:left w:val="single" w:color="auto" w:sz="4" w:space="0"/>
                  <w:bottom w:val="single" w:color="auto" w:sz="4" w:space="0"/>
                  <w:right w:val="single" w:color="auto" w:sz="4" w:space="0"/>
                </w:tcBorders>
              </w:tcPr>
              <w:p>
                <w:pPr>
                  <w:jc w:val="right"/>
                  <w:rPr>
                    <w:szCs w:val="21"/>
                  </w:rPr>
                </w:pPr>
                <w:r>
                  <w:t>9,738,143.42</w:t>
                </w:r>
              </w:p>
            </w:tc>
            <w:tc>
              <w:tcPr>
                <w:tcW w:w="2131" w:type="dxa"/>
                <w:tcBorders>
                  <w:top w:val="single" w:color="auto" w:sz="4" w:space="0"/>
                  <w:left w:val="single" w:color="auto" w:sz="4" w:space="0"/>
                  <w:bottom w:val="single" w:color="auto" w:sz="4" w:space="0"/>
                  <w:right w:val="single" w:color="auto" w:sz="4" w:space="0"/>
                </w:tcBorders>
              </w:tcPr>
              <w:p>
                <w:pPr>
                  <w:jc w:val="right"/>
                  <w:rPr>
                    <w:szCs w:val="21"/>
                  </w:rPr>
                </w:pPr>
                <w:r>
                  <w:t>292,144.30</w:t>
                </w:r>
              </w:p>
            </w:tc>
            <w:tc>
              <w:tcPr>
                <w:tcW w:w="2194" w:type="dxa"/>
                <w:tcBorders>
                  <w:top w:val="single" w:color="auto" w:sz="4" w:space="0"/>
                  <w:left w:val="single" w:color="auto" w:sz="4" w:space="0"/>
                  <w:bottom w:val="single" w:color="auto" w:sz="4" w:space="0"/>
                  <w:right w:val="single" w:color="auto" w:sz="4" w:space="0"/>
                </w:tcBorders>
              </w:tcPr>
              <w:p>
                <w:pPr>
                  <w:jc w:val="right"/>
                  <w:rPr>
                    <w:szCs w:val="21"/>
                  </w:rP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af5216c2adfb4878a122f26b18ff5ccf"/>
                <w:id w:val="6774492"/>
                <w:lock w:val="sdtLocked"/>
              </w:sdtPr>
              <w:sdtContent>
                <w:tc>
                  <w:tcPr>
                    <w:tcW w:w="215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1至2年</w:t>
                    </w:r>
                  </w:p>
                </w:tc>
              </w:sdtContent>
            </w:sdt>
            <w:tc>
              <w:tcPr>
                <w:tcW w:w="2416"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923,777.09</w:t>
                </w:r>
              </w:p>
            </w:tc>
            <w:tc>
              <w:tcPr>
                <w:tcW w:w="2131"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92,377.71</w:t>
                </w:r>
              </w:p>
            </w:tc>
            <w:tc>
              <w:tcPr>
                <w:tcW w:w="2194"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ba62fc96a83a4a4e8f68b74fa0f49604"/>
                <w:id w:val="6774493"/>
                <w:lock w:val="sdtLocked"/>
              </w:sdtPr>
              <w:sdtContent>
                <w:tc>
                  <w:tcPr>
                    <w:tcW w:w="215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2至3年</w:t>
                    </w:r>
                  </w:p>
                </w:tc>
              </w:sdtContent>
            </w:sdt>
            <w:tc>
              <w:tcPr>
                <w:tcW w:w="2416"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49,565.53</w:t>
                </w:r>
              </w:p>
            </w:tc>
            <w:tc>
              <w:tcPr>
                <w:tcW w:w="2131"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14,869.66</w:t>
                </w:r>
              </w:p>
            </w:tc>
            <w:tc>
              <w:tcPr>
                <w:tcW w:w="2194"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8116c4765a6d400f9dbf199a81005780"/>
                <w:id w:val="6774494"/>
                <w:lock w:val="sdtLocked"/>
              </w:sdtPr>
              <w:sdtContent>
                <w:tc>
                  <w:tcPr>
                    <w:tcW w:w="215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3至4年</w:t>
                    </w:r>
                  </w:p>
                </w:tc>
              </w:sdtContent>
            </w:sdt>
            <w:tc>
              <w:tcPr>
                <w:tcW w:w="2416"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204,002.47</w:t>
                </w:r>
              </w:p>
            </w:tc>
            <w:tc>
              <w:tcPr>
                <w:tcW w:w="2131"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102,001.24</w:t>
                </w:r>
              </w:p>
            </w:tc>
            <w:tc>
              <w:tcPr>
                <w:tcW w:w="2194"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39ee725c422d401bb967aa8735416cc4"/>
                <w:id w:val="6774495"/>
                <w:lock w:val="sdtLocked"/>
              </w:sdtPr>
              <w:sdtContent>
                <w:tc>
                  <w:tcPr>
                    <w:tcW w:w="215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4至5年</w:t>
                    </w:r>
                  </w:p>
                </w:tc>
              </w:sdtContent>
            </w:sdt>
            <w:tc>
              <w:tcPr>
                <w:tcW w:w="2416" w:type="dxa"/>
                <w:tcBorders>
                  <w:top w:val="single" w:color="auto" w:sz="4" w:space="0"/>
                  <w:left w:val="single" w:color="auto" w:sz="4" w:space="0"/>
                  <w:bottom w:val="single" w:color="auto" w:sz="4" w:space="0"/>
                  <w:right w:val="single" w:color="auto" w:sz="4" w:space="0"/>
                </w:tcBorders>
              </w:tcPr>
              <w:p>
                <w:pPr>
                  <w:jc w:val="right"/>
                  <w:rPr>
                    <w:szCs w:val="21"/>
                  </w:rPr>
                </w:pPr>
              </w:p>
            </w:tc>
            <w:tc>
              <w:tcPr>
                <w:tcW w:w="2131" w:type="dxa"/>
                <w:tcBorders>
                  <w:top w:val="single" w:color="auto" w:sz="4" w:space="0"/>
                  <w:left w:val="single" w:color="auto" w:sz="4" w:space="0"/>
                  <w:bottom w:val="single" w:color="auto" w:sz="4" w:space="0"/>
                  <w:right w:val="single" w:color="auto" w:sz="4" w:space="0"/>
                </w:tcBorders>
              </w:tcPr>
              <w:p>
                <w:pPr>
                  <w:jc w:val="right"/>
                  <w:rPr>
                    <w:szCs w:val="21"/>
                  </w:rPr>
                </w:pPr>
              </w:p>
            </w:tc>
            <w:tc>
              <w:tcPr>
                <w:tcW w:w="2194" w:type="dxa"/>
                <w:tcBorders>
                  <w:top w:val="single" w:color="auto" w:sz="4" w:space="0"/>
                  <w:left w:val="single" w:color="auto" w:sz="4" w:space="0"/>
                  <w:bottom w:val="single" w:color="auto" w:sz="4" w:space="0"/>
                  <w:right w:val="single" w:color="auto" w:sz="4"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055db2d999b64269b29132dc20d27127"/>
                <w:id w:val="6774496"/>
                <w:lock w:val="sdtLocked"/>
              </w:sdtPr>
              <w:sdtContent>
                <w:tc>
                  <w:tcPr>
                    <w:tcW w:w="215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5年以上</w:t>
                    </w:r>
                  </w:p>
                </w:tc>
              </w:sdtContent>
            </w:sdt>
            <w:tc>
              <w:tcPr>
                <w:tcW w:w="2416"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5,813,144.49</w:t>
                </w:r>
              </w:p>
            </w:tc>
            <w:tc>
              <w:tcPr>
                <w:tcW w:w="2131"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5,813,144.49</w:t>
                </w:r>
              </w:p>
            </w:tc>
            <w:tc>
              <w:tcPr>
                <w:tcW w:w="2194"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f2441efa0ca6423ab299ce1fa68d8738"/>
                <w:id w:val="6774497"/>
                <w:lock w:val="sdtLocked"/>
              </w:sdtPr>
              <w:sdtContent>
                <w:tc>
                  <w:tcPr>
                    <w:tcW w:w="21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w:t>
                    </w:r>
                  </w:p>
                </w:tc>
              </w:sdtContent>
            </w:sdt>
            <w:tc>
              <w:tcPr>
                <w:tcW w:w="2416"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16,728,633.00</w:t>
                </w:r>
              </w:p>
            </w:tc>
            <w:tc>
              <w:tcPr>
                <w:tcW w:w="2131"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6,314,537.40</w:t>
                </w:r>
              </w:p>
            </w:tc>
            <w:tc>
              <w:tcPr>
                <w:tcW w:w="2194" w:type="dxa"/>
                <w:tcBorders>
                  <w:top w:val="single" w:color="auto" w:sz="4" w:space="0"/>
                  <w:left w:val="single" w:color="auto" w:sz="4" w:space="0"/>
                  <w:bottom w:val="single" w:color="auto" w:sz="4" w:space="0"/>
                  <w:right w:val="single" w:color="auto" w:sz="4" w:space="0"/>
                </w:tcBorders>
              </w:tcPr>
              <w:p>
                <w:pPr>
                  <w:jc w:val="right"/>
                  <w:rPr>
                    <w:rFonts w:hint="eastAsia" w:eastAsia="宋体"/>
                    <w:szCs w:val="21"/>
                    <w:lang w:eastAsia="zh-CN"/>
                  </w:rPr>
                </w:pPr>
                <w:r>
                  <w:rPr>
                    <w:rFonts w:hint="eastAsia"/>
                    <w:szCs w:val="21"/>
                    <w:lang w:val="en-US" w:eastAsia="zh-CN"/>
                  </w:rPr>
                  <w:t>37.75</w:t>
                </w:r>
              </w:p>
            </w:tc>
          </w:tr>
        </w:tbl>
        <w:p/>
        <w:p>
          <w:r>
            <w:rPr>
              <w:rFonts w:hint="eastAsia"/>
            </w:rPr>
            <w:t>确定该组合依据的</w:t>
          </w:r>
          <w:r>
            <w:t>说明：</w:t>
          </w:r>
        </w:p>
        <w:sdt>
          <w:sdtPr>
            <w:alias w:val="按账龄分析法计提坏账准备的其他应收款确定该组合依据的说明"/>
            <w:tag w:val="_GBC_418c017cfb474f3393d9a2dabffc01f9"/>
            <w:id w:val="6774498"/>
            <w:lock w:val="sdtLocked"/>
          </w:sdtPr>
          <w:sdtContent>
            <w:p>
              <w:r>
                <w:t>采用账龄分析法计提坏账准备主要是基于相同账龄具有相类似信用风险假设。</w:t>
              </w:r>
            </w:p>
          </w:sdtContent>
        </w:sdt>
        <w:p>
          <w:pPr>
            <w:rPr>
              <w:szCs w:val="21"/>
            </w:rPr>
          </w:pPr>
        </w:p>
      </w:sdtContent>
    </w:sdt>
    <w:sdt>
      <w:sdtPr>
        <w:rPr>
          <w:rFonts w:hint="eastAsia"/>
          <w:szCs w:val="21"/>
        </w:rPr>
        <w:alias w:val="模块:组合中，采用余额百分比法计提坏账准备的其他应收账款"/>
        <w:tag w:val="_SEC_a07685ad257048a2befc6a64767d0c99"/>
        <w:id w:val="6774501"/>
        <w:lock w:val="sdtLocked"/>
        <w:placeholder>
          <w:docPart w:val="GBC22222222222222222222222222222"/>
        </w:placeholder>
      </w:sdtPr>
      <w:sdtEndPr>
        <w:rPr>
          <w:rFonts w:hint="eastAsia"/>
          <w:szCs w:val="21"/>
        </w:rPr>
      </w:sdtEndPr>
      <w:sdtContent>
        <w:p>
          <w:pPr>
            <w:rPr>
              <w:szCs w:val="21"/>
            </w:rPr>
          </w:pPr>
          <w:r>
            <w:rPr>
              <w:rFonts w:hint="eastAsia"/>
              <w:szCs w:val="21"/>
            </w:rPr>
            <w:t>组合中，采用余额百分比法计提坏账准备的其他应收款：</w:t>
          </w:r>
        </w:p>
        <w:sdt>
          <w:sdtPr>
            <w:rPr>
              <w:rFonts w:hint="eastAsia"/>
              <w:szCs w:val="21"/>
            </w:rPr>
            <w:alias w:val="是否适用：组合中，采用余额百分比法计提坏账准备的其他应收账款[双击切换]"/>
            <w:tag w:val="_GBC_1cf2c269d388495b8508d852a1d07b35"/>
            <w:id w:val="6774500"/>
            <w:lock w:val="sdtContentLocked"/>
            <w:placeholder>
              <w:docPart w:val="GBC22222222222222222222222222222"/>
            </w:placeholder>
          </w:sdtPr>
          <w:sdtEndPr>
            <w:rPr>
              <w:rFonts w:hint="eastAsia"/>
              <w:szCs w:val="21"/>
            </w:rPr>
          </w:sdtEndPr>
          <w:sdtContent>
            <w:p>
              <w:pPr>
                <w:tabs>
                  <w:tab w:val="left" w:pos="9720"/>
                </w:tabs>
                <w:ind w:right="-1413" w:rightChars="-673"/>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hint="eastAsia"/>
          <w:szCs w:val="21"/>
        </w:rPr>
        <w:alias w:val="模块:组合中，采用其他方法计提坏账准备的其他应收账款"/>
        <w:tag w:val="_SEC_a2ff91a588514fc898e7c1a04b0d3ff6"/>
        <w:id w:val="6774503"/>
        <w:lock w:val="sdtLocked"/>
        <w:placeholder>
          <w:docPart w:val="GBC22222222222222222222222222222"/>
        </w:placeholder>
      </w:sdtPr>
      <w:sdtEndPr>
        <w:rPr>
          <w:rFonts w:hint="eastAsia"/>
          <w:szCs w:val="21"/>
        </w:rPr>
      </w:sdtEndPr>
      <w:sdtContent>
        <w:p>
          <w:pPr>
            <w:tabs>
              <w:tab w:val="left" w:pos="360"/>
              <w:tab w:val="left" w:pos="9720"/>
            </w:tabs>
            <w:ind w:right="-1413" w:rightChars="-673"/>
            <w:rPr>
              <w:szCs w:val="21"/>
            </w:rPr>
          </w:pPr>
          <w:r>
            <w:rPr>
              <w:rFonts w:hint="eastAsia"/>
              <w:szCs w:val="21"/>
            </w:rPr>
            <w:t>组合中，采用其他方法计提坏账准备的其他应收款：</w:t>
          </w:r>
        </w:p>
        <w:sdt>
          <w:sdtPr>
            <w:rPr>
              <w:szCs w:val="21"/>
            </w:rPr>
            <w:alias w:val="是否适用：组合中，采用其他方法计提坏账准备的其他应收账款[双击切换]"/>
            <w:tag w:val="_GBC_c2784da4e28e4630be8b61cd3caa5675"/>
            <w:id w:val="6774502"/>
            <w:lock w:val="sdtContentLocked"/>
            <w:placeholder>
              <w:docPart w:val="GBC22222222222222222222222222222"/>
            </w:placeholder>
          </w:sdtPr>
          <w:sdtEndPr>
            <w:rPr>
              <w:szCs w:val="21"/>
            </w:rPr>
          </w:sdtEndPr>
          <w:sdtContent>
            <w:p>
              <w:pPr>
                <w:tabs>
                  <w:tab w:val="left" w:pos="360"/>
                  <w:tab w:val="left" w:pos="9720"/>
                </w:tabs>
                <w:ind w:right="-1413" w:rightChars="-673"/>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sdt>
      <w:sdtPr>
        <w:rPr>
          <w:rFonts w:ascii="宋体" w:hAnsi="宋体" w:cs="宋体"/>
          <w:b w:val="0"/>
          <w:bCs w:val="0"/>
          <w:kern w:val="0"/>
          <w:szCs w:val="24"/>
        </w:rPr>
        <w:alias w:val="模块:本期转回或收回情况"/>
        <w:tag w:val="_SEC_69ce214178c445b0b28086441d79c08c"/>
        <w:id w:val="6774507"/>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3"/>
              <w:numId w:val="72"/>
            </w:numPr>
            <w:tabs>
              <w:tab w:val="left" w:pos="588"/>
            </w:tabs>
          </w:pPr>
          <w:r>
            <w:rPr>
              <w:rFonts w:hint="eastAsia"/>
            </w:rPr>
            <w:t>本期计提、收回或转回的坏账准备情况：</w:t>
          </w:r>
        </w:p>
        <w:p>
          <w:r>
            <w:rPr>
              <w:rFonts w:hint="eastAsia"/>
            </w:rPr>
            <w:t>本期计提坏账准备金额</w:t>
          </w:r>
          <w:sdt>
            <w:sdtPr>
              <w:rPr>
                <w:rFonts w:hint="eastAsia"/>
              </w:rPr>
              <w:alias w:val="其他应收款计提坏账准备金额"/>
              <w:tag w:val="_GBC_8bc7251f70b544b29259305c4b10ed6f"/>
              <w:id w:val="6774504"/>
              <w:lock w:val="sdtLocked"/>
              <w:placeholder>
                <w:docPart w:val="GBC22222222222222222222222222222"/>
              </w:placeholder>
            </w:sdtPr>
            <w:sdtEndPr>
              <w:rPr>
                <w:rFonts w:hint="eastAsia"/>
              </w:rPr>
            </w:sdtEndPr>
            <w:sdtContent>
              <w:r>
                <w:t>489,420.77</w:t>
              </w:r>
            </w:sdtContent>
          </w:sdt>
          <w:r>
            <w:t>元；本期收回或转回坏账准备金额</w:t>
          </w:r>
          <w:sdt>
            <w:sdtPr>
              <w:alias w:val="其他应收款收回或转回坏账准备金额"/>
              <w:tag w:val="_GBC_65aac44547c243af980de264562c52fe"/>
              <w:id w:val="6774505"/>
              <w:lock w:val="sdtLocked"/>
              <w:placeholder>
                <w:docPart w:val="GBC22222222222222222222222222222"/>
              </w:placeholder>
            </w:sdtPr>
            <w:sdtContent>
              <w:r>
                <w:rPr>
                  <w:rFonts w:hint="eastAsia"/>
                </w:rPr>
                <w:t>0</w:t>
              </w:r>
            </w:sdtContent>
          </w:sdt>
          <w:r>
            <w:t>元。</w:t>
          </w:r>
        </w:p>
        <w:p>
          <w:r>
            <w:rPr>
              <w:rFonts w:hint="eastAsia"/>
            </w:rPr>
            <w:t>其中本期坏账准备转回或收回金额重要的：</w:t>
          </w:r>
        </w:p>
        <w:sdt>
          <w:sdtPr>
            <w:alias w:val="是否适用：其中本期其他应收账款坏账准备收回或转回金额重要的[双击切换]"/>
            <w:tag w:val="_GBC_143b0b33085a4425896c014ba4503edc"/>
            <w:id w:val="6774506"/>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cs="宋体" w:asciiTheme="minorHAnsi" w:hAnsiTheme="minorHAnsi"/>
          <w:b w:val="0"/>
          <w:bCs w:val="0"/>
          <w:kern w:val="0"/>
          <w:szCs w:val="22"/>
        </w:rPr>
        <w:alias w:val="模块:本报告期实际核销的其他应收款情况"/>
        <w:tag w:val="_SEC_41a6e023af3e46b9a7c491c4e27287af"/>
        <w:id w:val="6774529"/>
        <w:lock w:val="sdtLocked"/>
        <w:placeholder>
          <w:docPart w:val="GBC22222222222222222222222222222"/>
        </w:placeholder>
      </w:sdtPr>
      <w:sdtEndPr>
        <w:rPr>
          <w:rFonts w:hint="eastAsia" w:ascii="Times New Roman" w:hAnsi="Times New Roman" w:cs="Times New Roman"/>
          <w:b w:val="0"/>
          <w:bCs w:val="0"/>
          <w:kern w:val="2"/>
          <w:szCs w:val="24"/>
        </w:rPr>
      </w:sdtEndPr>
      <w:sdtContent>
        <w:p>
          <w:pPr>
            <w:pStyle w:val="5"/>
            <w:numPr>
              <w:ilvl w:val="3"/>
              <w:numId w:val="72"/>
            </w:numPr>
            <w:tabs>
              <w:tab w:val="left" w:pos="588"/>
            </w:tabs>
          </w:pPr>
          <w:r>
            <w:rPr>
              <w:rFonts w:hint="eastAsia"/>
            </w:rPr>
            <w:t>本期实际核销的其他应收款情况</w:t>
          </w:r>
        </w:p>
        <w:sdt>
          <w:sdtPr>
            <w:alias w:val="是否适用：本期实际核销的其他应收款情况[双击切换]"/>
            <w:tag w:val="_GBC_2ce86125d6b94b148fa674141e6497b1"/>
            <w:id w:val="677450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本报告期实际核销的其他应收款项情况"/>
              <w:tag w:val="_GBC_b44e35ef641b42dbb8431fa4625a2457"/>
              <w:id w:val="67745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本报告期实际核销的其他应收款项情况"/>
              <w:tag w:val="_GBC_5908d1cb324b4d60915517ea5537d0f4"/>
              <w:id w:val="67745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4430"/>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sdt>
              <w:sdtPr>
                <w:tag w:val="_PLD_37dfaf7051a145ae922646054d926a0e"/>
                <w:id w:val="6774511"/>
                <w:lock w:val="sdtLocked"/>
              </w:sdtPr>
              <w:sdtContent>
                <w:tc>
                  <w:tcPr>
                    <w:tcW w:w="4430" w:type="dxa"/>
                  </w:tcPr>
                  <w:p>
                    <w:pPr>
                      <w:ind w:right="73"/>
                      <w:jc w:val="center"/>
                      <w:rPr>
                        <w:szCs w:val="21"/>
                      </w:rPr>
                    </w:pPr>
                    <w:r>
                      <w:rPr>
                        <w:rFonts w:hint="eastAsia"/>
                        <w:szCs w:val="21"/>
                      </w:rPr>
                      <w:t>项目</w:t>
                    </w:r>
                  </w:p>
                </w:tc>
              </w:sdtContent>
            </w:sdt>
            <w:sdt>
              <w:sdtPr>
                <w:tag w:val="_PLD_57b56183aec749d9a0e8479977704a0b"/>
                <w:id w:val="6774512"/>
                <w:lock w:val="sdtLocked"/>
              </w:sdtPr>
              <w:sdtContent>
                <w:tc>
                  <w:tcPr>
                    <w:tcW w:w="4465" w:type="dxa"/>
                  </w:tcPr>
                  <w:p>
                    <w:pPr>
                      <w:ind w:right="73"/>
                      <w:jc w:val="center"/>
                      <w:rPr>
                        <w:szCs w:val="21"/>
                      </w:rPr>
                    </w:pPr>
                    <w:r>
                      <w:rPr>
                        <w:rFonts w:hint="eastAsia"/>
                        <w:szCs w:val="21"/>
                      </w:rPr>
                      <w:t>核销金额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sdt>
              <w:sdtPr>
                <w:tag w:val="_PLD_df14342767154a19a45acd79974daeeb"/>
                <w:id w:val="6774513"/>
                <w:lock w:val="sdtLocked"/>
              </w:sdtPr>
              <w:sdtContent>
                <w:tc>
                  <w:tcPr>
                    <w:tcW w:w="4430" w:type="dxa"/>
                  </w:tcPr>
                  <w:p>
                    <w:pPr>
                      <w:ind w:right="73"/>
                      <w:rPr>
                        <w:szCs w:val="21"/>
                      </w:rPr>
                    </w:pPr>
                    <w:r>
                      <w:rPr>
                        <w:rFonts w:hint="eastAsia"/>
                        <w:szCs w:val="21"/>
                      </w:rPr>
                      <w:t>实际核销的其他应收款</w:t>
                    </w:r>
                  </w:p>
                </w:tc>
              </w:sdtContent>
            </w:sdt>
            <w:tc>
              <w:tcPr>
                <w:tcW w:w="4465" w:type="dxa"/>
              </w:tcPr>
              <w:p>
                <w:pPr>
                  <w:ind w:right="73"/>
                  <w:jc w:val="right"/>
                  <w:rPr>
                    <w:szCs w:val="21"/>
                  </w:rPr>
                </w:pPr>
                <w:r>
                  <w:rPr>
                    <w:rFonts w:hint="eastAsia"/>
                    <w:szCs w:val="21"/>
                  </w:rPr>
                  <w:t>4,574,134.49</w:t>
                </w:r>
              </w:p>
            </w:tc>
          </w:tr>
        </w:tbl>
        <w:p>
          <w:pPr>
            <w:rPr>
              <w:szCs w:val="21"/>
            </w:rPr>
          </w:pPr>
        </w:p>
        <w:p>
          <w:pPr>
            <w:rPr>
              <w:szCs w:val="21"/>
            </w:rPr>
          </w:pPr>
          <w:r>
            <w:rPr>
              <w:rFonts w:hint="eastAsia"/>
              <w:szCs w:val="21"/>
            </w:rPr>
            <w:t>其中重要的其他应收款核销情况：</w:t>
          </w:r>
        </w:p>
        <w:sdt>
          <w:sdtPr>
            <w:rPr>
              <w:szCs w:val="21"/>
            </w:rPr>
            <w:alias w:val="是否适用：其中重要的其他应收款核销情况[双击切换]"/>
            <w:tag w:val="_GBC_6f3b8f9a05dc4f2082e4ad20a1930006"/>
            <w:id w:val="6774514"/>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jc w:val="right"/>
            <w:rPr>
              <w:szCs w:val="21"/>
            </w:rPr>
          </w:pPr>
          <w:r>
            <w:rPr>
              <w:rFonts w:hint="eastAsia"/>
              <w:szCs w:val="21"/>
            </w:rPr>
            <w:t>单位：</w:t>
          </w:r>
          <w:sdt>
            <w:sdtPr>
              <w:rPr>
                <w:rFonts w:hint="eastAsia"/>
                <w:szCs w:val="21"/>
              </w:rPr>
              <w:alias w:val="单位：财务附注：重要的其他应收账款核销情况"/>
              <w:tag w:val="_GBC_2ba624a41490414fa1cf15c47aa464b7"/>
              <w:id w:val="677451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重要的其他应收账款核销情况"/>
              <w:tag w:val="_GBC_9fb7c57030f54bb4b1a264ab6cc1497d"/>
              <w:id w:val="67745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58"/>
            <w:gridCol w:w="1296"/>
            <w:gridCol w:w="1558"/>
            <w:gridCol w:w="155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2184ea9a5dbf45c4ba014b2f6fa3fc93"/>
                <w:id w:val="6774517"/>
                <w:lock w:val="sdtLocked"/>
              </w:sdtPr>
              <w:sdtEndPr>
                <w:rPr>
                  <w:sz w:val="18"/>
                  <w:szCs w:val="18"/>
                </w:rPr>
              </w:sdtEndPr>
              <w:sdtContent>
                <w:tc>
                  <w:tcPr>
                    <w:tcW w:w="1951" w:type="dxa"/>
                    <w:shd w:val="clear" w:color="auto" w:fill="auto"/>
                    <w:vAlign w:val="center"/>
                  </w:tcPr>
                  <w:p>
                    <w:pPr>
                      <w:jc w:val="center"/>
                      <w:rPr>
                        <w:sz w:val="18"/>
                        <w:szCs w:val="18"/>
                      </w:rPr>
                    </w:pPr>
                    <w:r>
                      <w:rPr>
                        <w:sz w:val="18"/>
                        <w:szCs w:val="18"/>
                      </w:rPr>
                      <w:t>单位名称</w:t>
                    </w:r>
                  </w:p>
                </w:tc>
              </w:sdtContent>
            </w:sdt>
            <w:sdt>
              <w:sdtPr>
                <w:rPr>
                  <w:sz w:val="18"/>
                  <w:szCs w:val="18"/>
                </w:rPr>
                <w:tag w:val="_PLD_9b69402b5fdd4a91844568505c88f991"/>
                <w:id w:val="6774518"/>
                <w:lock w:val="sdtLocked"/>
              </w:sdtPr>
              <w:sdtEndPr>
                <w:rPr>
                  <w:sz w:val="18"/>
                  <w:szCs w:val="18"/>
                </w:rPr>
              </w:sdtEndPr>
              <w:sdtContent>
                <w:tc>
                  <w:tcPr>
                    <w:tcW w:w="1258" w:type="dxa"/>
                    <w:shd w:val="clear" w:color="auto" w:fill="auto"/>
                    <w:vAlign w:val="center"/>
                  </w:tcPr>
                  <w:p>
                    <w:pPr>
                      <w:jc w:val="center"/>
                      <w:rPr>
                        <w:sz w:val="18"/>
                        <w:szCs w:val="18"/>
                      </w:rPr>
                    </w:pPr>
                    <w:r>
                      <w:rPr>
                        <w:sz w:val="18"/>
                        <w:szCs w:val="18"/>
                      </w:rPr>
                      <w:t>其他应收款性质</w:t>
                    </w:r>
                  </w:p>
                </w:tc>
              </w:sdtContent>
            </w:sdt>
            <w:sdt>
              <w:sdtPr>
                <w:rPr>
                  <w:sz w:val="18"/>
                  <w:szCs w:val="18"/>
                </w:rPr>
                <w:tag w:val="_PLD_6eae3ef7bd3543d58882285508f9ec59"/>
                <w:id w:val="6774519"/>
                <w:lock w:val="sdtLocked"/>
              </w:sdtPr>
              <w:sdtEndPr>
                <w:rPr>
                  <w:sz w:val="18"/>
                  <w:szCs w:val="18"/>
                </w:rPr>
              </w:sdtEndPr>
              <w:sdtContent>
                <w:tc>
                  <w:tcPr>
                    <w:tcW w:w="1296" w:type="dxa"/>
                    <w:tcBorders>
                      <w:bottom w:val="single" w:color="auto" w:sz="4" w:space="0"/>
                    </w:tcBorders>
                    <w:shd w:val="clear" w:color="auto" w:fill="auto"/>
                    <w:vAlign w:val="center"/>
                  </w:tcPr>
                  <w:p>
                    <w:pPr>
                      <w:jc w:val="center"/>
                      <w:rPr>
                        <w:sz w:val="18"/>
                        <w:szCs w:val="18"/>
                      </w:rPr>
                    </w:pPr>
                    <w:r>
                      <w:rPr>
                        <w:rFonts w:hint="eastAsia"/>
                        <w:sz w:val="18"/>
                        <w:szCs w:val="18"/>
                      </w:rPr>
                      <w:t>核</w:t>
                    </w:r>
                    <w:r>
                      <w:rPr>
                        <w:sz w:val="18"/>
                        <w:szCs w:val="18"/>
                      </w:rPr>
                      <w:t>销金额</w:t>
                    </w:r>
                  </w:p>
                </w:tc>
              </w:sdtContent>
            </w:sdt>
            <w:sdt>
              <w:sdtPr>
                <w:rPr>
                  <w:sz w:val="18"/>
                  <w:szCs w:val="18"/>
                </w:rPr>
                <w:tag w:val="_PLD_787c4e3814d04c798ccca9025bcaff47"/>
                <w:id w:val="6774520"/>
                <w:lock w:val="sdtLocked"/>
              </w:sdtPr>
              <w:sdtEndPr>
                <w:rPr>
                  <w:sz w:val="18"/>
                  <w:szCs w:val="18"/>
                </w:rPr>
              </w:sdtEndPr>
              <w:sdtContent>
                <w:tc>
                  <w:tcPr>
                    <w:tcW w:w="1558" w:type="dxa"/>
                    <w:shd w:val="clear" w:color="auto" w:fill="auto"/>
                    <w:vAlign w:val="center"/>
                  </w:tcPr>
                  <w:p>
                    <w:pPr>
                      <w:jc w:val="center"/>
                      <w:rPr>
                        <w:sz w:val="18"/>
                        <w:szCs w:val="18"/>
                      </w:rPr>
                    </w:pPr>
                    <w:r>
                      <w:rPr>
                        <w:rFonts w:hint="eastAsia"/>
                        <w:sz w:val="18"/>
                        <w:szCs w:val="18"/>
                      </w:rPr>
                      <w:t>核</w:t>
                    </w:r>
                    <w:r>
                      <w:rPr>
                        <w:sz w:val="18"/>
                        <w:szCs w:val="18"/>
                      </w:rPr>
                      <w:t>销原因</w:t>
                    </w:r>
                  </w:p>
                </w:tc>
              </w:sdtContent>
            </w:sdt>
            <w:sdt>
              <w:sdtPr>
                <w:rPr>
                  <w:sz w:val="18"/>
                  <w:szCs w:val="18"/>
                </w:rPr>
                <w:tag w:val="_PLD_0e166e7f1ab94190b8207226bc7e6cb5"/>
                <w:id w:val="6774521"/>
                <w:lock w:val="sdtLocked"/>
              </w:sdtPr>
              <w:sdtEndPr>
                <w:rPr>
                  <w:sz w:val="18"/>
                  <w:szCs w:val="18"/>
                </w:rPr>
              </w:sdtEndPr>
              <w:sdtContent>
                <w:tc>
                  <w:tcPr>
                    <w:tcW w:w="1558" w:type="dxa"/>
                    <w:shd w:val="clear" w:color="auto" w:fill="auto"/>
                    <w:vAlign w:val="center"/>
                  </w:tcPr>
                  <w:p>
                    <w:pPr>
                      <w:jc w:val="center"/>
                      <w:rPr>
                        <w:sz w:val="18"/>
                        <w:szCs w:val="18"/>
                      </w:rPr>
                    </w:pPr>
                    <w:r>
                      <w:rPr>
                        <w:rFonts w:hint="eastAsia"/>
                        <w:sz w:val="18"/>
                        <w:szCs w:val="18"/>
                      </w:rPr>
                      <w:t>履行的核销程序</w:t>
                    </w:r>
                  </w:p>
                </w:tc>
              </w:sdtContent>
            </w:sdt>
            <w:sdt>
              <w:sdtPr>
                <w:rPr>
                  <w:sz w:val="18"/>
                  <w:szCs w:val="18"/>
                </w:rPr>
                <w:tag w:val="_PLD_5ddd0b419ba1467c85c3578b7ef32935"/>
                <w:id w:val="6774522"/>
                <w:lock w:val="sdtLocked"/>
              </w:sdtPr>
              <w:sdtEndPr>
                <w:rPr>
                  <w:sz w:val="18"/>
                  <w:szCs w:val="18"/>
                </w:rPr>
              </w:sdtEndPr>
              <w:sdtContent>
                <w:tc>
                  <w:tcPr>
                    <w:tcW w:w="1428" w:type="dxa"/>
                    <w:shd w:val="clear" w:color="auto" w:fill="auto"/>
                    <w:vAlign w:val="center"/>
                  </w:tcPr>
                  <w:p>
                    <w:pPr>
                      <w:jc w:val="center"/>
                      <w:rPr>
                        <w:sz w:val="18"/>
                        <w:szCs w:val="18"/>
                      </w:rPr>
                    </w:pPr>
                    <w:r>
                      <w:rPr>
                        <w:rFonts w:hint="eastAsia"/>
                        <w:sz w:val="18"/>
                        <w:szCs w:val="18"/>
                      </w:rPr>
                      <w:t>款项</w:t>
                    </w:r>
                    <w:r>
                      <w:rPr>
                        <w:sz w:val="18"/>
                        <w:szCs w:val="18"/>
                      </w:rPr>
                      <w:t>是否</w:t>
                    </w:r>
                    <w:r>
                      <w:rPr>
                        <w:rFonts w:hint="eastAsia"/>
                        <w:sz w:val="18"/>
                        <w:szCs w:val="18"/>
                      </w:rPr>
                      <w:t>由</w:t>
                    </w:r>
                    <w:r>
                      <w:rPr>
                        <w:sz w:val="18"/>
                        <w:szCs w:val="18"/>
                      </w:rPr>
                      <w:t>关联交易产生</w:t>
                    </w:r>
                  </w:p>
                </w:tc>
              </w:sdtContent>
            </w:sdt>
          </w:tr>
          <w:sdt>
            <w:sdtPr>
              <w:rPr>
                <w:sz w:val="18"/>
                <w:szCs w:val="18"/>
              </w:rPr>
              <w:alias w:val="重要的其他应收账款核销明细"/>
              <w:tag w:val="_TUP_21eb9206f91645fa918864d21c08f6c2"/>
              <w:id w:val="677452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rPr>
                        <w:sz w:val="18"/>
                        <w:szCs w:val="18"/>
                      </w:rPr>
                    </w:pPr>
                    <w:r>
                      <w:rPr>
                        <w:sz w:val="18"/>
                        <w:szCs w:val="18"/>
                      </w:rPr>
                      <w:t>大通基础设施建设发展（梧州）有限公司</w:t>
                    </w:r>
                  </w:p>
                </w:tc>
                <w:tc>
                  <w:tcPr>
                    <w:tcW w:w="1258" w:type="dxa"/>
                    <w:tcBorders>
                      <w:bottom w:val="single" w:color="auto" w:sz="4" w:space="0"/>
                    </w:tcBorders>
                    <w:shd w:val="clear" w:color="auto" w:fill="auto"/>
                    <w:vAlign w:val="center"/>
                  </w:tcPr>
                  <w:p>
                    <w:pPr>
                      <w:jc w:val="center"/>
                      <w:rPr>
                        <w:sz w:val="18"/>
                        <w:szCs w:val="18"/>
                      </w:rPr>
                    </w:pPr>
                    <w:r>
                      <w:rPr>
                        <w:rFonts w:hint="eastAsia"/>
                        <w:sz w:val="18"/>
                        <w:szCs w:val="18"/>
                      </w:rPr>
                      <w:t>货款</w:t>
                    </w:r>
                  </w:p>
                </w:tc>
                <w:tc>
                  <w:tcPr>
                    <w:tcW w:w="1296" w:type="dxa"/>
                    <w:tcBorders>
                      <w:bottom w:val="single" w:color="auto" w:sz="4" w:space="0"/>
                    </w:tcBorders>
                    <w:shd w:val="clear" w:color="auto" w:fill="auto"/>
                    <w:vAlign w:val="center"/>
                  </w:tcPr>
                  <w:p>
                    <w:pPr>
                      <w:jc w:val="right"/>
                      <w:rPr>
                        <w:sz w:val="18"/>
                        <w:szCs w:val="18"/>
                      </w:rPr>
                    </w:pPr>
                    <w:r>
                      <w:rPr>
                        <w:sz w:val="18"/>
                        <w:szCs w:val="18"/>
                      </w:rPr>
                      <w:t>4,363,861.66</w:t>
                    </w:r>
                  </w:p>
                </w:tc>
                <w:tc>
                  <w:tcPr>
                    <w:tcW w:w="1558" w:type="dxa"/>
                    <w:tcBorders>
                      <w:bottom w:val="single" w:color="auto" w:sz="4" w:space="0"/>
                    </w:tcBorders>
                    <w:shd w:val="clear" w:color="auto" w:fill="auto"/>
                  </w:tcPr>
                  <w:p>
                    <w:pPr>
                      <w:rPr>
                        <w:sz w:val="18"/>
                        <w:szCs w:val="18"/>
                      </w:rPr>
                    </w:pPr>
                    <w:r>
                      <w:rPr>
                        <w:rFonts w:hint="eastAsia"/>
                        <w:sz w:val="18"/>
                        <w:szCs w:val="18"/>
                      </w:rPr>
                      <w:t>债务人工商营业执照已被吊销</w:t>
                    </w:r>
                  </w:p>
                </w:tc>
                <w:tc>
                  <w:tcPr>
                    <w:tcW w:w="1558" w:type="dxa"/>
                    <w:tcBorders>
                      <w:bottom w:val="single" w:color="auto" w:sz="4" w:space="0"/>
                    </w:tcBorders>
                    <w:shd w:val="clear" w:color="auto" w:fill="auto"/>
                    <w:vAlign w:val="center"/>
                  </w:tcPr>
                  <w:p>
                    <w:pPr>
                      <w:jc w:val="center"/>
                      <w:rPr>
                        <w:sz w:val="18"/>
                        <w:szCs w:val="18"/>
                      </w:rPr>
                    </w:pPr>
                    <w:r>
                      <w:rPr>
                        <w:rFonts w:hint="eastAsia"/>
                        <w:sz w:val="18"/>
                        <w:szCs w:val="18"/>
                      </w:rPr>
                      <w:t>经董事会批准</w:t>
                    </w:r>
                  </w:p>
                </w:tc>
                <w:sdt>
                  <w:sdtPr>
                    <w:rPr>
                      <w:sz w:val="18"/>
                      <w:szCs w:val="18"/>
                    </w:rPr>
                    <w:alias w:val="重要的其他应收账款核销明细-款项是否因关联交易产生"/>
                    <w:tag w:val="_GBC_81c63a61e8804e41a883dae7a53c133c"/>
                    <w:id w:val="6774523"/>
                    <w:lock w:val="sdtLocked"/>
                    <w:comboBox>
                      <w:listItem w:displayText="是" w:value="是"/>
                      <w:listItem w:displayText="否" w:value="否"/>
                    </w:comboBox>
                  </w:sdtPr>
                  <w:sdtEndPr>
                    <w:rPr>
                      <w:sz w:val="18"/>
                      <w:szCs w:val="18"/>
                    </w:rPr>
                  </w:sdtEndPr>
                  <w:sdtContent>
                    <w:tc>
                      <w:tcPr>
                        <w:tcW w:w="1428" w:type="dxa"/>
                        <w:tcBorders>
                          <w:bottom w:val="single" w:color="auto" w:sz="4" w:space="0"/>
                        </w:tcBorders>
                        <w:shd w:val="clear" w:color="auto" w:fill="auto"/>
                        <w:vAlign w:val="center"/>
                      </w:tcPr>
                      <w:p>
                        <w:pPr>
                          <w:jc w:val="center"/>
                          <w:rPr>
                            <w:sz w:val="18"/>
                            <w:szCs w:val="18"/>
                          </w:rPr>
                        </w:pPr>
                        <w:r>
                          <w:rPr>
                            <w:rFonts w:hint="eastAsia"/>
                            <w:sz w:val="18"/>
                            <w:szCs w:val="18"/>
                          </w:rPr>
                          <w:t>否</w:t>
                        </w:r>
                      </w:p>
                    </w:tc>
                  </w:sdtContent>
                </w:sdt>
              </w:tr>
            </w:sdtContent>
          </w:sdt>
          <w:sdt>
            <w:sdtPr>
              <w:rPr>
                <w:sz w:val="18"/>
                <w:szCs w:val="18"/>
              </w:rPr>
              <w:alias w:val="重要的其他应收账款核销明细"/>
              <w:tag w:val="_TUP_21eb9206f91645fa918864d21c08f6c2"/>
              <w:id w:val="677452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rPr>
                        <w:sz w:val="18"/>
                        <w:szCs w:val="18"/>
                      </w:rPr>
                    </w:pPr>
                    <w:r>
                      <w:rPr>
                        <w:sz w:val="18"/>
                        <w:szCs w:val="18"/>
                      </w:rPr>
                      <w:t>梁景武</w:t>
                    </w:r>
                  </w:p>
                </w:tc>
                <w:tc>
                  <w:tcPr>
                    <w:tcW w:w="1258" w:type="dxa"/>
                    <w:tcBorders>
                      <w:bottom w:val="single" w:color="auto" w:sz="4" w:space="0"/>
                    </w:tcBorders>
                    <w:shd w:val="clear" w:color="auto" w:fill="auto"/>
                    <w:vAlign w:val="center"/>
                  </w:tcPr>
                  <w:p>
                    <w:pPr>
                      <w:jc w:val="center"/>
                      <w:rPr>
                        <w:sz w:val="18"/>
                        <w:szCs w:val="18"/>
                      </w:rPr>
                    </w:pPr>
                    <w:r>
                      <w:rPr>
                        <w:rFonts w:hint="eastAsia"/>
                        <w:sz w:val="18"/>
                        <w:szCs w:val="18"/>
                      </w:rPr>
                      <w:t>货物赔款</w:t>
                    </w:r>
                  </w:p>
                </w:tc>
                <w:tc>
                  <w:tcPr>
                    <w:tcW w:w="1296" w:type="dxa"/>
                    <w:tcBorders>
                      <w:bottom w:val="single" w:color="auto" w:sz="4" w:space="0"/>
                    </w:tcBorders>
                    <w:shd w:val="clear" w:color="auto" w:fill="auto"/>
                    <w:vAlign w:val="center"/>
                  </w:tcPr>
                  <w:p>
                    <w:pPr>
                      <w:jc w:val="right"/>
                      <w:rPr>
                        <w:sz w:val="18"/>
                        <w:szCs w:val="18"/>
                      </w:rPr>
                    </w:pPr>
                    <w:r>
                      <w:rPr>
                        <w:sz w:val="18"/>
                        <w:szCs w:val="18"/>
                      </w:rPr>
                      <w:t>210,272.83</w:t>
                    </w:r>
                  </w:p>
                </w:tc>
                <w:tc>
                  <w:tcPr>
                    <w:tcW w:w="1558" w:type="dxa"/>
                    <w:tcBorders>
                      <w:bottom w:val="single" w:color="auto" w:sz="4" w:space="0"/>
                    </w:tcBorders>
                    <w:shd w:val="clear" w:color="auto" w:fill="auto"/>
                  </w:tcPr>
                  <w:p>
                    <w:pPr>
                      <w:rPr>
                        <w:sz w:val="18"/>
                        <w:szCs w:val="18"/>
                      </w:rPr>
                    </w:pPr>
                    <w:r>
                      <w:rPr>
                        <w:rFonts w:hint="eastAsia"/>
                        <w:sz w:val="18"/>
                        <w:szCs w:val="18"/>
                      </w:rPr>
                      <w:t>经济纠纷赔款，债务人无力偿还</w:t>
                    </w:r>
                  </w:p>
                </w:tc>
                <w:tc>
                  <w:tcPr>
                    <w:tcW w:w="1558" w:type="dxa"/>
                    <w:tcBorders>
                      <w:bottom w:val="single" w:color="auto" w:sz="4" w:space="0"/>
                    </w:tcBorders>
                    <w:shd w:val="clear" w:color="auto" w:fill="auto"/>
                    <w:vAlign w:val="center"/>
                  </w:tcPr>
                  <w:p>
                    <w:pPr>
                      <w:jc w:val="center"/>
                      <w:rPr>
                        <w:sz w:val="18"/>
                        <w:szCs w:val="18"/>
                      </w:rPr>
                    </w:pPr>
                    <w:r>
                      <w:rPr>
                        <w:rFonts w:hint="eastAsia"/>
                        <w:sz w:val="18"/>
                        <w:szCs w:val="18"/>
                      </w:rPr>
                      <w:t>经董事会批准</w:t>
                    </w:r>
                  </w:p>
                </w:tc>
                <w:sdt>
                  <w:sdtPr>
                    <w:rPr>
                      <w:sz w:val="18"/>
                      <w:szCs w:val="18"/>
                    </w:rPr>
                    <w:alias w:val="重要的其他应收账款核销明细-款项是否因关联交易产生"/>
                    <w:tag w:val="_GBC_81c63a61e8804e41a883dae7a53c133c"/>
                    <w:id w:val="6774525"/>
                    <w:lock w:val="sdtLocked"/>
                    <w:comboBox>
                      <w:listItem w:displayText="是" w:value="是"/>
                      <w:listItem w:displayText="否" w:value="否"/>
                    </w:comboBox>
                  </w:sdtPr>
                  <w:sdtEndPr>
                    <w:rPr>
                      <w:sz w:val="18"/>
                      <w:szCs w:val="18"/>
                    </w:rPr>
                  </w:sdtEndPr>
                  <w:sdtContent>
                    <w:tc>
                      <w:tcPr>
                        <w:tcW w:w="1428" w:type="dxa"/>
                        <w:tcBorders>
                          <w:bottom w:val="single" w:color="auto" w:sz="4" w:space="0"/>
                        </w:tcBorders>
                        <w:shd w:val="clear" w:color="auto" w:fill="auto"/>
                        <w:vAlign w:val="center"/>
                      </w:tcPr>
                      <w:p>
                        <w:pPr>
                          <w:jc w:val="center"/>
                          <w:rPr>
                            <w:sz w:val="18"/>
                            <w:szCs w:val="18"/>
                          </w:rPr>
                        </w:pPr>
                        <w:r>
                          <w:rPr>
                            <w:rFonts w:hint="eastAsia"/>
                            <w:sz w:val="18"/>
                            <w:szCs w:val="18"/>
                          </w:rPr>
                          <w:t>否</w:t>
                        </w:r>
                      </w:p>
                    </w:tc>
                  </w:sdtContent>
                </w:sdt>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9dc8f2fa6bce4ae39c8c5938d764a830"/>
                <w:id w:val="6774527"/>
                <w:lock w:val="sdtLocked"/>
              </w:sdtPr>
              <w:sdtEndPr>
                <w:rPr>
                  <w:sz w:val="18"/>
                  <w:szCs w:val="18"/>
                </w:rPr>
              </w:sdtEndPr>
              <w:sdtContent>
                <w:tc>
                  <w:tcPr>
                    <w:tcW w:w="1951" w:type="dxa"/>
                    <w:shd w:val="clear" w:color="auto" w:fill="auto"/>
                    <w:vAlign w:val="center"/>
                  </w:tcPr>
                  <w:p>
                    <w:pPr>
                      <w:jc w:val="center"/>
                      <w:rPr>
                        <w:sz w:val="18"/>
                        <w:szCs w:val="18"/>
                      </w:rPr>
                    </w:pPr>
                    <w:r>
                      <w:rPr>
                        <w:sz w:val="18"/>
                        <w:szCs w:val="18"/>
                      </w:rPr>
                      <w:t>合计</w:t>
                    </w:r>
                  </w:p>
                </w:tc>
              </w:sdtContent>
            </w:sdt>
            <w:tc>
              <w:tcPr>
                <w:tcW w:w="1258" w:type="dxa"/>
                <w:shd w:val="clear" w:color="auto" w:fill="auto"/>
              </w:tcPr>
              <w:p>
                <w:pPr>
                  <w:jc w:val="center"/>
                  <w:rPr>
                    <w:sz w:val="18"/>
                    <w:szCs w:val="18"/>
                  </w:rPr>
                </w:pPr>
                <w:r>
                  <w:rPr>
                    <w:rFonts w:hint="eastAsia"/>
                    <w:sz w:val="18"/>
                    <w:szCs w:val="18"/>
                  </w:rPr>
                  <w:t>/</w:t>
                </w:r>
              </w:p>
            </w:tc>
            <w:tc>
              <w:tcPr>
                <w:tcW w:w="1296" w:type="dxa"/>
                <w:shd w:val="clear" w:color="auto" w:fill="auto"/>
                <w:vAlign w:val="center"/>
              </w:tcPr>
              <w:p>
                <w:pPr>
                  <w:jc w:val="right"/>
                  <w:rPr>
                    <w:sz w:val="18"/>
                    <w:szCs w:val="18"/>
                  </w:rPr>
                </w:pPr>
                <w:r>
                  <w:rPr>
                    <w:sz w:val="18"/>
                    <w:szCs w:val="18"/>
                  </w:rPr>
                  <w:t>4,574,134.49</w:t>
                </w:r>
              </w:p>
            </w:tc>
            <w:tc>
              <w:tcPr>
                <w:tcW w:w="1558" w:type="dxa"/>
                <w:shd w:val="clear" w:color="auto" w:fill="auto"/>
              </w:tcPr>
              <w:p>
                <w:pPr>
                  <w:jc w:val="center"/>
                  <w:rPr>
                    <w:sz w:val="18"/>
                    <w:szCs w:val="18"/>
                  </w:rPr>
                </w:pPr>
                <w:r>
                  <w:rPr>
                    <w:rFonts w:hint="eastAsia"/>
                    <w:sz w:val="18"/>
                    <w:szCs w:val="18"/>
                  </w:rPr>
                  <w:t>/</w:t>
                </w:r>
              </w:p>
            </w:tc>
            <w:tc>
              <w:tcPr>
                <w:tcW w:w="1558" w:type="dxa"/>
                <w:shd w:val="clear" w:color="auto" w:fill="auto"/>
              </w:tcPr>
              <w:p>
                <w:pPr>
                  <w:jc w:val="center"/>
                  <w:rPr>
                    <w:sz w:val="18"/>
                    <w:szCs w:val="18"/>
                  </w:rPr>
                </w:pPr>
                <w:r>
                  <w:rPr>
                    <w:rFonts w:hint="eastAsia"/>
                    <w:sz w:val="18"/>
                    <w:szCs w:val="18"/>
                  </w:rPr>
                  <w:t>/</w:t>
                </w:r>
              </w:p>
            </w:tc>
            <w:tc>
              <w:tcPr>
                <w:tcW w:w="1428" w:type="dxa"/>
                <w:shd w:val="clear" w:color="auto" w:fill="auto"/>
              </w:tcPr>
              <w:p>
                <w:pPr>
                  <w:jc w:val="center"/>
                  <w:rPr>
                    <w:sz w:val="18"/>
                    <w:szCs w:val="18"/>
                  </w:rPr>
                </w:pPr>
                <w:r>
                  <w:rPr>
                    <w:rFonts w:hint="eastAsia"/>
                    <w:sz w:val="18"/>
                    <w:szCs w:val="18"/>
                  </w:rPr>
                  <w:t>/</w:t>
                </w:r>
              </w:p>
            </w:tc>
          </w:tr>
        </w:tbl>
        <w:p/>
        <w:p>
          <w:pPr>
            <w:snapToGrid w:val="0"/>
            <w:spacing w:line="240" w:lineRule="atLeast"/>
            <w:rPr>
              <w:b/>
              <w:bCs/>
              <w:szCs w:val="21"/>
            </w:rPr>
          </w:pPr>
          <w:r>
            <w:rPr>
              <w:rFonts w:hint="eastAsia"/>
              <w:szCs w:val="21"/>
            </w:rPr>
            <w:t>其他应收款核销说明：</w:t>
          </w:r>
        </w:p>
        <w:sdt>
          <w:sdtPr>
            <w:rPr>
              <w:szCs w:val="21"/>
            </w:rPr>
            <w:alias w:val="是否适用：其他应收款冲销坏帐明细的说明[双击切换]"/>
            <w:tag w:val="_GBC_c894606830c4440ba090ef98078b372b"/>
            <w:id w:val="6774528"/>
            <w:lock w:val="sdtContentLocked"/>
            <w:placeholder>
              <w:docPart w:val="GBC22222222222222222222222222222"/>
            </w:placeholder>
          </w:sdtPr>
          <w:sdtEndPr>
            <w:rPr>
              <w:szCs w:val="21"/>
            </w:rPr>
          </w:sdtEndPr>
          <w:sdtContent>
            <w:p>
              <w:pPr>
                <w:snapToGrid w:val="0"/>
                <w:spacing w:line="240" w:lineRule="atLeast"/>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sdtContent>
    </w:sdt>
    <w:sdt>
      <w:sdtPr>
        <w:rPr>
          <w:rFonts w:hint="eastAsia" w:ascii="宋体" w:hAnsi="宋体" w:cs="宋体"/>
          <w:b w:val="0"/>
          <w:bCs w:val="0"/>
          <w:kern w:val="0"/>
          <w:szCs w:val="24"/>
        </w:rPr>
        <w:alias w:val="模块:其他应收款按款项性质分类情况"/>
        <w:tag w:val="_SEC_8efe5956682a453f8d45e3b621bac05e"/>
        <w:id w:val="6774540"/>
        <w:lock w:val="sdtLocked"/>
        <w:placeholder>
          <w:docPart w:val="GBC22222222222222222222222222222"/>
        </w:placeholder>
      </w:sdtPr>
      <w:sdtEndPr>
        <w:rPr>
          <w:rFonts w:hint="default" w:ascii="宋体" w:hAnsi="宋体" w:cs="宋体"/>
          <w:b w:val="0"/>
          <w:bCs w:val="0"/>
          <w:kern w:val="0"/>
          <w:szCs w:val="24"/>
        </w:rPr>
      </w:sdtEndPr>
      <w:sdtContent>
        <w:p>
          <w:pPr>
            <w:pStyle w:val="5"/>
            <w:numPr>
              <w:ilvl w:val="3"/>
              <w:numId w:val="72"/>
            </w:numPr>
            <w:tabs>
              <w:tab w:val="left" w:pos="588"/>
            </w:tabs>
            <w:jc w:val="left"/>
          </w:pPr>
          <w:r>
            <w:rPr>
              <w:rFonts w:hint="eastAsia"/>
            </w:rPr>
            <w:t>其他应收款按款项性质分类情况</w:t>
          </w:r>
        </w:p>
        <w:p>
          <w:sdt>
            <w:sdtPr>
              <w:alias w:val="是否适用：其他应收款按款项性质分类情况[双击切换]"/>
              <w:tag w:val="_GBC_f8f8208812d5412eb0a2fdddf1a9d330"/>
              <w:id w:val="677453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ind w:firstLine="6510" w:firstLineChars="3100"/>
          </w:pPr>
          <w:r>
            <w:rPr>
              <w:rFonts w:hint="eastAsia"/>
            </w:rPr>
            <w:t>单位：</w:t>
          </w:r>
          <w:sdt>
            <w:sdtPr>
              <w:rPr>
                <w:rFonts w:hint="eastAsia"/>
              </w:rPr>
              <w:alias w:val="单位：财务附注：其他应收款按款项性质分类情况"/>
              <w:tag w:val="_GBC_6e3e3b79e1a6467e8f5cdcabc0a95e4a"/>
              <w:id w:val="67745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67745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6"/>
            <w:gridCol w:w="2981"/>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3e4ae09c73a4371a49803278d537455"/>
                <w:id w:val="6774533"/>
                <w:lock w:val="sdtLocked"/>
              </w:sdtPr>
              <w:sdtContent>
                <w:tc>
                  <w:tcPr>
                    <w:tcW w:w="3076" w:type="dxa"/>
                    <w:shd w:val="clear" w:color="auto" w:fill="auto"/>
                    <w:vAlign w:val="center"/>
                  </w:tcPr>
                  <w:p>
                    <w:pPr>
                      <w:jc w:val="center"/>
                    </w:pPr>
                    <w:r>
                      <w:rPr>
                        <w:rFonts w:hint="eastAsia"/>
                      </w:rPr>
                      <w:t>款项性质</w:t>
                    </w:r>
                  </w:p>
                </w:tc>
              </w:sdtContent>
            </w:sdt>
            <w:sdt>
              <w:sdtPr>
                <w:tag w:val="_PLD_166416173edb4a39b34c47c78d0dc766"/>
                <w:id w:val="6774534"/>
                <w:lock w:val="sdtLocked"/>
              </w:sdtPr>
              <w:sdtContent>
                <w:tc>
                  <w:tcPr>
                    <w:tcW w:w="2981" w:type="dxa"/>
                    <w:shd w:val="clear" w:color="auto" w:fill="auto"/>
                    <w:vAlign w:val="center"/>
                  </w:tcPr>
                  <w:p>
                    <w:pPr>
                      <w:jc w:val="center"/>
                    </w:pPr>
                    <w:r>
                      <w:rPr>
                        <w:rFonts w:hint="eastAsia"/>
                      </w:rPr>
                      <w:t>期末账面余额</w:t>
                    </w:r>
                  </w:p>
                </w:tc>
              </w:sdtContent>
            </w:sdt>
            <w:sdt>
              <w:sdtPr>
                <w:tag w:val="_PLD_a78baace40634aeaaff4786c955e1f60"/>
                <w:id w:val="6774535"/>
                <w:lock w:val="sdtLocked"/>
              </w:sdtPr>
              <w:sdtContent>
                <w:tc>
                  <w:tcPr>
                    <w:tcW w:w="2992" w:type="dxa"/>
                    <w:shd w:val="clear" w:color="auto" w:fill="auto"/>
                    <w:vAlign w:val="center"/>
                  </w:tcPr>
                  <w:p>
                    <w:pPr>
                      <w:jc w:val="center"/>
                    </w:pPr>
                    <w:r>
                      <w:rPr>
                        <w:rFonts w:hint="eastAsia"/>
                      </w:rPr>
                      <w:t>期初账面余额</w:t>
                    </w:r>
                  </w:p>
                </w:tc>
              </w:sdtContent>
            </w:sdt>
          </w:tr>
          <w:sdt>
            <w:sdtPr>
              <w:rPr>
                <w:rFonts w:hint="eastAsia"/>
              </w:rPr>
              <w:alias w:val="其他应收款按款项性质分类情况明细"/>
              <w:tag w:val="_TUP_57a46f72357b45e3ae87e72e625249f6"/>
              <w:id w:val="677453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6" w:type="dxa"/>
                    <w:shd w:val="clear" w:color="auto" w:fill="auto"/>
                  </w:tcPr>
                  <w:p>
                    <w:r>
                      <w:t>代垫铁路运费</w:t>
                    </w:r>
                  </w:p>
                </w:tc>
                <w:tc>
                  <w:tcPr>
                    <w:tcW w:w="2981" w:type="dxa"/>
                    <w:shd w:val="clear" w:color="auto" w:fill="auto"/>
                  </w:tcPr>
                  <w:p>
                    <w:pPr>
                      <w:jc w:val="right"/>
                    </w:pPr>
                    <w:r>
                      <w:t>3,718,635.97</w:t>
                    </w:r>
                  </w:p>
                </w:tc>
                <w:tc>
                  <w:tcPr>
                    <w:tcW w:w="2992" w:type="dxa"/>
                    <w:shd w:val="clear" w:color="auto" w:fill="auto"/>
                  </w:tcPr>
                  <w:p>
                    <w:pPr>
                      <w:jc w:val="right"/>
                    </w:pPr>
                    <w:r>
                      <w:t>17,414,898.04</w:t>
                    </w:r>
                  </w:p>
                </w:tc>
              </w:tr>
            </w:sdtContent>
          </w:sdt>
          <w:sdt>
            <w:sdtPr>
              <w:rPr>
                <w:rFonts w:hint="eastAsia"/>
              </w:rPr>
              <w:alias w:val="其他应收款按款项性质分类情况明细"/>
              <w:tag w:val="_TUP_57a46f72357b45e3ae87e72e625249f6"/>
              <w:id w:val="6774537"/>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6" w:type="dxa"/>
                    <w:shd w:val="clear" w:color="auto" w:fill="auto"/>
                  </w:tcPr>
                  <w:p>
                    <w:r>
                      <w:t>第三方资金往来</w:t>
                    </w:r>
                  </w:p>
                </w:tc>
                <w:tc>
                  <w:tcPr>
                    <w:tcW w:w="2981" w:type="dxa"/>
                    <w:shd w:val="clear" w:color="auto" w:fill="auto"/>
                  </w:tcPr>
                  <w:p>
                    <w:pPr>
                      <w:jc w:val="right"/>
                    </w:pPr>
                    <w:r>
                      <w:t>11,276,196.31</w:t>
                    </w:r>
                  </w:p>
                </w:tc>
                <w:tc>
                  <w:tcPr>
                    <w:tcW w:w="2992" w:type="dxa"/>
                    <w:shd w:val="clear" w:color="auto" w:fill="auto"/>
                  </w:tcPr>
                  <w:p>
                    <w:pPr>
                      <w:jc w:val="right"/>
                    </w:pPr>
                    <w:r>
                      <w:t>14,893,579.02</w:t>
                    </w:r>
                  </w:p>
                </w:tc>
              </w:tr>
            </w:sdtContent>
          </w:sdt>
          <w:sdt>
            <w:sdtPr>
              <w:rPr>
                <w:rFonts w:hint="eastAsia"/>
              </w:rPr>
              <w:alias w:val="其他应收款按款项性质分类情况明细"/>
              <w:tag w:val="_TUP_57a46f72357b45e3ae87e72e625249f6"/>
              <w:id w:val="677453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6" w:type="dxa"/>
                    <w:shd w:val="clear" w:color="auto" w:fill="auto"/>
                  </w:tcPr>
                  <w:p>
                    <w:r>
                      <w:t>其他应收及暂付款</w:t>
                    </w:r>
                  </w:p>
                </w:tc>
                <w:tc>
                  <w:tcPr>
                    <w:tcW w:w="2981" w:type="dxa"/>
                    <w:shd w:val="clear" w:color="auto" w:fill="auto"/>
                  </w:tcPr>
                  <w:p>
                    <w:pPr>
                      <w:jc w:val="right"/>
                    </w:pPr>
                    <w:r>
                      <w:t>1,733,800.72</w:t>
                    </w:r>
                  </w:p>
                </w:tc>
                <w:tc>
                  <w:tcPr>
                    <w:tcW w:w="2992" w:type="dxa"/>
                    <w:shd w:val="clear" w:color="auto" w:fill="auto"/>
                  </w:tcPr>
                  <w:p>
                    <w:pPr>
                      <w:jc w:val="right"/>
                    </w:pPr>
                    <w:r>
                      <w:t>1,643,198.22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aa65b7047104096987b4ba036051976"/>
                <w:id w:val="6774539"/>
                <w:lock w:val="sdtLocked"/>
              </w:sdtPr>
              <w:sdtContent>
                <w:tc>
                  <w:tcPr>
                    <w:tcW w:w="3076" w:type="dxa"/>
                    <w:shd w:val="clear" w:color="auto" w:fill="auto"/>
                  </w:tcPr>
                  <w:p>
                    <w:pPr>
                      <w:jc w:val="center"/>
                    </w:pPr>
                    <w:r>
                      <w:t>合计</w:t>
                    </w:r>
                  </w:p>
                </w:tc>
              </w:sdtContent>
            </w:sdt>
            <w:tc>
              <w:tcPr>
                <w:tcW w:w="2981" w:type="dxa"/>
                <w:shd w:val="clear" w:color="auto" w:fill="auto"/>
              </w:tcPr>
              <w:p>
                <w:pPr>
                  <w:jc w:val="right"/>
                </w:pPr>
                <w:r>
                  <w:t>16,728,633.00</w:t>
                </w:r>
              </w:p>
            </w:tc>
            <w:tc>
              <w:tcPr>
                <w:tcW w:w="2992" w:type="dxa"/>
                <w:shd w:val="clear" w:color="auto" w:fill="auto"/>
              </w:tcPr>
              <w:p>
                <w:pPr>
                  <w:jc w:val="right"/>
                </w:pPr>
                <w:r>
                  <w:t>33,951,675.28</w:t>
                </w:r>
              </w:p>
            </w:tc>
          </w:tr>
        </w:tbl>
        <w:p/>
        <w:p/>
      </w:sdtContent>
    </w:sdt>
    <w:sdt>
      <w:sdtPr>
        <w:rPr>
          <w:rFonts w:hint="eastAsia" w:ascii="宋体" w:hAnsi="宋体" w:cs="宋体"/>
          <w:b w:val="0"/>
          <w:bCs w:val="0"/>
          <w:kern w:val="0"/>
          <w:szCs w:val="24"/>
        </w:rPr>
        <w:alias w:val="模块:按欠款方归集的期末余额其中前五名的其他应收款单位情况"/>
        <w:tag w:val="_SEC_5bc3cdcc54c14afd8dfbd379ebf214df"/>
        <w:id w:val="6774556"/>
        <w:lock w:val="sdtLocked"/>
        <w:placeholder>
          <w:docPart w:val="GBC22222222222222222222222222222"/>
        </w:placeholder>
      </w:sdtPr>
      <w:sdtEndPr>
        <w:rPr>
          <w:rFonts w:hint="default" w:ascii="宋体" w:hAnsi="宋体" w:cs="宋体"/>
          <w:b w:val="0"/>
          <w:bCs w:val="0"/>
          <w:kern w:val="0"/>
          <w:szCs w:val="24"/>
        </w:rPr>
      </w:sdtEndPr>
      <w:sdtContent>
        <w:p>
          <w:pPr>
            <w:pStyle w:val="5"/>
            <w:numPr>
              <w:ilvl w:val="3"/>
              <w:numId w:val="72"/>
            </w:numPr>
            <w:tabs>
              <w:tab w:val="left" w:pos="588"/>
            </w:tabs>
            <w:jc w:val="left"/>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677454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附注：其他应收账款前五名欠款情况"/>
              <w:tag w:val="_GBC_06f7a71e039445228d80a5741df4c4f7"/>
              <w:id w:val="677454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6774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2579"/>
            <w:gridCol w:w="1138"/>
            <w:gridCol w:w="1276"/>
            <w:gridCol w:w="991"/>
            <w:gridCol w:w="170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f30fc2dc8886472699c892f0395ab05e"/>
                <w:id w:val="6774544"/>
                <w:lock w:val="sdtLocked"/>
              </w:sdtPr>
              <w:sdtEndPr>
                <w:rPr>
                  <w:sz w:val="18"/>
                  <w:szCs w:val="18"/>
                </w:rPr>
              </w:sdtEndPr>
              <w:sdtContent>
                <w:tc>
                  <w:tcPr>
                    <w:tcW w:w="2579" w:type="dxa"/>
                    <w:vAlign w:val="center"/>
                  </w:tcPr>
                  <w:p>
                    <w:pPr>
                      <w:ind w:right="105"/>
                      <w:jc w:val="center"/>
                      <w:rPr>
                        <w:sz w:val="18"/>
                        <w:szCs w:val="18"/>
                      </w:rPr>
                    </w:pPr>
                    <w:r>
                      <w:rPr>
                        <w:rFonts w:hint="eastAsia"/>
                        <w:sz w:val="18"/>
                        <w:szCs w:val="18"/>
                      </w:rPr>
                      <w:t>单位名称</w:t>
                    </w:r>
                  </w:p>
                </w:tc>
              </w:sdtContent>
            </w:sdt>
            <w:sdt>
              <w:sdtPr>
                <w:rPr>
                  <w:sz w:val="18"/>
                  <w:szCs w:val="18"/>
                </w:rPr>
                <w:tag w:val="_PLD_44129b8132114de2a4d33c4acb8af98f"/>
                <w:id w:val="6774545"/>
                <w:lock w:val="sdtLocked"/>
              </w:sdtPr>
              <w:sdtEndPr>
                <w:rPr>
                  <w:sz w:val="18"/>
                  <w:szCs w:val="18"/>
                </w:rPr>
              </w:sdtEndPr>
              <w:sdtContent>
                <w:tc>
                  <w:tcPr>
                    <w:tcW w:w="1138" w:type="dxa"/>
                    <w:vAlign w:val="center"/>
                  </w:tcPr>
                  <w:p>
                    <w:pPr>
                      <w:ind w:right="73"/>
                      <w:jc w:val="center"/>
                      <w:rPr>
                        <w:sz w:val="18"/>
                        <w:szCs w:val="18"/>
                      </w:rPr>
                    </w:pPr>
                    <w:r>
                      <w:rPr>
                        <w:rFonts w:hint="eastAsia"/>
                        <w:sz w:val="18"/>
                        <w:szCs w:val="18"/>
                      </w:rPr>
                      <w:t>款项的性质</w:t>
                    </w:r>
                  </w:p>
                </w:tc>
              </w:sdtContent>
            </w:sdt>
            <w:sdt>
              <w:sdtPr>
                <w:rPr>
                  <w:sz w:val="18"/>
                  <w:szCs w:val="18"/>
                </w:rPr>
                <w:tag w:val="_PLD_1bc905abb4bf4c679b9fbe0a7587d651"/>
                <w:id w:val="6774546"/>
                <w:lock w:val="sdtLocked"/>
              </w:sdtPr>
              <w:sdtEndPr>
                <w:rPr>
                  <w:sz w:val="18"/>
                  <w:szCs w:val="18"/>
                </w:rPr>
              </w:sdtEndPr>
              <w:sdtContent>
                <w:tc>
                  <w:tcPr>
                    <w:tcW w:w="1276" w:type="dxa"/>
                    <w:vAlign w:val="center"/>
                  </w:tcPr>
                  <w:p>
                    <w:pPr>
                      <w:ind w:right="73"/>
                      <w:jc w:val="center"/>
                      <w:rPr>
                        <w:sz w:val="18"/>
                        <w:szCs w:val="18"/>
                      </w:rPr>
                    </w:pPr>
                    <w:r>
                      <w:rPr>
                        <w:rFonts w:hint="eastAsia"/>
                        <w:sz w:val="18"/>
                        <w:szCs w:val="18"/>
                      </w:rPr>
                      <w:t>期末余额</w:t>
                    </w:r>
                  </w:p>
                </w:tc>
              </w:sdtContent>
            </w:sdt>
            <w:sdt>
              <w:sdtPr>
                <w:rPr>
                  <w:sz w:val="18"/>
                  <w:szCs w:val="18"/>
                </w:rPr>
                <w:tag w:val="_PLD_d9231de346f74815b1bc7c82527b1ef5"/>
                <w:id w:val="6774547"/>
                <w:lock w:val="sdtLocked"/>
              </w:sdtPr>
              <w:sdtEndPr>
                <w:rPr>
                  <w:sz w:val="18"/>
                  <w:szCs w:val="18"/>
                </w:rPr>
              </w:sdtEndPr>
              <w:sdtContent>
                <w:tc>
                  <w:tcPr>
                    <w:tcW w:w="991" w:type="dxa"/>
                    <w:vAlign w:val="center"/>
                  </w:tcPr>
                  <w:p>
                    <w:pPr>
                      <w:ind w:right="73"/>
                      <w:jc w:val="center"/>
                      <w:rPr>
                        <w:sz w:val="18"/>
                        <w:szCs w:val="18"/>
                      </w:rPr>
                    </w:pPr>
                    <w:r>
                      <w:rPr>
                        <w:rFonts w:hint="eastAsia"/>
                        <w:sz w:val="18"/>
                        <w:szCs w:val="18"/>
                      </w:rPr>
                      <w:t>账龄</w:t>
                    </w:r>
                  </w:p>
                </w:tc>
              </w:sdtContent>
            </w:sdt>
            <w:sdt>
              <w:sdtPr>
                <w:rPr>
                  <w:sz w:val="18"/>
                  <w:szCs w:val="18"/>
                </w:rPr>
                <w:tag w:val="_PLD_055b75c0a3cf450e995ac7e13fdc0c08"/>
                <w:id w:val="6774548"/>
                <w:lock w:val="sdtLocked"/>
              </w:sdtPr>
              <w:sdtEndPr>
                <w:rPr>
                  <w:sz w:val="18"/>
                  <w:szCs w:val="18"/>
                </w:rPr>
              </w:sdtEndPr>
              <w:sdtContent>
                <w:tc>
                  <w:tcPr>
                    <w:tcW w:w="1701" w:type="dxa"/>
                    <w:vAlign w:val="center"/>
                  </w:tcPr>
                  <w:p>
                    <w:pPr>
                      <w:jc w:val="center"/>
                      <w:rPr>
                        <w:sz w:val="18"/>
                        <w:szCs w:val="18"/>
                      </w:rPr>
                    </w:pPr>
                    <w:r>
                      <w:rPr>
                        <w:rFonts w:hint="eastAsia"/>
                        <w:sz w:val="18"/>
                        <w:szCs w:val="18"/>
                      </w:rPr>
                      <w:t>占其他应收款期末余额合计数的比例(</w:t>
                    </w:r>
                    <w:r>
                      <w:rPr>
                        <w:sz w:val="18"/>
                        <w:szCs w:val="18"/>
                      </w:rPr>
                      <w:t>%)</w:t>
                    </w:r>
                  </w:p>
                </w:tc>
              </w:sdtContent>
            </w:sdt>
            <w:sdt>
              <w:sdtPr>
                <w:rPr>
                  <w:sz w:val="18"/>
                  <w:szCs w:val="18"/>
                </w:rPr>
                <w:tag w:val="_PLD_a7951a260c094fc8b8b64f2d1e6a933e"/>
                <w:id w:val="6774549"/>
                <w:lock w:val="sdtLocked"/>
              </w:sdtPr>
              <w:sdtEndPr>
                <w:rPr>
                  <w:sz w:val="18"/>
                  <w:szCs w:val="18"/>
                </w:rPr>
              </w:sdtEndPr>
              <w:sdtContent>
                <w:tc>
                  <w:tcPr>
                    <w:tcW w:w="1210" w:type="dxa"/>
                    <w:vAlign w:val="center"/>
                  </w:tcPr>
                  <w:p>
                    <w:pPr>
                      <w:jc w:val="center"/>
                      <w:rPr>
                        <w:sz w:val="18"/>
                        <w:szCs w:val="18"/>
                      </w:rPr>
                    </w:pPr>
                    <w:r>
                      <w:rPr>
                        <w:rFonts w:hint="eastAsia"/>
                        <w:sz w:val="18"/>
                        <w:szCs w:val="18"/>
                      </w:rPr>
                      <w:t>坏账准备</w:t>
                    </w:r>
                  </w:p>
                  <w:p>
                    <w:pPr>
                      <w:jc w:val="center"/>
                      <w:rPr>
                        <w:sz w:val="18"/>
                        <w:szCs w:val="18"/>
                      </w:rPr>
                    </w:pPr>
                    <w:r>
                      <w:rPr>
                        <w:rFonts w:hint="eastAsia"/>
                        <w:sz w:val="18"/>
                        <w:szCs w:val="18"/>
                      </w:rPr>
                      <w:t>期末余额</w:t>
                    </w:r>
                  </w:p>
                </w:tc>
              </w:sdtContent>
            </w:sdt>
          </w:tr>
          <w:sdt>
            <w:sdtPr>
              <w:rPr>
                <w:rFonts w:hint="eastAsia"/>
                <w:sz w:val="18"/>
                <w:szCs w:val="18"/>
              </w:rPr>
              <w:alias w:val="其他应收款欠款户"/>
              <w:tag w:val="_TUP_c8d734adc8624e66860d3c0f01d5cb6b"/>
              <w:id w:val="6774550"/>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2579" w:type="dxa"/>
                  </w:tcPr>
                  <w:p>
                    <w:pPr>
                      <w:ind w:right="105"/>
                      <w:rPr>
                        <w:sz w:val="18"/>
                        <w:szCs w:val="18"/>
                      </w:rPr>
                    </w:pPr>
                    <w:r>
                      <w:rPr>
                        <w:sz w:val="18"/>
                        <w:szCs w:val="18"/>
                      </w:rPr>
                      <w:t>代垫铁路运杂费</w:t>
                    </w:r>
                  </w:p>
                </w:tc>
                <w:tc>
                  <w:tcPr>
                    <w:tcW w:w="1138" w:type="dxa"/>
                  </w:tcPr>
                  <w:p>
                    <w:pPr>
                      <w:ind w:right="73"/>
                      <w:rPr>
                        <w:sz w:val="18"/>
                        <w:szCs w:val="18"/>
                      </w:rPr>
                    </w:pPr>
                    <w:r>
                      <w:rPr>
                        <w:sz w:val="18"/>
                        <w:szCs w:val="18"/>
                      </w:rPr>
                      <w:t>运费</w:t>
                    </w:r>
                  </w:p>
                </w:tc>
                <w:tc>
                  <w:tcPr>
                    <w:tcW w:w="1276" w:type="dxa"/>
                    <w:vAlign w:val="center"/>
                  </w:tcPr>
                  <w:p>
                    <w:pPr>
                      <w:ind w:right="73"/>
                      <w:jc w:val="right"/>
                      <w:rPr>
                        <w:sz w:val="18"/>
                        <w:szCs w:val="18"/>
                      </w:rPr>
                    </w:pPr>
                    <w:r>
                      <w:rPr>
                        <w:sz w:val="18"/>
                        <w:szCs w:val="18"/>
                      </w:rPr>
                      <w:t>3,718,635.97</w:t>
                    </w:r>
                  </w:p>
                </w:tc>
                <w:tc>
                  <w:tcPr>
                    <w:tcW w:w="991" w:type="dxa"/>
                    <w:vAlign w:val="center"/>
                  </w:tcPr>
                  <w:p>
                    <w:pPr>
                      <w:ind w:right="73"/>
                      <w:jc w:val="right"/>
                      <w:rPr>
                        <w:sz w:val="18"/>
                        <w:szCs w:val="18"/>
                      </w:rPr>
                    </w:pPr>
                    <w:r>
                      <w:rPr>
                        <w:sz w:val="18"/>
                        <w:szCs w:val="18"/>
                      </w:rPr>
                      <w:t>1年以内</w:t>
                    </w:r>
                  </w:p>
                </w:tc>
                <w:tc>
                  <w:tcPr>
                    <w:tcW w:w="1701" w:type="dxa"/>
                    <w:vAlign w:val="center"/>
                  </w:tcPr>
                  <w:p>
                    <w:pPr>
                      <w:jc w:val="right"/>
                      <w:rPr>
                        <w:sz w:val="18"/>
                        <w:szCs w:val="18"/>
                      </w:rPr>
                    </w:pPr>
                    <w:r>
                      <w:rPr>
                        <w:sz w:val="18"/>
                        <w:szCs w:val="18"/>
                      </w:rPr>
                      <w:t>22.23</w:t>
                    </w:r>
                  </w:p>
                </w:tc>
                <w:tc>
                  <w:tcPr>
                    <w:tcW w:w="1210" w:type="dxa"/>
                    <w:vAlign w:val="center"/>
                  </w:tcPr>
                  <w:p>
                    <w:pPr>
                      <w:jc w:val="right"/>
                      <w:rPr>
                        <w:sz w:val="18"/>
                        <w:szCs w:val="18"/>
                      </w:rPr>
                    </w:pPr>
                    <w:r>
                      <w:rPr>
                        <w:sz w:val="18"/>
                        <w:szCs w:val="18"/>
                      </w:rPr>
                      <w:t>111,559.08</w:t>
                    </w:r>
                  </w:p>
                </w:tc>
              </w:tr>
            </w:sdtContent>
          </w:sdt>
          <w:sdt>
            <w:sdtPr>
              <w:rPr>
                <w:rFonts w:hint="eastAsia"/>
                <w:sz w:val="18"/>
                <w:szCs w:val="18"/>
              </w:rPr>
              <w:alias w:val="其他应收款欠款户"/>
              <w:tag w:val="_TUP_c8d734adc8624e66860d3c0f01d5cb6b"/>
              <w:id w:val="6774551"/>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579" w:type="dxa"/>
                  </w:tcPr>
                  <w:p>
                    <w:pPr>
                      <w:ind w:right="105"/>
                      <w:rPr>
                        <w:sz w:val="18"/>
                        <w:szCs w:val="18"/>
                      </w:rPr>
                    </w:pPr>
                    <w:r>
                      <w:rPr>
                        <w:rFonts w:hint="eastAsia"/>
                        <w:sz w:val="18"/>
                        <w:szCs w:val="18"/>
                      </w:rPr>
                      <w:t>单位一</w:t>
                    </w:r>
                  </w:p>
                </w:tc>
                <w:tc>
                  <w:tcPr>
                    <w:tcW w:w="1138" w:type="dxa"/>
                  </w:tcPr>
                  <w:p>
                    <w:pPr>
                      <w:ind w:right="73"/>
                      <w:rPr>
                        <w:sz w:val="18"/>
                        <w:szCs w:val="18"/>
                      </w:rPr>
                    </w:pPr>
                    <w:r>
                      <w:rPr>
                        <w:sz w:val="18"/>
                        <w:szCs w:val="18"/>
                      </w:rPr>
                      <w:t>设备款</w:t>
                    </w:r>
                  </w:p>
                </w:tc>
                <w:tc>
                  <w:tcPr>
                    <w:tcW w:w="1276" w:type="dxa"/>
                    <w:vAlign w:val="center"/>
                  </w:tcPr>
                  <w:p>
                    <w:pPr>
                      <w:ind w:right="73"/>
                      <w:jc w:val="right"/>
                      <w:rPr>
                        <w:sz w:val="18"/>
                        <w:szCs w:val="18"/>
                      </w:rPr>
                    </w:pPr>
                    <w:r>
                      <w:rPr>
                        <w:sz w:val="18"/>
                        <w:szCs w:val="18"/>
                      </w:rPr>
                      <w:t>944,300.00</w:t>
                    </w:r>
                  </w:p>
                </w:tc>
                <w:tc>
                  <w:tcPr>
                    <w:tcW w:w="991" w:type="dxa"/>
                    <w:vAlign w:val="center"/>
                  </w:tcPr>
                  <w:p>
                    <w:pPr>
                      <w:ind w:right="73"/>
                      <w:jc w:val="right"/>
                      <w:rPr>
                        <w:sz w:val="18"/>
                        <w:szCs w:val="18"/>
                      </w:rPr>
                    </w:pPr>
                    <w:r>
                      <w:rPr>
                        <w:sz w:val="18"/>
                        <w:szCs w:val="18"/>
                      </w:rPr>
                      <w:t>5年以上</w:t>
                    </w:r>
                  </w:p>
                </w:tc>
                <w:tc>
                  <w:tcPr>
                    <w:tcW w:w="1701" w:type="dxa"/>
                    <w:vAlign w:val="center"/>
                  </w:tcPr>
                  <w:p>
                    <w:pPr>
                      <w:jc w:val="right"/>
                      <w:rPr>
                        <w:sz w:val="18"/>
                        <w:szCs w:val="18"/>
                      </w:rPr>
                    </w:pPr>
                    <w:r>
                      <w:rPr>
                        <w:sz w:val="18"/>
                        <w:szCs w:val="18"/>
                      </w:rPr>
                      <w:t>5.64</w:t>
                    </w:r>
                  </w:p>
                </w:tc>
                <w:tc>
                  <w:tcPr>
                    <w:tcW w:w="1210" w:type="dxa"/>
                    <w:vAlign w:val="center"/>
                  </w:tcPr>
                  <w:p>
                    <w:pPr>
                      <w:jc w:val="right"/>
                      <w:rPr>
                        <w:sz w:val="18"/>
                        <w:szCs w:val="18"/>
                      </w:rPr>
                    </w:pPr>
                    <w:r>
                      <w:rPr>
                        <w:sz w:val="18"/>
                        <w:szCs w:val="18"/>
                      </w:rPr>
                      <w:t>944,300.00</w:t>
                    </w:r>
                  </w:p>
                </w:tc>
              </w:tr>
            </w:sdtContent>
          </w:sdt>
          <w:sdt>
            <w:sdtPr>
              <w:rPr>
                <w:rFonts w:hint="eastAsia"/>
                <w:sz w:val="18"/>
                <w:szCs w:val="18"/>
              </w:rPr>
              <w:alias w:val="其他应收款欠款户"/>
              <w:tag w:val="_TUP_c8d734adc8624e66860d3c0f01d5cb6b"/>
              <w:id w:val="6774552"/>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579" w:type="dxa"/>
                  </w:tcPr>
                  <w:p>
                    <w:pPr>
                      <w:ind w:right="105"/>
                      <w:rPr>
                        <w:sz w:val="18"/>
                        <w:szCs w:val="18"/>
                      </w:rPr>
                    </w:pPr>
                    <w:r>
                      <w:rPr>
                        <w:rFonts w:hint="eastAsia"/>
                        <w:sz w:val="18"/>
                        <w:szCs w:val="18"/>
                      </w:rPr>
                      <w:t>单位二</w:t>
                    </w:r>
                  </w:p>
                </w:tc>
                <w:tc>
                  <w:tcPr>
                    <w:tcW w:w="1138" w:type="dxa"/>
                  </w:tcPr>
                  <w:p>
                    <w:pPr>
                      <w:ind w:right="73"/>
                      <w:rPr>
                        <w:sz w:val="18"/>
                        <w:szCs w:val="18"/>
                      </w:rPr>
                    </w:pPr>
                    <w:r>
                      <w:rPr>
                        <w:rFonts w:hint="eastAsia"/>
                        <w:sz w:val="18"/>
                        <w:szCs w:val="18"/>
                      </w:rPr>
                      <w:t>煤款</w:t>
                    </w:r>
                  </w:p>
                </w:tc>
                <w:tc>
                  <w:tcPr>
                    <w:tcW w:w="1276" w:type="dxa"/>
                    <w:vAlign w:val="center"/>
                  </w:tcPr>
                  <w:p>
                    <w:pPr>
                      <w:ind w:right="73"/>
                      <w:jc w:val="right"/>
                      <w:rPr>
                        <w:sz w:val="18"/>
                        <w:szCs w:val="18"/>
                      </w:rPr>
                    </w:pPr>
                    <w:r>
                      <w:rPr>
                        <w:sz w:val="18"/>
                        <w:szCs w:val="18"/>
                      </w:rPr>
                      <w:t>912,241.41</w:t>
                    </w:r>
                  </w:p>
                </w:tc>
                <w:tc>
                  <w:tcPr>
                    <w:tcW w:w="991" w:type="dxa"/>
                    <w:vAlign w:val="center"/>
                  </w:tcPr>
                  <w:p>
                    <w:pPr>
                      <w:ind w:right="73"/>
                      <w:jc w:val="right"/>
                      <w:rPr>
                        <w:sz w:val="18"/>
                        <w:szCs w:val="18"/>
                      </w:rPr>
                    </w:pPr>
                    <w:r>
                      <w:rPr>
                        <w:sz w:val="18"/>
                        <w:szCs w:val="18"/>
                      </w:rPr>
                      <w:t>1-2年</w:t>
                    </w:r>
                  </w:p>
                </w:tc>
                <w:tc>
                  <w:tcPr>
                    <w:tcW w:w="1701" w:type="dxa"/>
                    <w:vAlign w:val="center"/>
                  </w:tcPr>
                  <w:p>
                    <w:pPr>
                      <w:jc w:val="right"/>
                      <w:rPr>
                        <w:sz w:val="18"/>
                        <w:szCs w:val="18"/>
                      </w:rPr>
                    </w:pPr>
                    <w:r>
                      <w:rPr>
                        <w:sz w:val="18"/>
                        <w:szCs w:val="18"/>
                      </w:rPr>
                      <w:t>5.45</w:t>
                    </w:r>
                  </w:p>
                </w:tc>
                <w:tc>
                  <w:tcPr>
                    <w:tcW w:w="1210" w:type="dxa"/>
                    <w:vAlign w:val="center"/>
                  </w:tcPr>
                  <w:p>
                    <w:pPr>
                      <w:jc w:val="right"/>
                      <w:rPr>
                        <w:sz w:val="18"/>
                        <w:szCs w:val="18"/>
                      </w:rPr>
                    </w:pPr>
                    <w:r>
                      <w:rPr>
                        <w:sz w:val="18"/>
                        <w:szCs w:val="18"/>
                      </w:rPr>
                      <w:t>91,224.14</w:t>
                    </w:r>
                  </w:p>
                </w:tc>
              </w:tr>
            </w:sdtContent>
          </w:sdt>
          <w:sdt>
            <w:sdtPr>
              <w:rPr>
                <w:rFonts w:hint="eastAsia"/>
                <w:sz w:val="18"/>
                <w:szCs w:val="18"/>
              </w:rPr>
              <w:alias w:val="其他应收款欠款户"/>
              <w:tag w:val="_TUP_c8d734adc8624e66860d3c0f01d5cb6b"/>
              <w:id w:val="6774553"/>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579" w:type="dxa"/>
                  </w:tcPr>
                  <w:p>
                    <w:pPr>
                      <w:ind w:right="105"/>
                      <w:rPr>
                        <w:sz w:val="18"/>
                        <w:szCs w:val="18"/>
                      </w:rPr>
                    </w:pPr>
                    <w:r>
                      <w:rPr>
                        <w:rFonts w:hint="eastAsia"/>
                        <w:sz w:val="18"/>
                        <w:szCs w:val="18"/>
                      </w:rPr>
                      <w:t>单位三</w:t>
                    </w:r>
                  </w:p>
                </w:tc>
                <w:tc>
                  <w:tcPr>
                    <w:tcW w:w="1138" w:type="dxa"/>
                  </w:tcPr>
                  <w:p>
                    <w:pPr>
                      <w:ind w:right="73"/>
                      <w:rPr>
                        <w:sz w:val="18"/>
                        <w:szCs w:val="18"/>
                      </w:rPr>
                    </w:pPr>
                    <w:r>
                      <w:rPr>
                        <w:sz w:val="18"/>
                        <w:szCs w:val="18"/>
                      </w:rPr>
                      <w:t>货款</w:t>
                    </w:r>
                  </w:p>
                </w:tc>
                <w:tc>
                  <w:tcPr>
                    <w:tcW w:w="1276" w:type="dxa"/>
                    <w:vAlign w:val="center"/>
                  </w:tcPr>
                  <w:p>
                    <w:pPr>
                      <w:ind w:right="73"/>
                      <w:jc w:val="right"/>
                      <w:rPr>
                        <w:sz w:val="18"/>
                        <w:szCs w:val="18"/>
                      </w:rPr>
                    </w:pPr>
                    <w:r>
                      <w:rPr>
                        <w:sz w:val="18"/>
                        <w:szCs w:val="18"/>
                      </w:rPr>
                      <w:t>809,532.20</w:t>
                    </w:r>
                  </w:p>
                </w:tc>
                <w:tc>
                  <w:tcPr>
                    <w:tcW w:w="991" w:type="dxa"/>
                    <w:vAlign w:val="center"/>
                  </w:tcPr>
                  <w:p>
                    <w:pPr>
                      <w:ind w:right="73"/>
                      <w:jc w:val="right"/>
                      <w:rPr>
                        <w:sz w:val="18"/>
                        <w:szCs w:val="18"/>
                      </w:rPr>
                    </w:pPr>
                    <w:r>
                      <w:rPr>
                        <w:sz w:val="18"/>
                        <w:szCs w:val="18"/>
                      </w:rPr>
                      <w:t>5年以上</w:t>
                    </w:r>
                  </w:p>
                </w:tc>
                <w:tc>
                  <w:tcPr>
                    <w:tcW w:w="1701" w:type="dxa"/>
                    <w:vAlign w:val="center"/>
                  </w:tcPr>
                  <w:p>
                    <w:pPr>
                      <w:jc w:val="right"/>
                      <w:rPr>
                        <w:sz w:val="18"/>
                        <w:szCs w:val="18"/>
                      </w:rPr>
                    </w:pPr>
                    <w:r>
                      <w:rPr>
                        <w:sz w:val="18"/>
                        <w:szCs w:val="18"/>
                      </w:rPr>
                      <w:t>4.84</w:t>
                    </w:r>
                  </w:p>
                </w:tc>
                <w:tc>
                  <w:tcPr>
                    <w:tcW w:w="1210" w:type="dxa"/>
                    <w:vAlign w:val="center"/>
                  </w:tcPr>
                  <w:p>
                    <w:pPr>
                      <w:jc w:val="right"/>
                      <w:rPr>
                        <w:sz w:val="18"/>
                        <w:szCs w:val="18"/>
                      </w:rPr>
                    </w:pPr>
                    <w:r>
                      <w:rPr>
                        <w:sz w:val="18"/>
                        <w:szCs w:val="18"/>
                      </w:rPr>
                      <w:t>809,532.20</w:t>
                    </w:r>
                  </w:p>
                </w:tc>
              </w:tr>
            </w:sdtContent>
          </w:sdt>
          <w:sdt>
            <w:sdtPr>
              <w:rPr>
                <w:rFonts w:hint="eastAsia"/>
                <w:sz w:val="18"/>
                <w:szCs w:val="18"/>
              </w:rPr>
              <w:alias w:val="其他应收款欠款户"/>
              <w:tag w:val="_TUP_c8d734adc8624e66860d3c0f01d5cb6b"/>
              <w:id w:val="6774554"/>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579" w:type="dxa"/>
                  </w:tcPr>
                  <w:p>
                    <w:pPr>
                      <w:ind w:right="105"/>
                      <w:rPr>
                        <w:sz w:val="18"/>
                        <w:szCs w:val="18"/>
                      </w:rPr>
                    </w:pPr>
                    <w:r>
                      <w:rPr>
                        <w:rFonts w:hint="eastAsia"/>
                        <w:sz w:val="18"/>
                        <w:szCs w:val="18"/>
                      </w:rPr>
                      <w:t>单位四</w:t>
                    </w:r>
                  </w:p>
                </w:tc>
                <w:tc>
                  <w:tcPr>
                    <w:tcW w:w="1138" w:type="dxa"/>
                  </w:tcPr>
                  <w:p>
                    <w:pPr>
                      <w:ind w:right="73"/>
                      <w:rPr>
                        <w:sz w:val="18"/>
                        <w:szCs w:val="18"/>
                      </w:rPr>
                    </w:pPr>
                    <w:r>
                      <w:rPr>
                        <w:sz w:val="18"/>
                        <w:szCs w:val="18"/>
                      </w:rPr>
                      <w:t>货款</w:t>
                    </w:r>
                  </w:p>
                </w:tc>
                <w:tc>
                  <w:tcPr>
                    <w:tcW w:w="1276" w:type="dxa"/>
                    <w:vAlign w:val="center"/>
                  </w:tcPr>
                  <w:p>
                    <w:pPr>
                      <w:ind w:right="73"/>
                      <w:jc w:val="right"/>
                      <w:rPr>
                        <w:sz w:val="18"/>
                        <w:szCs w:val="18"/>
                      </w:rPr>
                    </w:pPr>
                    <w:r>
                      <w:rPr>
                        <w:sz w:val="18"/>
                        <w:szCs w:val="18"/>
                      </w:rPr>
                      <w:t>633,634.76</w:t>
                    </w:r>
                  </w:p>
                </w:tc>
                <w:tc>
                  <w:tcPr>
                    <w:tcW w:w="991" w:type="dxa"/>
                    <w:vAlign w:val="center"/>
                  </w:tcPr>
                  <w:p>
                    <w:pPr>
                      <w:ind w:right="73"/>
                      <w:jc w:val="right"/>
                      <w:rPr>
                        <w:sz w:val="18"/>
                        <w:szCs w:val="18"/>
                      </w:rPr>
                    </w:pPr>
                    <w:r>
                      <w:rPr>
                        <w:sz w:val="18"/>
                        <w:szCs w:val="18"/>
                      </w:rPr>
                      <w:t>5年以上</w:t>
                    </w:r>
                  </w:p>
                </w:tc>
                <w:tc>
                  <w:tcPr>
                    <w:tcW w:w="1701" w:type="dxa"/>
                    <w:vAlign w:val="center"/>
                  </w:tcPr>
                  <w:p>
                    <w:pPr>
                      <w:jc w:val="right"/>
                      <w:rPr>
                        <w:sz w:val="18"/>
                        <w:szCs w:val="18"/>
                      </w:rPr>
                    </w:pPr>
                    <w:r>
                      <w:rPr>
                        <w:sz w:val="18"/>
                        <w:szCs w:val="18"/>
                      </w:rPr>
                      <w:t>3.79</w:t>
                    </w:r>
                  </w:p>
                </w:tc>
                <w:tc>
                  <w:tcPr>
                    <w:tcW w:w="1210" w:type="dxa"/>
                    <w:vAlign w:val="center"/>
                  </w:tcPr>
                  <w:p>
                    <w:pPr>
                      <w:jc w:val="right"/>
                      <w:rPr>
                        <w:sz w:val="18"/>
                        <w:szCs w:val="18"/>
                      </w:rPr>
                    </w:pPr>
                    <w:r>
                      <w:rPr>
                        <w:sz w:val="18"/>
                        <w:szCs w:val="18"/>
                      </w:rPr>
                      <w:t>633,634.76</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14deb9938e6642aa874e012c75286fee"/>
                <w:id w:val="6774555"/>
                <w:lock w:val="sdtLocked"/>
              </w:sdtPr>
              <w:sdtEndPr>
                <w:rPr>
                  <w:sz w:val="18"/>
                  <w:szCs w:val="18"/>
                </w:rPr>
              </w:sdtEndPr>
              <w:sdtContent>
                <w:tc>
                  <w:tcPr>
                    <w:tcW w:w="2579" w:type="dxa"/>
                  </w:tcPr>
                  <w:p>
                    <w:pPr>
                      <w:ind w:right="105"/>
                      <w:jc w:val="center"/>
                      <w:rPr>
                        <w:sz w:val="18"/>
                        <w:szCs w:val="18"/>
                      </w:rPr>
                    </w:pPr>
                    <w:r>
                      <w:rPr>
                        <w:rFonts w:hint="eastAsia"/>
                        <w:sz w:val="18"/>
                        <w:szCs w:val="18"/>
                      </w:rPr>
                      <w:t>合计</w:t>
                    </w:r>
                  </w:p>
                </w:tc>
              </w:sdtContent>
            </w:sdt>
            <w:tc>
              <w:tcPr>
                <w:tcW w:w="1138" w:type="dxa"/>
              </w:tcPr>
              <w:p>
                <w:pPr>
                  <w:ind w:right="73"/>
                  <w:jc w:val="center"/>
                  <w:rPr>
                    <w:sz w:val="18"/>
                    <w:szCs w:val="18"/>
                  </w:rPr>
                </w:pPr>
                <w:r>
                  <w:rPr>
                    <w:sz w:val="18"/>
                    <w:szCs w:val="18"/>
                  </w:rPr>
                  <w:t>/</w:t>
                </w:r>
              </w:p>
            </w:tc>
            <w:tc>
              <w:tcPr>
                <w:tcW w:w="1276" w:type="dxa"/>
                <w:vAlign w:val="center"/>
              </w:tcPr>
              <w:p>
                <w:pPr>
                  <w:ind w:right="73"/>
                  <w:jc w:val="right"/>
                  <w:rPr>
                    <w:sz w:val="18"/>
                    <w:szCs w:val="18"/>
                  </w:rPr>
                </w:pPr>
                <w:r>
                  <w:rPr>
                    <w:sz w:val="18"/>
                    <w:szCs w:val="18"/>
                  </w:rPr>
                  <w:t>7,018,344.34</w:t>
                </w:r>
              </w:p>
            </w:tc>
            <w:tc>
              <w:tcPr>
                <w:tcW w:w="991" w:type="dxa"/>
                <w:vAlign w:val="center"/>
              </w:tcPr>
              <w:p>
                <w:pPr>
                  <w:ind w:right="73"/>
                  <w:jc w:val="right"/>
                  <w:rPr>
                    <w:sz w:val="18"/>
                    <w:szCs w:val="18"/>
                  </w:rPr>
                </w:pPr>
                <w:r>
                  <w:rPr>
                    <w:sz w:val="18"/>
                    <w:szCs w:val="18"/>
                  </w:rPr>
                  <w:t>/</w:t>
                </w:r>
              </w:p>
            </w:tc>
            <w:tc>
              <w:tcPr>
                <w:tcW w:w="1701" w:type="dxa"/>
                <w:vAlign w:val="center"/>
              </w:tcPr>
              <w:p>
                <w:pPr>
                  <w:jc w:val="right"/>
                  <w:rPr>
                    <w:sz w:val="18"/>
                    <w:szCs w:val="18"/>
                  </w:rPr>
                </w:pPr>
                <w:r>
                  <w:rPr>
                    <w:sz w:val="18"/>
                    <w:szCs w:val="18"/>
                  </w:rPr>
                  <w:t>41.95</w:t>
                </w:r>
              </w:p>
            </w:tc>
            <w:tc>
              <w:tcPr>
                <w:tcW w:w="1210" w:type="dxa"/>
                <w:vAlign w:val="center"/>
              </w:tcPr>
              <w:p>
                <w:pPr>
                  <w:jc w:val="right"/>
                  <w:rPr>
                    <w:sz w:val="18"/>
                    <w:szCs w:val="18"/>
                  </w:rPr>
                </w:pPr>
                <w:r>
                  <w:rPr>
                    <w:sz w:val="18"/>
                    <w:szCs w:val="18"/>
                  </w:rPr>
                  <w:t>2,590,250.18</w:t>
                </w:r>
              </w:p>
            </w:tc>
          </w:tr>
        </w:tbl>
        <w:p>
          <w:pPr>
            <w:snapToGrid w:val="0"/>
            <w:spacing w:line="240" w:lineRule="atLeast"/>
          </w:pPr>
        </w:p>
      </w:sdtContent>
    </w:sdt>
    <w:sdt>
      <w:sdtPr>
        <w:rPr>
          <w:rFonts w:hint="eastAsia" w:ascii="Times New Roman" w:hAnsi="Times New Roman" w:cs="宋体"/>
          <w:b w:val="0"/>
          <w:bCs w:val="0"/>
          <w:kern w:val="0"/>
          <w:szCs w:val="24"/>
        </w:rPr>
        <w:alias w:val="模块:按应收金额确认的政府补助"/>
        <w:tag w:val="_SEC_7f884e5815904873b956a469c8376ddc"/>
        <w:id w:val="6774558"/>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3"/>
              <w:numId w:val="72"/>
            </w:numPr>
            <w:tabs>
              <w:tab w:val="left" w:pos="588"/>
            </w:tabs>
          </w:pPr>
          <w:r>
            <w:rPr>
              <w:rFonts w:hint="eastAsia"/>
            </w:rPr>
            <w:t>涉及政府补助的应收款项</w:t>
          </w:r>
        </w:p>
        <w:sdt>
          <w:sdtPr>
            <w:alias w:val="是否适用：涉及政府补助的应收款项[双击切换]"/>
            <w:tag w:val="_GBC_827b87f85d804f17ad2db9164b31e41a"/>
            <w:id w:val="677455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SEC_b4e92d47ce454acbba1241413cf48897"/>
        <w:id w:val="6774560"/>
        <w:lock w:val="sdtLocked"/>
        <w:placeholder>
          <w:docPart w:val="GBC22222222222222222222222222222"/>
        </w:placeholder>
      </w:sdtPr>
      <w:sdtEndPr>
        <w:rPr>
          <w:rFonts w:ascii="Times New Roman" w:hAnsi="Times New Roman" w:cs="宋体"/>
          <w:b w:val="0"/>
          <w:bCs w:val="0"/>
          <w:kern w:val="0"/>
          <w:szCs w:val="24"/>
        </w:rPr>
      </w:sdtEndPr>
      <w:sdtContent>
        <w:p>
          <w:pPr>
            <w:pStyle w:val="5"/>
            <w:numPr>
              <w:ilvl w:val="3"/>
              <w:numId w:val="72"/>
            </w:numPr>
            <w:tabs>
              <w:tab w:val="left" w:pos="588"/>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2356c87f6afd4bf2abba2685572831dc"/>
            <w:id w:val="6774559"/>
            <w:lock w:val="sdtContentLocked"/>
            <w:placeholder>
              <w:docPart w:val="GBC22222222222222222222222222222"/>
            </w:placeholder>
          </w:sdtPr>
          <w:sdtEndPr>
            <w:rPr>
              <w:rFonts w:hint="eastAsia"/>
              <w:szCs w:val="21"/>
            </w:rPr>
          </w:sdtEndPr>
          <w:sdtContent>
            <w:p>
              <w:pPr>
                <w:ind w:right="57"/>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Times New Roman" w:hAnsi="Times New Roman" w:cs="宋体"/>
          <w:b w:val="0"/>
          <w:bCs w:val="0"/>
          <w:kern w:val="0"/>
          <w:szCs w:val="24"/>
        </w:rPr>
        <w:alias w:val="模块:转移其他应收款且继续涉入形成的资产、负债金额的说明"/>
        <w:tag w:val="_SEC_92e24bbe4f564b40858a76aac5222baf"/>
        <w:id w:val="6774562"/>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3"/>
              <w:numId w:val="72"/>
            </w:numPr>
            <w:tabs>
              <w:tab w:val="left" w:pos="588"/>
            </w:tabs>
            <w:rPr>
              <w:kern w:val="0"/>
            </w:rPr>
          </w:pPr>
          <w:r>
            <w:rPr>
              <w:rFonts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6da3b3dd704e45689d462a159df53651"/>
            <w:id w:val="6774561"/>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Times New Roman" w:hAnsi="Times New Roman"/>
          <w:b/>
          <w:bCs/>
        </w:rPr>
        <w:alias w:val="模块:其他应收款其他说明"/>
        <w:tag w:val="_SEC_ca3c9a9eec87490e8f1dd55c9f575f92"/>
        <w:id w:val="6774564"/>
        <w:lock w:val="sdtLocked"/>
        <w:placeholder>
          <w:docPart w:val="GBC22222222222222222222222222222"/>
        </w:placeholder>
      </w:sdtPr>
      <w:sdtEndPr>
        <w:rPr>
          <w:rFonts w:hint="eastAsia" w:ascii="Times New Roman" w:hAnsi="Times New Roman"/>
          <w:b w:val="0"/>
          <w:bCs w:val="0"/>
        </w:rPr>
      </w:sdtEndPr>
      <w:sdtContent>
        <w:p>
          <w:r>
            <w:rPr>
              <w:rFonts w:hint="eastAsia"/>
            </w:rPr>
            <w:t>其他</w:t>
          </w:r>
          <w:r>
            <w:t>说明：</w:t>
          </w:r>
        </w:p>
        <w:sdt>
          <w:sdtPr>
            <w:rPr>
              <w:rFonts w:hint="eastAsia"/>
              <w:szCs w:val="21"/>
            </w:rPr>
            <w:alias w:val="是否适用：其他应收款的其他说明[双击切换]"/>
            <w:tag w:val="_GBC_f19370687b664bbeafd6d2809311f81e"/>
            <w:id w:val="677456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4"/>
        <w:numPr>
          <w:ilvl w:val="0"/>
          <w:numId w:val="66"/>
        </w:numPr>
      </w:pPr>
      <w:r>
        <w:rPr>
          <w:rFonts w:hint="eastAsia"/>
        </w:rPr>
        <w:t>存货</w:t>
      </w:r>
    </w:p>
    <w:sdt>
      <w:sdtPr>
        <w:rPr>
          <w:rFonts w:hint="eastAsia" w:cs="宋体" w:asciiTheme="minorHAnsi" w:hAnsiTheme="minorHAnsi"/>
          <w:b w:val="0"/>
          <w:bCs w:val="0"/>
          <w:kern w:val="0"/>
          <w:szCs w:val="22"/>
        </w:rPr>
        <w:alias w:val="模块:存货分类 "/>
        <w:tag w:val="_SEC_db208c50ef2347fc8318ac3ce516f8f3"/>
        <w:id w:val="6774581"/>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73"/>
            </w:numPr>
            <w:tabs>
              <w:tab w:val="left" w:pos="630"/>
            </w:tabs>
          </w:pPr>
          <w:r>
            <w:rPr>
              <w:rFonts w:hint="eastAsia"/>
            </w:rPr>
            <w:t>存货分类</w:t>
          </w:r>
        </w:p>
        <w:sdt>
          <w:sdtPr>
            <w:alias w:val="是否适用：存货分类[双击切换]"/>
            <w:tag w:val="_GBC_357bbe1b1f034d20ba175209243f1121"/>
            <w:id w:val="677456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存货分类"/>
              <w:tag w:val="_GBC_d8d041ff281d42b2825673de12d9cf99"/>
              <w:id w:val="677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fe02fee4d9a4b77b46c5afad867d464"/>
              <w:id w:val="67745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498"/>
            <w:gridCol w:w="1217"/>
            <w:gridCol w:w="1245"/>
            <w:gridCol w:w="1245"/>
            <w:gridCol w:w="1225"/>
            <w:gridCol w:w="123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8df09749c2cc483fba545adb2479157e"/>
                <w:id w:val="6774568"/>
                <w:lock w:val="sdtLocked"/>
              </w:sdtPr>
              <w:sdtContent>
                <w:tc>
                  <w:tcPr>
                    <w:tcW w:w="1498" w:type="dxa"/>
                    <w:vMerge w:val="restart"/>
                    <w:vAlign w:val="center"/>
                  </w:tcPr>
                  <w:p>
                    <w:pPr>
                      <w:jc w:val="center"/>
                      <w:rPr>
                        <w:szCs w:val="21"/>
                      </w:rPr>
                    </w:pPr>
                    <w:r>
                      <w:rPr>
                        <w:rFonts w:hint="eastAsia"/>
                        <w:szCs w:val="21"/>
                      </w:rPr>
                      <w:t>项目</w:t>
                    </w:r>
                  </w:p>
                </w:tc>
              </w:sdtContent>
            </w:sdt>
            <w:sdt>
              <w:sdtPr>
                <w:tag w:val="_PLD_b6e3f1e00e5a4a61a238dbb8d27dbb21"/>
                <w:id w:val="6774569"/>
                <w:lock w:val="sdtLocked"/>
              </w:sdtPr>
              <w:sdtContent>
                <w:tc>
                  <w:tcPr>
                    <w:tcW w:w="3707" w:type="dxa"/>
                    <w:gridSpan w:val="3"/>
                    <w:vAlign w:val="center"/>
                  </w:tcPr>
                  <w:p>
                    <w:pPr>
                      <w:jc w:val="center"/>
                      <w:rPr>
                        <w:szCs w:val="21"/>
                      </w:rPr>
                    </w:pPr>
                    <w:r>
                      <w:rPr>
                        <w:rFonts w:hint="eastAsia"/>
                        <w:szCs w:val="21"/>
                      </w:rPr>
                      <w:t>期末余额</w:t>
                    </w:r>
                  </w:p>
                </w:tc>
              </w:sdtContent>
            </w:sdt>
            <w:sdt>
              <w:sdtPr>
                <w:tag w:val="_PLD_03c23d8ea77b48f1a1f8ac3e8cb149e3"/>
                <w:id w:val="6774570"/>
                <w:lock w:val="sdtLocked"/>
              </w:sdtPr>
              <w:sdtContent>
                <w:tc>
                  <w:tcPr>
                    <w:tcW w:w="3690" w:type="dxa"/>
                    <w:gridSpan w:val="3"/>
                    <w:vAlign w:val="center"/>
                  </w:tcPr>
                  <w:p>
                    <w:pPr>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498" w:type="dxa"/>
                <w:vMerge w:val="continue"/>
              </w:tcPr>
              <w:p>
                <w:pPr>
                  <w:ind w:right="5"/>
                  <w:jc w:val="center"/>
                  <w:rPr>
                    <w:szCs w:val="21"/>
                  </w:rPr>
                </w:pPr>
              </w:p>
            </w:tc>
            <w:sdt>
              <w:sdtPr>
                <w:tag w:val="_PLD_3aff2f8a54d74ec0abd0d96208015883"/>
                <w:id w:val="6774571"/>
                <w:lock w:val="sdtLocked"/>
              </w:sdtPr>
              <w:sdtContent>
                <w:tc>
                  <w:tcPr>
                    <w:tcW w:w="1217" w:type="dxa"/>
                    <w:vAlign w:val="center"/>
                  </w:tcPr>
                  <w:p>
                    <w:pPr>
                      <w:ind w:right="5"/>
                      <w:jc w:val="center"/>
                      <w:rPr>
                        <w:szCs w:val="21"/>
                      </w:rPr>
                    </w:pPr>
                    <w:r>
                      <w:rPr>
                        <w:rFonts w:hint="eastAsia"/>
                        <w:szCs w:val="21"/>
                      </w:rPr>
                      <w:t>账面余额</w:t>
                    </w:r>
                  </w:p>
                </w:tc>
              </w:sdtContent>
            </w:sdt>
            <w:sdt>
              <w:sdtPr>
                <w:tag w:val="_PLD_34f155d02eaf4d62849dc8e7aaf26939"/>
                <w:id w:val="6774572"/>
                <w:lock w:val="sdtLocked"/>
              </w:sdtPr>
              <w:sdtContent>
                <w:tc>
                  <w:tcPr>
                    <w:tcW w:w="1245" w:type="dxa"/>
                    <w:vAlign w:val="center"/>
                  </w:tcPr>
                  <w:p>
                    <w:pPr>
                      <w:ind w:right="5"/>
                      <w:jc w:val="center"/>
                      <w:rPr>
                        <w:szCs w:val="21"/>
                      </w:rPr>
                    </w:pPr>
                    <w:r>
                      <w:rPr>
                        <w:rFonts w:hint="eastAsia"/>
                        <w:szCs w:val="21"/>
                      </w:rPr>
                      <w:t>跌价准备</w:t>
                    </w:r>
                  </w:p>
                </w:tc>
              </w:sdtContent>
            </w:sdt>
            <w:sdt>
              <w:sdtPr>
                <w:tag w:val="_PLD_18dbbec4b9df4d18afbb41c2e9f4dd3d"/>
                <w:id w:val="6774573"/>
                <w:lock w:val="sdtLocked"/>
              </w:sdtPr>
              <w:sdtContent>
                <w:tc>
                  <w:tcPr>
                    <w:tcW w:w="1245" w:type="dxa"/>
                    <w:vAlign w:val="center"/>
                  </w:tcPr>
                  <w:p>
                    <w:pPr>
                      <w:ind w:right="5"/>
                      <w:jc w:val="center"/>
                      <w:rPr>
                        <w:szCs w:val="21"/>
                      </w:rPr>
                    </w:pPr>
                    <w:r>
                      <w:rPr>
                        <w:rFonts w:hint="eastAsia"/>
                        <w:szCs w:val="21"/>
                      </w:rPr>
                      <w:t>账面价值</w:t>
                    </w:r>
                  </w:p>
                </w:tc>
              </w:sdtContent>
            </w:sdt>
            <w:sdt>
              <w:sdtPr>
                <w:tag w:val="_PLD_c76534373e0a43fbb57e418bf8f65d2e"/>
                <w:id w:val="6774574"/>
                <w:lock w:val="sdtLocked"/>
              </w:sdtPr>
              <w:sdtContent>
                <w:tc>
                  <w:tcPr>
                    <w:tcW w:w="1225" w:type="dxa"/>
                    <w:vAlign w:val="center"/>
                  </w:tcPr>
                  <w:p>
                    <w:pPr>
                      <w:ind w:right="5"/>
                      <w:jc w:val="center"/>
                      <w:rPr>
                        <w:szCs w:val="21"/>
                      </w:rPr>
                    </w:pPr>
                    <w:r>
                      <w:rPr>
                        <w:rFonts w:hint="eastAsia"/>
                        <w:szCs w:val="21"/>
                      </w:rPr>
                      <w:t>账面余额</w:t>
                    </w:r>
                  </w:p>
                </w:tc>
              </w:sdtContent>
            </w:sdt>
            <w:sdt>
              <w:sdtPr>
                <w:tag w:val="_PLD_7f8f320feb27470f899168e37eb800be"/>
                <w:id w:val="6774575"/>
                <w:lock w:val="sdtLocked"/>
              </w:sdtPr>
              <w:sdtContent>
                <w:tc>
                  <w:tcPr>
                    <w:tcW w:w="1234" w:type="dxa"/>
                    <w:vAlign w:val="center"/>
                  </w:tcPr>
                  <w:p>
                    <w:pPr>
                      <w:ind w:right="5"/>
                      <w:jc w:val="center"/>
                      <w:rPr>
                        <w:szCs w:val="21"/>
                      </w:rPr>
                    </w:pPr>
                    <w:r>
                      <w:rPr>
                        <w:rFonts w:hint="eastAsia"/>
                        <w:szCs w:val="21"/>
                      </w:rPr>
                      <w:t>跌价准备</w:t>
                    </w:r>
                  </w:p>
                </w:tc>
              </w:sdtContent>
            </w:sdt>
            <w:sdt>
              <w:sdtPr>
                <w:tag w:val="_PLD_7bc0a0c6843843119d589aceed87ff5f"/>
                <w:id w:val="6774576"/>
                <w:lock w:val="sdtLocked"/>
              </w:sdtPr>
              <w:sdtContent>
                <w:tc>
                  <w:tcPr>
                    <w:tcW w:w="1231" w:type="dxa"/>
                    <w:vAlign w:val="center"/>
                  </w:tcPr>
                  <w:p>
                    <w:pPr>
                      <w:ind w:right="5"/>
                      <w:jc w:val="center"/>
                      <w:rPr>
                        <w:szCs w:val="21"/>
                      </w:rPr>
                    </w:pPr>
                    <w:r>
                      <w:rPr>
                        <w:rFonts w:hint="eastAsia"/>
                        <w:szCs w:val="21"/>
                      </w:rPr>
                      <w:t>账面价值</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b9ebbe420cec4305ad6f26473a8d7d73"/>
                <w:id w:val="6774577"/>
                <w:lock w:val="sdtLocked"/>
              </w:sdtPr>
              <w:sdtContent>
                <w:tc>
                  <w:tcPr>
                    <w:tcW w:w="1498" w:type="dxa"/>
                  </w:tcPr>
                  <w:p>
                    <w:pPr>
                      <w:ind w:right="5"/>
                      <w:rPr>
                        <w:szCs w:val="21"/>
                      </w:rPr>
                    </w:pPr>
                    <w:r>
                      <w:rPr>
                        <w:rFonts w:hint="eastAsia"/>
                        <w:szCs w:val="21"/>
                      </w:rPr>
                      <w:t>原材料</w:t>
                    </w:r>
                  </w:p>
                </w:tc>
              </w:sdtContent>
            </w:sdt>
            <w:tc>
              <w:tcPr>
                <w:tcW w:w="1217" w:type="dxa"/>
              </w:tcPr>
              <w:p>
                <w:pPr>
                  <w:ind w:right="5"/>
                  <w:jc w:val="right"/>
                  <w:rPr>
                    <w:rFonts w:ascii="Arial Narrow" w:hAnsi="Arial Narrow"/>
                    <w:sz w:val="18"/>
                    <w:szCs w:val="18"/>
                  </w:rPr>
                </w:pPr>
                <w:r>
                  <w:rPr>
                    <w:rFonts w:ascii="Arial Narrow" w:hAnsi="Arial Narrow"/>
                    <w:sz w:val="18"/>
                    <w:szCs w:val="18"/>
                  </w:rPr>
                  <w:t>4,085,594,463.71</w:t>
                </w:r>
              </w:p>
            </w:tc>
            <w:tc>
              <w:tcPr>
                <w:tcW w:w="1245" w:type="dxa"/>
              </w:tcPr>
              <w:p>
                <w:pPr>
                  <w:ind w:right="5"/>
                  <w:jc w:val="right"/>
                  <w:rPr>
                    <w:rFonts w:ascii="Arial Narrow" w:hAnsi="Arial Narrow"/>
                    <w:sz w:val="18"/>
                    <w:szCs w:val="18"/>
                  </w:rPr>
                </w:pPr>
              </w:p>
            </w:tc>
            <w:tc>
              <w:tcPr>
                <w:tcW w:w="1245" w:type="dxa"/>
              </w:tcPr>
              <w:p>
                <w:pPr>
                  <w:ind w:right="5"/>
                  <w:jc w:val="right"/>
                  <w:rPr>
                    <w:rFonts w:ascii="Arial Narrow" w:hAnsi="Arial Narrow"/>
                    <w:sz w:val="18"/>
                    <w:szCs w:val="18"/>
                  </w:rPr>
                </w:pPr>
                <w:r>
                  <w:rPr>
                    <w:rFonts w:ascii="Arial Narrow" w:hAnsi="Arial Narrow"/>
                    <w:sz w:val="18"/>
                    <w:szCs w:val="18"/>
                  </w:rPr>
                  <w:t>4,085,594,463.71</w:t>
                </w:r>
              </w:p>
            </w:tc>
            <w:tc>
              <w:tcPr>
                <w:tcW w:w="1225" w:type="dxa"/>
              </w:tcPr>
              <w:p>
                <w:pPr>
                  <w:ind w:right="5"/>
                  <w:jc w:val="right"/>
                  <w:rPr>
                    <w:rFonts w:ascii="Arial Narrow" w:hAnsi="Arial Narrow"/>
                    <w:sz w:val="18"/>
                    <w:szCs w:val="18"/>
                  </w:rPr>
                </w:pPr>
                <w:r>
                  <w:rPr>
                    <w:rFonts w:ascii="Arial Narrow" w:hAnsi="Arial Narrow"/>
                    <w:sz w:val="18"/>
                    <w:szCs w:val="18"/>
                  </w:rPr>
                  <w:t>4,728,754,552.14</w:t>
                </w:r>
              </w:p>
            </w:tc>
            <w:tc>
              <w:tcPr>
                <w:tcW w:w="1234" w:type="dxa"/>
              </w:tcPr>
              <w:p>
                <w:pPr>
                  <w:ind w:right="5"/>
                  <w:jc w:val="right"/>
                  <w:rPr>
                    <w:rFonts w:ascii="Arial Narrow" w:hAnsi="Arial Narrow"/>
                    <w:sz w:val="18"/>
                    <w:szCs w:val="18"/>
                  </w:rPr>
                </w:pPr>
              </w:p>
            </w:tc>
            <w:tc>
              <w:tcPr>
                <w:tcW w:w="1231" w:type="dxa"/>
              </w:tcPr>
              <w:p>
                <w:pPr>
                  <w:ind w:right="5"/>
                  <w:jc w:val="right"/>
                  <w:rPr>
                    <w:rFonts w:ascii="Arial Narrow" w:hAnsi="Arial Narrow"/>
                    <w:sz w:val="18"/>
                    <w:szCs w:val="18"/>
                  </w:rPr>
                </w:pPr>
                <w:r>
                  <w:rPr>
                    <w:rFonts w:ascii="Arial Narrow" w:hAnsi="Arial Narrow"/>
                    <w:sz w:val="18"/>
                    <w:szCs w:val="18"/>
                  </w:rPr>
                  <w:t>4,728,754,552.14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sdt>
              <w:sdtPr>
                <w:tag w:val="_PLD_e8ec014f4d914ac0bed2bd6948dcaa36"/>
                <w:id w:val="6774578"/>
                <w:lock w:val="sdtLocked"/>
              </w:sdtPr>
              <w:sdtContent>
                <w:tc>
                  <w:tcPr>
                    <w:tcW w:w="1498" w:type="dxa"/>
                  </w:tcPr>
                  <w:p>
                    <w:pPr>
                      <w:ind w:right="5"/>
                      <w:rPr>
                        <w:szCs w:val="21"/>
                      </w:rPr>
                    </w:pPr>
                    <w:r>
                      <w:rPr>
                        <w:rFonts w:hint="eastAsia"/>
                        <w:szCs w:val="21"/>
                      </w:rPr>
                      <w:t>在产品</w:t>
                    </w:r>
                  </w:p>
                </w:tc>
              </w:sdtContent>
            </w:sdt>
            <w:tc>
              <w:tcPr>
                <w:tcW w:w="1217" w:type="dxa"/>
              </w:tcPr>
              <w:p>
                <w:pPr>
                  <w:ind w:right="5"/>
                  <w:jc w:val="right"/>
                  <w:rPr>
                    <w:rFonts w:ascii="Arial Narrow" w:hAnsi="Arial Narrow"/>
                    <w:sz w:val="18"/>
                    <w:szCs w:val="18"/>
                  </w:rPr>
                </w:pPr>
                <w:r>
                  <w:rPr>
                    <w:rFonts w:ascii="Arial Narrow" w:hAnsi="Arial Narrow"/>
                    <w:sz w:val="18"/>
                    <w:szCs w:val="18"/>
                  </w:rPr>
                  <w:t>280,381,784.41</w:t>
                </w:r>
              </w:p>
            </w:tc>
            <w:tc>
              <w:tcPr>
                <w:tcW w:w="1245" w:type="dxa"/>
              </w:tcPr>
              <w:p>
                <w:pPr>
                  <w:ind w:right="5"/>
                  <w:jc w:val="right"/>
                  <w:rPr>
                    <w:rFonts w:ascii="Arial Narrow" w:hAnsi="Arial Narrow"/>
                    <w:sz w:val="18"/>
                    <w:szCs w:val="18"/>
                  </w:rPr>
                </w:pPr>
              </w:p>
            </w:tc>
            <w:tc>
              <w:tcPr>
                <w:tcW w:w="1245" w:type="dxa"/>
              </w:tcPr>
              <w:p>
                <w:pPr>
                  <w:ind w:right="5"/>
                  <w:jc w:val="right"/>
                  <w:rPr>
                    <w:rFonts w:ascii="Arial Narrow" w:hAnsi="Arial Narrow"/>
                    <w:sz w:val="18"/>
                    <w:szCs w:val="18"/>
                  </w:rPr>
                </w:pPr>
                <w:r>
                  <w:rPr>
                    <w:rFonts w:ascii="Arial Narrow" w:hAnsi="Arial Narrow"/>
                    <w:sz w:val="18"/>
                    <w:szCs w:val="18"/>
                  </w:rPr>
                  <w:t>280,381,784.41</w:t>
                </w:r>
              </w:p>
            </w:tc>
            <w:tc>
              <w:tcPr>
                <w:tcW w:w="1225" w:type="dxa"/>
              </w:tcPr>
              <w:p>
                <w:pPr>
                  <w:ind w:right="5"/>
                  <w:jc w:val="right"/>
                  <w:rPr>
                    <w:rFonts w:ascii="Arial Narrow" w:hAnsi="Arial Narrow"/>
                    <w:sz w:val="18"/>
                    <w:szCs w:val="18"/>
                  </w:rPr>
                </w:pPr>
                <w:r>
                  <w:rPr>
                    <w:rFonts w:ascii="Arial Narrow" w:hAnsi="Arial Narrow"/>
                    <w:sz w:val="18"/>
                    <w:szCs w:val="18"/>
                  </w:rPr>
                  <w:t>393,762,050.55</w:t>
                </w:r>
              </w:p>
            </w:tc>
            <w:tc>
              <w:tcPr>
                <w:tcW w:w="1234" w:type="dxa"/>
              </w:tcPr>
              <w:p>
                <w:pPr>
                  <w:ind w:right="5"/>
                  <w:jc w:val="right"/>
                  <w:rPr>
                    <w:rFonts w:ascii="Arial Narrow" w:hAnsi="Arial Narrow"/>
                    <w:sz w:val="18"/>
                    <w:szCs w:val="18"/>
                  </w:rPr>
                </w:pPr>
                <w:r>
                  <w:rPr>
                    <w:rFonts w:ascii="Arial Narrow" w:hAnsi="Arial Narrow"/>
                    <w:sz w:val="18"/>
                    <w:szCs w:val="18"/>
                  </w:rPr>
                  <w:t>2,892,406.12</w:t>
                </w:r>
              </w:p>
            </w:tc>
            <w:tc>
              <w:tcPr>
                <w:tcW w:w="1231" w:type="dxa"/>
              </w:tcPr>
              <w:p>
                <w:pPr>
                  <w:ind w:right="5"/>
                  <w:jc w:val="right"/>
                  <w:rPr>
                    <w:rFonts w:ascii="Arial Narrow" w:hAnsi="Arial Narrow"/>
                    <w:sz w:val="18"/>
                    <w:szCs w:val="18"/>
                  </w:rPr>
                </w:pPr>
                <w:r>
                  <w:rPr>
                    <w:rFonts w:ascii="Arial Narrow" w:hAnsi="Arial Narrow"/>
                    <w:sz w:val="18"/>
                    <w:szCs w:val="18"/>
                  </w:rPr>
                  <w:t>390,869,644.43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9338f9d3e99649e7b63b83bb4d340a44"/>
                <w:id w:val="6774579"/>
                <w:lock w:val="sdtLocked"/>
              </w:sdtPr>
              <w:sdtContent>
                <w:tc>
                  <w:tcPr>
                    <w:tcW w:w="1498" w:type="dxa"/>
                  </w:tcPr>
                  <w:p>
                    <w:pPr>
                      <w:ind w:right="5"/>
                      <w:rPr>
                        <w:szCs w:val="21"/>
                      </w:rPr>
                    </w:pPr>
                    <w:r>
                      <w:rPr>
                        <w:rFonts w:hint="eastAsia"/>
                        <w:szCs w:val="21"/>
                      </w:rPr>
                      <w:t>库存商品</w:t>
                    </w:r>
                  </w:p>
                </w:tc>
              </w:sdtContent>
            </w:sdt>
            <w:tc>
              <w:tcPr>
                <w:tcW w:w="1217" w:type="dxa"/>
              </w:tcPr>
              <w:p>
                <w:pPr>
                  <w:ind w:right="5"/>
                  <w:jc w:val="right"/>
                  <w:rPr>
                    <w:rFonts w:ascii="Arial Narrow" w:hAnsi="Arial Narrow"/>
                    <w:sz w:val="18"/>
                    <w:szCs w:val="18"/>
                  </w:rPr>
                </w:pPr>
                <w:r>
                  <w:rPr>
                    <w:rFonts w:ascii="Arial Narrow" w:hAnsi="Arial Narrow"/>
                    <w:sz w:val="18"/>
                    <w:szCs w:val="18"/>
                  </w:rPr>
                  <w:t>403,494,080.50</w:t>
                </w:r>
              </w:p>
            </w:tc>
            <w:tc>
              <w:tcPr>
                <w:tcW w:w="1245" w:type="dxa"/>
              </w:tcPr>
              <w:p>
                <w:pPr>
                  <w:ind w:right="5"/>
                  <w:jc w:val="right"/>
                  <w:rPr>
                    <w:rFonts w:ascii="Arial Narrow" w:hAnsi="Arial Narrow"/>
                    <w:sz w:val="18"/>
                    <w:szCs w:val="18"/>
                  </w:rPr>
                </w:pPr>
                <w:r>
                  <w:rPr>
                    <w:rFonts w:ascii="Arial Narrow" w:hAnsi="Arial Narrow"/>
                    <w:sz w:val="18"/>
                    <w:szCs w:val="18"/>
                  </w:rPr>
                  <w:t>64,884.71</w:t>
                </w:r>
              </w:p>
            </w:tc>
            <w:tc>
              <w:tcPr>
                <w:tcW w:w="1245" w:type="dxa"/>
              </w:tcPr>
              <w:p>
                <w:pPr>
                  <w:ind w:right="5"/>
                  <w:jc w:val="right"/>
                  <w:rPr>
                    <w:rFonts w:ascii="Arial Narrow" w:hAnsi="Arial Narrow"/>
                    <w:sz w:val="18"/>
                    <w:szCs w:val="18"/>
                  </w:rPr>
                </w:pPr>
                <w:r>
                  <w:rPr>
                    <w:rFonts w:ascii="Arial Narrow" w:hAnsi="Arial Narrow"/>
                    <w:sz w:val="18"/>
                    <w:szCs w:val="18"/>
                  </w:rPr>
                  <w:t>403,429,195.79</w:t>
                </w:r>
              </w:p>
            </w:tc>
            <w:tc>
              <w:tcPr>
                <w:tcW w:w="1225" w:type="dxa"/>
              </w:tcPr>
              <w:p>
                <w:pPr>
                  <w:ind w:right="5"/>
                  <w:jc w:val="right"/>
                  <w:rPr>
                    <w:rFonts w:ascii="Arial Narrow" w:hAnsi="Arial Narrow"/>
                    <w:sz w:val="18"/>
                    <w:szCs w:val="18"/>
                  </w:rPr>
                </w:pPr>
                <w:r>
                  <w:rPr>
                    <w:rFonts w:ascii="Arial Narrow" w:hAnsi="Arial Narrow"/>
                    <w:sz w:val="18"/>
                    <w:szCs w:val="18"/>
                  </w:rPr>
                  <w:t>190,639,862.76</w:t>
                </w:r>
              </w:p>
            </w:tc>
            <w:tc>
              <w:tcPr>
                <w:tcW w:w="1234" w:type="dxa"/>
              </w:tcPr>
              <w:p>
                <w:pPr>
                  <w:ind w:right="5"/>
                  <w:jc w:val="right"/>
                  <w:rPr>
                    <w:rFonts w:ascii="Arial Narrow" w:hAnsi="Arial Narrow"/>
                    <w:sz w:val="18"/>
                    <w:szCs w:val="18"/>
                  </w:rPr>
                </w:pPr>
                <w:r>
                  <w:rPr>
                    <w:rFonts w:ascii="Arial Narrow" w:hAnsi="Arial Narrow"/>
                    <w:sz w:val="18"/>
                    <w:szCs w:val="18"/>
                  </w:rPr>
                  <w:t>2,179,341.24</w:t>
                </w:r>
              </w:p>
            </w:tc>
            <w:tc>
              <w:tcPr>
                <w:tcW w:w="1231" w:type="dxa"/>
              </w:tcPr>
              <w:p>
                <w:pPr>
                  <w:ind w:right="5"/>
                  <w:jc w:val="right"/>
                  <w:rPr>
                    <w:rFonts w:ascii="Arial Narrow" w:hAnsi="Arial Narrow"/>
                    <w:sz w:val="18"/>
                    <w:szCs w:val="18"/>
                  </w:rPr>
                </w:pPr>
                <w:r>
                  <w:rPr>
                    <w:rFonts w:ascii="Arial Narrow" w:hAnsi="Arial Narrow"/>
                    <w:sz w:val="18"/>
                    <w:szCs w:val="18"/>
                  </w:rPr>
                  <w:t>188,460,521.52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edd5f5aae1714ca29cd82d7b8bc33bc6"/>
                <w:id w:val="6774580"/>
                <w:lock w:val="sdtLocked"/>
              </w:sdtPr>
              <w:sdtContent>
                <w:tc>
                  <w:tcPr>
                    <w:tcW w:w="1498" w:type="dxa"/>
                  </w:tcPr>
                  <w:p>
                    <w:pPr>
                      <w:ind w:right="5"/>
                      <w:jc w:val="center"/>
                      <w:rPr>
                        <w:szCs w:val="21"/>
                      </w:rPr>
                    </w:pPr>
                    <w:r>
                      <w:rPr>
                        <w:rFonts w:hint="eastAsia"/>
                        <w:szCs w:val="21"/>
                      </w:rPr>
                      <w:t>合计</w:t>
                    </w:r>
                  </w:p>
                </w:tc>
              </w:sdtContent>
            </w:sdt>
            <w:tc>
              <w:tcPr>
                <w:tcW w:w="1217" w:type="dxa"/>
              </w:tcPr>
              <w:p>
                <w:pPr>
                  <w:jc w:val="right"/>
                  <w:rPr>
                    <w:rFonts w:ascii="Arial Narrow" w:hAnsi="Arial Narrow"/>
                    <w:sz w:val="18"/>
                    <w:szCs w:val="18"/>
                  </w:rPr>
                </w:pPr>
                <w:r>
                  <w:rPr>
                    <w:rFonts w:ascii="Arial Narrow" w:hAnsi="Arial Narrow"/>
                    <w:sz w:val="18"/>
                    <w:szCs w:val="18"/>
                  </w:rPr>
                  <w:t>4,769,470,328.62</w:t>
                </w:r>
              </w:p>
            </w:tc>
            <w:tc>
              <w:tcPr>
                <w:tcW w:w="1245" w:type="dxa"/>
              </w:tcPr>
              <w:p>
                <w:pPr>
                  <w:jc w:val="right"/>
                  <w:rPr>
                    <w:rFonts w:ascii="Arial Narrow" w:hAnsi="Arial Narrow"/>
                    <w:sz w:val="18"/>
                    <w:szCs w:val="18"/>
                  </w:rPr>
                </w:pPr>
                <w:r>
                  <w:rPr>
                    <w:rFonts w:ascii="Arial Narrow" w:hAnsi="Arial Narrow"/>
                    <w:sz w:val="18"/>
                    <w:szCs w:val="18"/>
                  </w:rPr>
                  <w:t>64,884.71</w:t>
                </w:r>
              </w:p>
            </w:tc>
            <w:tc>
              <w:tcPr>
                <w:tcW w:w="1245" w:type="dxa"/>
              </w:tcPr>
              <w:p>
                <w:pPr>
                  <w:jc w:val="right"/>
                  <w:rPr>
                    <w:rFonts w:ascii="Arial Narrow" w:hAnsi="Arial Narrow"/>
                    <w:sz w:val="18"/>
                    <w:szCs w:val="18"/>
                  </w:rPr>
                </w:pPr>
                <w:r>
                  <w:rPr>
                    <w:rFonts w:ascii="Arial Narrow" w:hAnsi="Arial Narrow"/>
                    <w:sz w:val="18"/>
                    <w:szCs w:val="18"/>
                  </w:rPr>
                  <w:t>4,769,405,443.91</w:t>
                </w:r>
              </w:p>
            </w:tc>
            <w:tc>
              <w:tcPr>
                <w:tcW w:w="1225" w:type="dxa"/>
              </w:tcPr>
              <w:p>
                <w:pPr>
                  <w:jc w:val="right"/>
                  <w:rPr>
                    <w:rFonts w:ascii="Arial Narrow" w:hAnsi="Arial Narrow"/>
                    <w:sz w:val="18"/>
                    <w:szCs w:val="18"/>
                  </w:rPr>
                </w:pPr>
                <w:r>
                  <w:rPr>
                    <w:rFonts w:ascii="Arial Narrow" w:hAnsi="Arial Narrow"/>
                    <w:sz w:val="18"/>
                    <w:szCs w:val="18"/>
                  </w:rPr>
                  <w:t>5,313,156,465.45</w:t>
                </w:r>
              </w:p>
            </w:tc>
            <w:tc>
              <w:tcPr>
                <w:tcW w:w="1234" w:type="dxa"/>
              </w:tcPr>
              <w:p>
                <w:pPr>
                  <w:jc w:val="right"/>
                  <w:rPr>
                    <w:rFonts w:ascii="Arial Narrow" w:hAnsi="Arial Narrow"/>
                    <w:sz w:val="18"/>
                    <w:szCs w:val="18"/>
                  </w:rPr>
                </w:pPr>
                <w:r>
                  <w:rPr>
                    <w:rFonts w:ascii="Arial Narrow" w:hAnsi="Arial Narrow"/>
                    <w:sz w:val="18"/>
                    <w:szCs w:val="18"/>
                  </w:rPr>
                  <w:t>5,071,747.36</w:t>
                </w:r>
              </w:p>
            </w:tc>
            <w:tc>
              <w:tcPr>
                <w:tcW w:w="1231" w:type="dxa"/>
              </w:tcPr>
              <w:p>
                <w:pPr>
                  <w:jc w:val="right"/>
                  <w:rPr>
                    <w:rFonts w:ascii="Arial Narrow" w:hAnsi="Arial Narrow"/>
                    <w:sz w:val="18"/>
                    <w:szCs w:val="18"/>
                  </w:rPr>
                </w:pPr>
                <w:r>
                  <w:rPr>
                    <w:rFonts w:ascii="Arial Narrow" w:hAnsi="Arial Narrow"/>
                    <w:sz w:val="18"/>
                    <w:szCs w:val="18"/>
                  </w:rPr>
                  <w:t>5,308,084,718.09</w:t>
                </w:r>
              </w:p>
            </w:tc>
          </w:tr>
        </w:tbl>
        <w:p/>
      </w:sdtContent>
    </w:sdt>
    <w:p>
      <w:pPr>
        <w:snapToGrid w:val="0"/>
        <w:spacing w:line="240" w:lineRule="atLeast"/>
        <w:rPr>
          <w:color w:val="FF6600"/>
          <w:szCs w:val="21"/>
        </w:rPr>
      </w:pPr>
    </w:p>
    <w:sdt>
      <w:sdtPr>
        <w:rPr>
          <w:rFonts w:hint="eastAsia" w:ascii="宋体" w:hAnsi="宋体" w:cs="宋体"/>
          <w:b w:val="0"/>
          <w:bCs w:val="0"/>
          <w:kern w:val="0"/>
          <w:szCs w:val="24"/>
        </w:rPr>
        <w:alias w:val="模块:存货跌价准备"/>
        <w:tag w:val="_SEC_f5d204839da647b4984ba81ca9593f3b"/>
        <w:id w:val="6774598"/>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0"/>
              <w:numId w:val="73"/>
            </w:numPr>
            <w:tabs>
              <w:tab w:val="left" w:pos="630"/>
            </w:tabs>
          </w:pPr>
          <w:r>
            <w:rPr>
              <w:rFonts w:hint="eastAsia"/>
            </w:rPr>
            <w:t>存货跌价准备</w:t>
          </w:r>
        </w:p>
        <w:sdt>
          <w:sdtPr>
            <w:alias w:val="是否适用：存货跌价准备[双击切换]"/>
            <w:tag w:val="_GBC_c61866b530ae491eb21bee1edd36619e"/>
            <w:id w:val="677458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存货跌价准备"/>
              <w:tag w:val="_GBC_2d3e3a5e2ff44ef3bbef756054f246f3"/>
              <w:id w:val="677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存货跌价准备"/>
              <w:tag w:val="_GBC_c51bd05fe51f4b609e7e1904eb064d34"/>
              <w:id w:val="67745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175"/>
            <w:gridCol w:w="1191"/>
            <w:gridCol w:w="1191"/>
            <w:gridCol w:w="1301"/>
            <w:gridCol w:w="109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sdt>
              <w:sdtPr>
                <w:tag w:val="_PLD_4ac7cc4fa4994c1db43ed3b367defc13"/>
                <w:id w:val="6774585"/>
                <w:lock w:val="sdtLocked"/>
              </w:sdtPr>
              <w:sdtContent>
                <w:tc>
                  <w:tcPr>
                    <w:tcW w:w="1914"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w:t>
                    </w:r>
                  </w:p>
                </w:tc>
              </w:sdtContent>
            </w:sdt>
            <w:sdt>
              <w:sdtPr>
                <w:tag w:val="_PLD_7a2e758257864908b13bf89a561f9b5a"/>
                <w:id w:val="6774586"/>
                <w:lock w:val="sdtLocked"/>
              </w:sdtPr>
              <w:sdtContent>
                <w:tc>
                  <w:tcPr>
                    <w:tcW w:w="1175"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期初余额</w:t>
                    </w:r>
                  </w:p>
                </w:tc>
              </w:sdtContent>
            </w:sdt>
            <w:sdt>
              <w:sdtPr>
                <w:tag w:val="_PLD_d95d27d30a6440b5ba0d3798473f422e"/>
                <w:id w:val="6774587"/>
                <w:lock w:val="sdtLocked"/>
              </w:sdtPr>
              <w:sdtContent>
                <w:tc>
                  <w:tcPr>
                    <w:tcW w:w="2382" w:type="dxa"/>
                    <w:gridSpan w:val="2"/>
                    <w:tcBorders>
                      <w:top w:val="single" w:color="auto" w:sz="4" w:space="0"/>
                      <w:left w:val="single" w:color="auto" w:sz="4" w:space="0"/>
                      <w:right w:val="single" w:color="auto" w:sz="4" w:space="0"/>
                    </w:tcBorders>
                    <w:vAlign w:val="center"/>
                  </w:tcPr>
                  <w:p>
                    <w:pPr>
                      <w:jc w:val="center"/>
                      <w:rPr>
                        <w:szCs w:val="21"/>
                      </w:rPr>
                    </w:pPr>
                    <w:r>
                      <w:rPr>
                        <w:rFonts w:hint="eastAsia"/>
                        <w:szCs w:val="21"/>
                      </w:rPr>
                      <w:t>本期增加金额</w:t>
                    </w:r>
                  </w:p>
                </w:tc>
              </w:sdtContent>
            </w:sdt>
            <w:sdt>
              <w:sdtPr>
                <w:tag w:val="_PLD_cb7d37811bf944e4a7bb31b4366efaeb"/>
                <w:id w:val="6774588"/>
                <w:lock w:val="sdtLocked"/>
              </w:sdtPr>
              <w:sdtContent>
                <w:tc>
                  <w:tcPr>
                    <w:tcW w:w="2394" w:type="dxa"/>
                    <w:gridSpan w:val="2"/>
                    <w:tcBorders>
                      <w:top w:val="single" w:color="auto" w:sz="4" w:space="0"/>
                      <w:left w:val="single" w:color="auto" w:sz="4" w:space="0"/>
                      <w:right w:val="single" w:color="auto" w:sz="4" w:space="0"/>
                    </w:tcBorders>
                    <w:vAlign w:val="center"/>
                  </w:tcPr>
                  <w:p>
                    <w:pPr>
                      <w:jc w:val="center"/>
                      <w:rPr>
                        <w:szCs w:val="21"/>
                      </w:rPr>
                    </w:pPr>
                    <w:r>
                      <w:rPr>
                        <w:rFonts w:hint="eastAsia"/>
                        <w:szCs w:val="21"/>
                      </w:rPr>
                      <w:t>本期减少金额</w:t>
                    </w:r>
                  </w:p>
                </w:tc>
              </w:sdtContent>
            </w:sdt>
            <w:sdt>
              <w:sdtPr>
                <w:tag w:val="_PLD_b2523ee7f028451790c9f2ef6e216a59"/>
                <w:id w:val="6774589"/>
                <w:lock w:val="sdtLocked"/>
              </w:sdtPr>
              <w:sdtContent>
                <w:tc>
                  <w:tcPr>
                    <w:tcW w:w="1184"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914" w:type="dxa"/>
                <w:vMerge w:val="continue"/>
                <w:tcBorders>
                  <w:top w:val="single" w:color="auto" w:sz="4" w:space="0"/>
                  <w:left w:val="single" w:color="auto" w:sz="4" w:space="0"/>
                  <w:bottom w:val="single" w:color="auto" w:sz="4" w:space="0"/>
                  <w:right w:val="single" w:color="auto" w:sz="4" w:space="0"/>
                </w:tcBorders>
              </w:tcPr>
              <w:p>
                <w:pPr>
                  <w:jc w:val="center"/>
                  <w:rPr>
                    <w:szCs w:val="21"/>
                  </w:rPr>
                </w:pPr>
              </w:p>
            </w:tc>
            <w:tc>
              <w:tcPr>
                <w:tcW w:w="1175" w:type="dxa"/>
                <w:vMerge w:val="continue"/>
                <w:tcBorders>
                  <w:top w:val="single" w:color="auto" w:sz="4" w:space="0"/>
                  <w:left w:val="single" w:color="auto" w:sz="4" w:space="0"/>
                  <w:bottom w:val="single" w:color="auto" w:sz="4" w:space="0"/>
                  <w:right w:val="single" w:color="auto" w:sz="4" w:space="0"/>
                </w:tcBorders>
              </w:tcPr>
              <w:p>
                <w:pPr>
                  <w:jc w:val="center"/>
                  <w:rPr>
                    <w:szCs w:val="21"/>
                  </w:rPr>
                </w:pPr>
              </w:p>
            </w:tc>
            <w:sdt>
              <w:sdtPr>
                <w:tag w:val="_PLD_16a8dea59b924b23a28ea45988190955"/>
                <w:id w:val="6774590"/>
                <w:lock w:val="sdtLocked"/>
              </w:sdtPr>
              <w:sdtContent>
                <w:tc>
                  <w:tcPr>
                    <w:tcW w:w="1191" w:type="dxa"/>
                    <w:tcBorders>
                      <w:left w:val="single" w:color="auto" w:sz="4" w:space="0"/>
                      <w:bottom w:val="single" w:color="auto" w:sz="4" w:space="0"/>
                      <w:right w:val="single" w:color="auto" w:sz="4" w:space="0"/>
                    </w:tcBorders>
                    <w:vAlign w:val="center"/>
                  </w:tcPr>
                  <w:p>
                    <w:pPr>
                      <w:jc w:val="center"/>
                      <w:rPr>
                        <w:szCs w:val="21"/>
                      </w:rPr>
                    </w:pPr>
                    <w:r>
                      <w:rPr>
                        <w:rFonts w:hint="eastAsia"/>
                        <w:szCs w:val="21"/>
                      </w:rPr>
                      <w:t>计提</w:t>
                    </w:r>
                  </w:p>
                </w:tc>
              </w:sdtContent>
            </w:sdt>
            <w:sdt>
              <w:sdtPr>
                <w:tag w:val="_PLD_621a418b64e54315a5981611a5504791"/>
                <w:id w:val="6774591"/>
                <w:lock w:val="sdtLocked"/>
              </w:sdtPr>
              <w:sdtContent>
                <w:tc>
                  <w:tcPr>
                    <w:tcW w:w="1191" w:type="dxa"/>
                    <w:tcBorders>
                      <w:left w:val="single" w:color="auto" w:sz="4" w:space="0"/>
                      <w:bottom w:val="single" w:color="auto" w:sz="4" w:space="0"/>
                      <w:right w:val="single" w:color="auto" w:sz="4" w:space="0"/>
                    </w:tcBorders>
                    <w:vAlign w:val="center"/>
                  </w:tcPr>
                  <w:p>
                    <w:pPr>
                      <w:jc w:val="center"/>
                      <w:rPr>
                        <w:szCs w:val="21"/>
                      </w:rPr>
                    </w:pPr>
                    <w:r>
                      <w:rPr>
                        <w:rFonts w:hint="eastAsia"/>
                        <w:szCs w:val="21"/>
                      </w:rPr>
                      <w:t>其他</w:t>
                    </w:r>
                  </w:p>
                </w:tc>
              </w:sdtContent>
            </w:sdt>
            <w:sdt>
              <w:sdtPr>
                <w:tag w:val="_PLD_1928b16982a747c59a563fa4d086d9fc"/>
                <w:id w:val="6774592"/>
                <w:lock w:val="sdtLocked"/>
              </w:sdtPr>
              <w:sdtContent>
                <w:tc>
                  <w:tcPr>
                    <w:tcW w:w="13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转回或转销</w:t>
                    </w:r>
                  </w:p>
                </w:tc>
              </w:sdtContent>
            </w:sdt>
            <w:sdt>
              <w:sdtPr>
                <w:tag w:val="_PLD_1472e7afb261461b8468e1969b080fd5"/>
                <w:id w:val="6774593"/>
                <w:lock w:val="sdtLocked"/>
              </w:sdtPr>
              <w:sdtContent>
                <w:tc>
                  <w:tcPr>
                    <w:tcW w:w="109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其他</w:t>
                    </w:r>
                  </w:p>
                </w:tc>
              </w:sdtContent>
            </w:sdt>
            <w:tc>
              <w:tcPr>
                <w:tcW w:w="1184"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86e6396528124ce381fc6cc8221d5997"/>
                <w:id w:val="6774594"/>
                <w:lock w:val="sdtLocked"/>
              </w:sdtPr>
              <w:sdtContent>
                <w:tc>
                  <w:tcPr>
                    <w:tcW w:w="191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原材料</w:t>
                    </w:r>
                  </w:p>
                </w:tc>
              </w:sdtContent>
            </w:sdt>
            <w:tc>
              <w:tcPr>
                <w:tcW w:w="1175" w:type="dxa"/>
                <w:tcBorders>
                  <w:top w:val="single" w:color="auto" w:sz="4" w:space="0"/>
                  <w:left w:val="single" w:color="auto" w:sz="4" w:space="0"/>
                  <w:bottom w:val="single" w:color="auto" w:sz="4" w:space="0"/>
                  <w:right w:val="single" w:color="auto" w:sz="4" w:space="0"/>
                </w:tcBorders>
              </w:tcPr>
              <w:p>
                <w:pPr>
                  <w:ind w:right="5"/>
                  <w:jc w:val="right"/>
                  <w:rPr>
                    <w:szCs w:val="21"/>
                  </w:rPr>
                </w:pPr>
              </w:p>
            </w:tc>
            <w:tc>
              <w:tcPr>
                <w:tcW w:w="1191" w:type="dxa"/>
                <w:tcBorders>
                  <w:top w:val="single" w:color="auto" w:sz="4" w:space="0"/>
                  <w:left w:val="single" w:color="auto" w:sz="4" w:space="0"/>
                  <w:bottom w:val="single" w:color="auto" w:sz="4" w:space="0"/>
                  <w:right w:val="single" w:color="auto" w:sz="4" w:space="0"/>
                </w:tcBorders>
              </w:tcPr>
              <w:p>
                <w:pPr>
                  <w:jc w:val="right"/>
                  <w:rPr>
                    <w:szCs w:val="21"/>
                  </w:rPr>
                </w:pPr>
              </w:p>
            </w:tc>
            <w:tc>
              <w:tcPr>
                <w:tcW w:w="1191" w:type="dxa"/>
                <w:tcBorders>
                  <w:top w:val="single" w:color="auto" w:sz="4" w:space="0"/>
                  <w:left w:val="single" w:color="auto" w:sz="4" w:space="0"/>
                  <w:bottom w:val="single" w:color="auto" w:sz="4" w:space="0"/>
                  <w:right w:val="single" w:color="auto" w:sz="4" w:space="0"/>
                </w:tcBorders>
              </w:tcPr>
              <w:p>
                <w:pPr>
                  <w:jc w:val="right"/>
                  <w:rPr>
                    <w:szCs w:val="21"/>
                  </w:rPr>
                </w:pPr>
              </w:p>
            </w:tc>
            <w:tc>
              <w:tcPr>
                <w:tcW w:w="1301" w:type="dxa"/>
                <w:tcBorders>
                  <w:top w:val="single" w:color="auto" w:sz="4" w:space="0"/>
                  <w:left w:val="single" w:color="auto" w:sz="4" w:space="0"/>
                  <w:bottom w:val="single" w:color="auto" w:sz="4" w:space="0"/>
                  <w:right w:val="single" w:color="auto" w:sz="4" w:space="0"/>
                </w:tcBorders>
              </w:tcPr>
              <w:p>
                <w:pPr>
                  <w:jc w:val="right"/>
                  <w:rPr>
                    <w:szCs w:val="21"/>
                  </w:rPr>
                </w:pPr>
              </w:p>
            </w:tc>
            <w:tc>
              <w:tcPr>
                <w:tcW w:w="1093" w:type="dxa"/>
                <w:tcBorders>
                  <w:top w:val="single" w:color="auto" w:sz="4" w:space="0"/>
                  <w:left w:val="single" w:color="auto" w:sz="4" w:space="0"/>
                  <w:bottom w:val="single" w:color="auto" w:sz="4" w:space="0"/>
                  <w:right w:val="single" w:color="auto" w:sz="4" w:space="0"/>
                </w:tcBorders>
              </w:tcPr>
              <w:p>
                <w:pPr>
                  <w:jc w:val="right"/>
                  <w:rPr>
                    <w:szCs w:val="21"/>
                  </w:rPr>
                </w:pPr>
              </w:p>
            </w:tc>
            <w:tc>
              <w:tcPr>
                <w:tcW w:w="1184" w:type="dxa"/>
                <w:tcBorders>
                  <w:top w:val="single" w:color="auto" w:sz="4" w:space="0"/>
                  <w:left w:val="single" w:color="auto" w:sz="4" w:space="0"/>
                  <w:bottom w:val="single" w:color="auto" w:sz="4" w:space="0"/>
                  <w:right w:val="single" w:color="auto" w:sz="4" w:space="0"/>
                </w:tcBorders>
              </w:tcPr>
              <w:p>
                <w:pPr>
                  <w:ind w:right="5"/>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36796b02dbd34db086d5eccb37ef3201"/>
                <w:id w:val="6774595"/>
                <w:lock w:val="sdtLocked"/>
              </w:sdtPr>
              <w:sdtContent>
                <w:tc>
                  <w:tcPr>
                    <w:tcW w:w="191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在产品</w:t>
                    </w:r>
                  </w:p>
                </w:tc>
              </w:sdtContent>
            </w:sdt>
            <w:tc>
              <w:tcPr>
                <w:tcW w:w="1175" w:type="dxa"/>
                <w:tcBorders>
                  <w:top w:val="single" w:color="auto" w:sz="4" w:space="0"/>
                  <w:left w:val="single" w:color="auto" w:sz="4" w:space="0"/>
                  <w:bottom w:val="single" w:color="auto" w:sz="4" w:space="0"/>
                  <w:right w:val="single" w:color="auto" w:sz="4" w:space="0"/>
                </w:tcBorders>
              </w:tcPr>
              <w:p>
                <w:pPr>
                  <w:ind w:right="5"/>
                  <w:jc w:val="right"/>
                  <w:rPr>
                    <w:rFonts w:ascii="Arial Narrow" w:hAnsi="Arial Narrow"/>
                    <w:sz w:val="18"/>
                    <w:szCs w:val="18"/>
                  </w:rPr>
                </w:pPr>
                <w:r>
                  <w:rPr>
                    <w:rFonts w:ascii="Arial Narrow" w:hAnsi="Arial Narrow"/>
                    <w:sz w:val="18"/>
                    <w:szCs w:val="18"/>
                  </w:rPr>
                  <w:t>2,892,406.12</w:t>
                </w:r>
              </w:p>
            </w:tc>
            <w:tc>
              <w:tcPr>
                <w:tcW w:w="1191" w:type="dxa"/>
                <w:tcBorders>
                  <w:top w:val="single" w:color="auto" w:sz="4" w:space="0"/>
                  <w:left w:val="single" w:color="auto" w:sz="4" w:space="0"/>
                  <w:bottom w:val="single" w:color="auto" w:sz="4" w:space="0"/>
                  <w:right w:val="single" w:color="auto" w:sz="4" w:space="0"/>
                </w:tcBorders>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tcPr>
              <w:p>
                <w:pPr>
                  <w:jc w:val="right"/>
                  <w:rPr>
                    <w:rFonts w:ascii="Arial Narrow" w:hAnsi="Arial Narrow"/>
                    <w:sz w:val="18"/>
                    <w:szCs w:val="18"/>
                  </w:rPr>
                </w:pPr>
              </w:p>
            </w:tc>
            <w:tc>
              <w:tcPr>
                <w:tcW w:w="1301" w:type="dxa"/>
                <w:tcBorders>
                  <w:top w:val="single" w:color="auto" w:sz="4" w:space="0"/>
                  <w:left w:val="single" w:color="auto" w:sz="4" w:space="0"/>
                  <w:bottom w:val="single" w:color="auto" w:sz="4" w:space="0"/>
                  <w:right w:val="single" w:color="auto" w:sz="4" w:space="0"/>
                </w:tcBorders>
              </w:tcPr>
              <w:p>
                <w:pPr>
                  <w:jc w:val="right"/>
                  <w:rPr>
                    <w:rFonts w:ascii="Arial Narrow" w:hAnsi="Arial Narrow"/>
                    <w:sz w:val="18"/>
                    <w:szCs w:val="18"/>
                  </w:rPr>
                </w:pPr>
                <w:r>
                  <w:rPr>
                    <w:rFonts w:ascii="Arial Narrow" w:hAnsi="Arial Narrow"/>
                    <w:sz w:val="18"/>
                    <w:szCs w:val="18"/>
                  </w:rPr>
                  <w:t>2,892,406.12</w:t>
                </w:r>
              </w:p>
            </w:tc>
            <w:tc>
              <w:tcPr>
                <w:tcW w:w="1093" w:type="dxa"/>
                <w:tcBorders>
                  <w:top w:val="single" w:color="auto" w:sz="4" w:space="0"/>
                  <w:left w:val="single" w:color="auto" w:sz="4" w:space="0"/>
                  <w:right w:val="single" w:color="auto" w:sz="4" w:space="0"/>
                </w:tcBorders>
              </w:tcPr>
              <w:p>
                <w:pPr>
                  <w:jc w:val="right"/>
                  <w:rPr>
                    <w:rFonts w:ascii="Arial Narrow" w:hAnsi="Arial Narrow"/>
                    <w:sz w:val="18"/>
                    <w:szCs w:val="18"/>
                  </w:rPr>
                </w:pPr>
              </w:p>
            </w:tc>
            <w:tc>
              <w:tcPr>
                <w:tcW w:w="1184" w:type="dxa"/>
                <w:tcBorders>
                  <w:top w:val="single" w:color="auto" w:sz="4" w:space="0"/>
                  <w:left w:val="single" w:color="auto" w:sz="4" w:space="0"/>
                  <w:bottom w:val="single" w:color="auto" w:sz="4" w:space="0"/>
                  <w:right w:val="single" w:color="auto" w:sz="4" w:space="0"/>
                </w:tcBorders>
              </w:tcPr>
              <w:p>
                <w:pPr>
                  <w:ind w:right="5"/>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ee1bdf0606934625b9fdb42499316f33"/>
                <w:id w:val="6774596"/>
                <w:lock w:val="sdtLocked"/>
              </w:sdtPr>
              <w:sdtContent>
                <w:tc>
                  <w:tcPr>
                    <w:tcW w:w="191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库存商品</w:t>
                    </w:r>
                  </w:p>
                </w:tc>
              </w:sdtContent>
            </w:sdt>
            <w:tc>
              <w:tcPr>
                <w:tcW w:w="1175" w:type="dxa"/>
                <w:tcBorders>
                  <w:top w:val="single" w:color="auto" w:sz="4" w:space="0"/>
                  <w:left w:val="single" w:color="auto" w:sz="4" w:space="0"/>
                  <w:bottom w:val="single" w:color="auto" w:sz="4" w:space="0"/>
                  <w:right w:val="single" w:color="auto" w:sz="4" w:space="0"/>
                </w:tcBorders>
              </w:tcPr>
              <w:p>
                <w:pPr>
                  <w:ind w:right="5"/>
                  <w:jc w:val="right"/>
                  <w:rPr>
                    <w:rFonts w:ascii="Arial Narrow" w:hAnsi="Arial Narrow"/>
                    <w:sz w:val="18"/>
                    <w:szCs w:val="18"/>
                  </w:rPr>
                </w:pPr>
                <w:r>
                  <w:rPr>
                    <w:rFonts w:ascii="Arial Narrow" w:hAnsi="Arial Narrow"/>
                    <w:sz w:val="18"/>
                    <w:szCs w:val="18"/>
                  </w:rPr>
                  <w:t>2,179,341.24</w:t>
                </w:r>
              </w:p>
            </w:tc>
            <w:tc>
              <w:tcPr>
                <w:tcW w:w="1191" w:type="dxa"/>
                <w:tcBorders>
                  <w:top w:val="single" w:color="auto" w:sz="4" w:space="0"/>
                  <w:left w:val="single" w:color="auto" w:sz="4" w:space="0"/>
                  <w:bottom w:val="single" w:color="auto" w:sz="4" w:space="0"/>
                  <w:right w:val="single" w:color="auto" w:sz="4" w:space="0"/>
                </w:tcBorders>
              </w:tcPr>
              <w:p>
                <w:pPr>
                  <w:jc w:val="right"/>
                  <w:rPr>
                    <w:rFonts w:ascii="Arial Narrow" w:hAnsi="Arial Narrow"/>
                    <w:sz w:val="18"/>
                    <w:szCs w:val="18"/>
                  </w:rPr>
                </w:pPr>
                <w:r>
                  <w:rPr>
                    <w:rFonts w:ascii="Arial Narrow" w:hAnsi="Arial Narrow"/>
                    <w:sz w:val="18"/>
                    <w:szCs w:val="18"/>
                  </w:rPr>
                  <w:t>27,517.39</w:t>
                </w:r>
              </w:p>
            </w:tc>
            <w:tc>
              <w:tcPr>
                <w:tcW w:w="1191" w:type="dxa"/>
                <w:tcBorders>
                  <w:top w:val="single" w:color="auto" w:sz="4" w:space="0"/>
                  <w:left w:val="single" w:color="auto" w:sz="4" w:space="0"/>
                  <w:bottom w:val="single" w:color="auto" w:sz="4" w:space="0"/>
                  <w:right w:val="single" w:color="auto" w:sz="4" w:space="0"/>
                </w:tcBorders>
              </w:tcPr>
              <w:p>
                <w:pPr>
                  <w:jc w:val="right"/>
                  <w:rPr>
                    <w:rFonts w:ascii="Arial Narrow" w:hAnsi="Arial Narrow"/>
                    <w:sz w:val="18"/>
                    <w:szCs w:val="18"/>
                  </w:rPr>
                </w:pPr>
              </w:p>
            </w:tc>
            <w:tc>
              <w:tcPr>
                <w:tcW w:w="1301" w:type="dxa"/>
                <w:tcBorders>
                  <w:top w:val="single" w:color="auto" w:sz="4" w:space="0"/>
                  <w:left w:val="single" w:color="auto" w:sz="4" w:space="0"/>
                  <w:bottom w:val="single" w:color="auto" w:sz="4" w:space="0"/>
                  <w:right w:val="single" w:color="auto" w:sz="4" w:space="0"/>
                </w:tcBorders>
              </w:tcPr>
              <w:p>
                <w:pPr>
                  <w:jc w:val="right"/>
                  <w:rPr>
                    <w:rFonts w:ascii="Arial Narrow" w:hAnsi="Arial Narrow"/>
                    <w:sz w:val="18"/>
                    <w:szCs w:val="18"/>
                  </w:rPr>
                </w:pPr>
                <w:r>
                  <w:rPr>
                    <w:rFonts w:ascii="Arial Narrow" w:hAnsi="Arial Narrow"/>
                    <w:sz w:val="18"/>
                    <w:szCs w:val="18"/>
                  </w:rPr>
                  <w:t>2,141,973.92</w:t>
                </w:r>
              </w:p>
            </w:tc>
            <w:tc>
              <w:tcPr>
                <w:tcW w:w="1093" w:type="dxa"/>
                <w:tcBorders>
                  <w:left w:val="single" w:color="auto" w:sz="4" w:space="0"/>
                  <w:right w:val="single" w:color="auto" w:sz="4" w:space="0"/>
                </w:tcBorders>
              </w:tcPr>
              <w:p>
                <w:pPr>
                  <w:jc w:val="right"/>
                  <w:rPr>
                    <w:rFonts w:ascii="Arial Narrow" w:hAnsi="Arial Narrow"/>
                    <w:sz w:val="18"/>
                    <w:szCs w:val="18"/>
                  </w:rPr>
                </w:pPr>
              </w:p>
            </w:tc>
            <w:tc>
              <w:tcPr>
                <w:tcW w:w="1184" w:type="dxa"/>
                <w:tcBorders>
                  <w:top w:val="single" w:color="auto" w:sz="4" w:space="0"/>
                  <w:left w:val="single" w:color="auto" w:sz="4" w:space="0"/>
                  <w:bottom w:val="single" w:color="auto" w:sz="4" w:space="0"/>
                  <w:right w:val="single" w:color="auto" w:sz="4" w:space="0"/>
                </w:tcBorders>
              </w:tcPr>
              <w:p>
                <w:pPr>
                  <w:ind w:right="5"/>
                  <w:jc w:val="right"/>
                  <w:rPr>
                    <w:rFonts w:ascii="Arial Narrow" w:hAnsi="Arial Narrow"/>
                    <w:sz w:val="18"/>
                    <w:szCs w:val="18"/>
                  </w:rPr>
                </w:pPr>
                <w:r>
                  <w:rPr>
                    <w:rFonts w:ascii="Arial Narrow" w:hAnsi="Arial Narrow"/>
                    <w:sz w:val="18"/>
                    <w:szCs w:val="18"/>
                  </w:rPr>
                  <w:t>64,884.71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e42549a7462e42c0b1f6de9278592621"/>
                <w:id w:val="6774597"/>
                <w:lock w:val="sdtLocked"/>
              </w:sdtPr>
              <w:sdtContent>
                <w:tc>
                  <w:tcPr>
                    <w:tcW w:w="1914"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合计</w:t>
                    </w:r>
                  </w:p>
                </w:tc>
              </w:sdtContent>
            </w:sdt>
            <w:tc>
              <w:tcPr>
                <w:tcW w:w="1175" w:type="dxa"/>
                <w:tcBorders>
                  <w:top w:val="single" w:color="auto" w:sz="4" w:space="0"/>
                  <w:left w:val="single" w:color="auto" w:sz="4" w:space="0"/>
                  <w:bottom w:val="single" w:color="auto" w:sz="4" w:space="0"/>
                  <w:right w:val="single" w:color="auto" w:sz="4" w:space="0"/>
                </w:tcBorders>
              </w:tcPr>
              <w:p>
                <w:pPr>
                  <w:ind w:right="5"/>
                  <w:jc w:val="right"/>
                  <w:rPr>
                    <w:rFonts w:ascii="Arial Narrow" w:hAnsi="Arial Narrow"/>
                    <w:sz w:val="18"/>
                    <w:szCs w:val="18"/>
                  </w:rPr>
                </w:pPr>
                <w:r>
                  <w:rPr>
                    <w:rFonts w:ascii="Arial Narrow" w:hAnsi="Arial Narrow"/>
                    <w:sz w:val="18"/>
                    <w:szCs w:val="18"/>
                  </w:rPr>
                  <w:t>5,071,747.36</w:t>
                </w:r>
              </w:p>
            </w:tc>
            <w:tc>
              <w:tcPr>
                <w:tcW w:w="1191" w:type="dxa"/>
                <w:tcBorders>
                  <w:top w:val="single" w:color="auto" w:sz="4" w:space="0"/>
                  <w:left w:val="single" w:color="auto" w:sz="4" w:space="0"/>
                  <w:bottom w:val="single" w:color="auto" w:sz="4" w:space="0"/>
                  <w:right w:val="single" w:color="auto" w:sz="4" w:space="0"/>
                </w:tcBorders>
              </w:tcPr>
              <w:p>
                <w:pPr>
                  <w:jc w:val="right"/>
                  <w:rPr>
                    <w:rFonts w:ascii="Arial Narrow" w:hAnsi="Arial Narrow"/>
                    <w:sz w:val="18"/>
                    <w:szCs w:val="18"/>
                  </w:rPr>
                </w:pPr>
                <w:r>
                  <w:rPr>
                    <w:rFonts w:ascii="Arial Narrow" w:hAnsi="Arial Narrow"/>
                    <w:sz w:val="18"/>
                    <w:szCs w:val="18"/>
                  </w:rPr>
                  <w:t>27,517.39</w:t>
                </w:r>
              </w:p>
            </w:tc>
            <w:tc>
              <w:tcPr>
                <w:tcW w:w="1191" w:type="dxa"/>
                <w:tcBorders>
                  <w:top w:val="single" w:color="auto" w:sz="4" w:space="0"/>
                  <w:left w:val="single" w:color="auto" w:sz="4" w:space="0"/>
                  <w:bottom w:val="single" w:color="auto" w:sz="4" w:space="0"/>
                  <w:right w:val="single" w:color="auto" w:sz="4" w:space="0"/>
                </w:tcBorders>
              </w:tcPr>
              <w:p>
                <w:pPr>
                  <w:jc w:val="right"/>
                  <w:rPr>
                    <w:rFonts w:ascii="Arial Narrow" w:hAnsi="Arial Narrow"/>
                    <w:sz w:val="18"/>
                    <w:szCs w:val="18"/>
                  </w:rPr>
                </w:pPr>
              </w:p>
            </w:tc>
            <w:tc>
              <w:tcPr>
                <w:tcW w:w="1301" w:type="dxa"/>
                <w:tcBorders>
                  <w:top w:val="single" w:color="auto" w:sz="4" w:space="0"/>
                  <w:left w:val="single" w:color="auto" w:sz="4" w:space="0"/>
                  <w:bottom w:val="single" w:color="auto" w:sz="4" w:space="0"/>
                  <w:right w:val="single" w:color="auto" w:sz="4" w:space="0"/>
                </w:tcBorders>
              </w:tcPr>
              <w:p>
                <w:pPr>
                  <w:jc w:val="right"/>
                  <w:rPr>
                    <w:rFonts w:ascii="Arial Narrow" w:hAnsi="Arial Narrow"/>
                    <w:sz w:val="18"/>
                    <w:szCs w:val="18"/>
                  </w:rPr>
                </w:pPr>
                <w:r>
                  <w:rPr>
                    <w:rFonts w:ascii="Arial Narrow" w:hAnsi="Arial Narrow"/>
                    <w:sz w:val="18"/>
                    <w:szCs w:val="18"/>
                  </w:rPr>
                  <w:t>5,034,380.04</w:t>
                </w:r>
              </w:p>
            </w:tc>
            <w:tc>
              <w:tcPr>
                <w:tcW w:w="1093" w:type="dxa"/>
                <w:tcBorders>
                  <w:left w:val="single" w:color="auto" w:sz="4" w:space="0"/>
                  <w:bottom w:val="single" w:color="auto" w:sz="4" w:space="0"/>
                  <w:right w:val="single" w:color="auto" w:sz="4" w:space="0"/>
                </w:tcBorders>
              </w:tcPr>
              <w:p>
                <w:pPr>
                  <w:jc w:val="right"/>
                  <w:rPr>
                    <w:rFonts w:ascii="Arial Narrow" w:hAnsi="Arial Narrow"/>
                    <w:sz w:val="18"/>
                    <w:szCs w:val="18"/>
                  </w:rPr>
                </w:pPr>
              </w:p>
            </w:tc>
            <w:tc>
              <w:tcPr>
                <w:tcW w:w="1184" w:type="dxa"/>
                <w:tcBorders>
                  <w:top w:val="single" w:color="auto" w:sz="4" w:space="0"/>
                  <w:left w:val="single" w:color="auto" w:sz="4" w:space="0"/>
                  <w:bottom w:val="single" w:color="auto" w:sz="4" w:space="0"/>
                  <w:right w:val="single" w:color="auto" w:sz="4" w:space="0"/>
                </w:tcBorders>
              </w:tcPr>
              <w:p>
                <w:pPr>
                  <w:ind w:right="5"/>
                  <w:jc w:val="right"/>
                  <w:rPr>
                    <w:rFonts w:ascii="Arial Narrow" w:hAnsi="Arial Narrow"/>
                    <w:sz w:val="18"/>
                    <w:szCs w:val="18"/>
                  </w:rPr>
                </w:pPr>
                <w:r>
                  <w:rPr>
                    <w:rFonts w:ascii="Arial Narrow" w:hAnsi="Arial Narrow"/>
                    <w:sz w:val="18"/>
                    <w:szCs w:val="18"/>
                  </w:rPr>
                  <w:t>64,884.71</w:t>
                </w:r>
              </w:p>
            </w:tc>
          </w:tr>
        </w:tbl>
        <w:p/>
      </w:sdtContent>
    </w:sdt>
    <w:sdt>
      <w:sdtPr>
        <w:rPr>
          <w:rFonts w:hint="eastAsia" w:ascii="宋体" w:hAnsi="宋体" w:cs="宋体"/>
          <w:b w:val="0"/>
          <w:bCs w:val="0"/>
          <w:kern w:val="0"/>
          <w:szCs w:val="24"/>
        </w:rPr>
        <w:alias w:val="模块:存货期末余额含有借款费用资本化金额的说明："/>
        <w:tag w:val="_SEC_d2aec934b2134662ac27a795f9f8441b"/>
        <w:id w:val="6774600"/>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0"/>
              <w:numId w:val="73"/>
            </w:numPr>
            <w:tabs>
              <w:tab w:val="left" w:pos="630"/>
            </w:tabs>
          </w:pPr>
          <w:r>
            <w:rPr>
              <w:rFonts w:hint="eastAsia"/>
            </w:rPr>
            <w:t>存货期末余额含有借款费用资本化金额的说明：</w:t>
          </w:r>
        </w:p>
        <w:sdt>
          <w:sdtPr>
            <w:rPr>
              <w:rFonts w:hint="eastAsia"/>
            </w:rPr>
            <w:alias w:val="是否适用：存货期末余额含有借款费用资本化金额的说明[双击切换]"/>
            <w:tag w:val="_GBC_ff19f47f98f34678926b471a6f0d6b3f"/>
            <w:id w:val="6774599"/>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sdt>
      <w:sdtPr>
        <w:rPr>
          <w:rFonts w:hint="eastAsia" w:ascii="Times New Roman" w:hAnsi="Times New Roman" w:cs="宋体"/>
          <w:b w:val="0"/>
          <w:bCs w:val="0"/>
          <w:kern w:val="0"/>
          <w:szCs w:val="24"/>
        </w:rPr>
        <w:alias w:val="模块:建造合同形成的已完工未结算资产情况："/>
        <w:tag w:val="_SEC_5a8432194f3742cd9ddf80473b2a5dfd"/>
        <w:id w:val="6774603"/>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0"/>
              <w:numId w:val="73"/>
            </w:numPr>
            <w:tabs>
              <w:tab w:val="left" w:pos="630"/>
            </w:tabs>
          </w:pPr>
          <w:r>
            <w:rPr>
              <w:rFonts w:hint="eastAsia" w:ascii="Times New Roman" w:hAnsi="Times New Roman" w:cs="宋体"/>
              <w:bCs w:val="0"/>
              <w:kern w:val="0"/>
              <w:szCs w:val="24"/>
            </w:rPr>
            <w:t>期末</w:t>
          </w:r>
          <w:r>
            <w:rPr>
              <w:rFonts w:hint="eastAsia"/>
            </w:rPr>
            <w:t>建造合同形成的已完工未结算资产情况：</w:t>
          </w:r>
        </w:p>
        <w:sdt>
          <w:sdtPr>
            <w:alias w:val="是否适用：期末建造合同形成的已完工未结算资产情况[双击切换]"/>
            <w:tag w:val="_GBC_329953248bce46ea80d476d843c31b0f"/>
            <w:id w:val="677460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
            <w:rPr>
              <w:rFonts w:hint="eastAsia"/>
            </w:rPr>
            <w:t>其他说明</w:t>
          </w:r>
        </w:p>
        <w:sdt>
          <w:sdtPr>
            <w:rPr>
              <w:rFonts w:hint="eastAsia"/>
            </w:rPr>
            <w:alias w:val="是否适用：建造合同形成的已完工未结算资产的其他说明[双击切换]"/>
            <w:tag w:val="_GBC_441099179b66496e99c8de04f24782ad"/>
            <w:id w:val="6774602"/>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sdt>
      <w:sdtPr>
        <w:rPr>
          <w:rFonts w:hint="eastAsia" w:ascii="宋体" w:hAnsi="宋体" w:cs="宋体"/>
          <w:b w:val="0"/>
          <w:bCs w:val="0"/>
          <w:kern w:val="0"/>
          <w:szCs w:val="24"/>
        </w:rPr>
        <w:alias w:val="模块:持有待售资产"/>
        <w:tag w:val="_SEC_e97f0fb9a0bd455fa691d39b4fe54f6b"/>
        <w:id w:val="6774605"/>
        <w:lock w:val="sdtLocked"/>
        <w:placeholder>
          <w:docPart w:val="GBC22222222222222222222222222222"/>
        </w:placeholder>
      </w:sdtPr>
      <w:sdtEndPr>
        <w:rPr>
          <w:rFonts w:hint="default" w:ascii="宋体" w:hAnsi="宋体" w:cs="宋体"/>
          <w:b w:val="0"/>
          <w:bCs w:val="0"/>
          <w:kern w:val="0"/>
          <w:szCs w:val="21"/>
        </w:rPr>
      </w:sdtEndPr>
      <w:sdtContent>
        <w:p>
          <w:pPr>
            <w:pStyle w:val="4"/>
            <w:numPr>
              <w:ilvl w:val="0"/>
              <w:numId w:val="66"/>
            </w:numPr>
            <w:tabs>
              <w:tab w:val="left" w:pos="504"/>
            </w:tabs>
          </w:pPr>
          <w:r>
            <w:rPr>
              <w:rFonts w:hint="eastAsia"/>
            </w:rPr>
            <w:t>持有待售资产</w:t>
          </w:r>
        </w:p>
        <w:sdt>
          <w:sdtPr>
            <w:alias w:val="是否适用：划分为持有待售的资产[双击切换]"/>
            <w:tag w:val="_GBC_bda04401a35942cea6a42c6444c9249d"/>
            <w:id w:val="677460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sdtContent>
    </w:sdt>
    <w:p>
      <w:pPr>
        <w:ind w:right="210"/>
      </w:pPr>
    </w:p>
    <w:sdt>
      <w:sdtPr>
        <w:rPr>
          <w:rFonts w:hint="eastAsia" w:ascii="宋体" w:hAnsi="宋体" w:cs="宋体"/>
          <w:b w:val="0"/>
          <w:bCs w:val="0"/>
          <w:kern w:val="0"/>
          <w:szCs w:val="24"/>
        </w:rPr>
        <w:alias w:val="模块:一年内到期的非流动资产"/>
        <w:tag w:val="_SEC_a92589d2fea7420da5af7fa8571893f4"/>
        <w:id w:val="6774607"/>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66"/>
            </w:numPr>
            <w:tabs>
              <w:tab w:val="left" w:pos="504"/>
            </w:tabs>
          </w:pPr>
          <w:r>
            <w:rPr>
              <w:rFonts w:hint="eastAsia"/>
            </w:rPr>
            <w:t>一年内到期的非流动资产</w:t>
          </w:r>
        </w:p>
        <w:sdt>
          <w:sdtPr>
            <w:alias w:val="是否适用：一年内到期的非流动资产[双击切换]"/>
            <w:tag w:val="_GBC_ed2c28c8d4014bbb85fa424cc20fe6d7"/>
            <w:id w:val="677460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ind w:right="210"/>
          </w:pPr>
        </w:p>
      </w:sdtContent>
    </w:sdt>
    <w:p>
      <w:pPr>
        <w:ind w:right="210"/>
      </w:pPr>
    </w:p>
    <w:sdt>
      <w:sdtPr>
        <w:rPr>
          <w:rFonts w:hint="eastAsia" w:ascii="宋体" w:hAnsi="宋体" w:cs="宋体"/>
          <w:b w:val="0"/>
          <w:bCs w:val="0"/>
          <w:kern w:val="0"/>
          <w:szCs w:val="24"/>
        </w:rPr>
        <w:alias w:val="模块:其他流动资产"/>
        <w:tag w:val="_SEC_76a189d16ac5453184dfe42bd0fa9e73"/>
        <w:id w:val="6774617"/>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66"/>
            </w:numPr>
            <w:tabs>
              <w:tab w:val="left" w:pos="504"/>
            </w:tabs>
          </w:pPr>
          <w:r>
            <w:rPr>
              <w:rFonts w:hint="eastAsia"/>
            </w:rPr>
            <w:t>其他流动资产</w:t>
          </w:r>
        </w:p>
        <w:sdt>
          <w:sdtPr>
            <w:alias w:val="是否适用：其他流动资产[双击切换]"/>
            <w:tag w:val="_GBC_49fe7514f24d4f7fbf009ae51ff98d5a"/>
            <w:id w:val="677460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其他流动资产"/>
              <w:tag w:val="_GBC_8aa27294471c4172ba97de2c15d029c6"/>
              <w:id w:val="67746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其他流动资产"/>
              <w:tag w:val="_GBC_8e1e40ac44704231aa91fcfbbccbd924"/>
              <w:id w:val="67746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7"/>
            <w:gridCol w:w="2917"/>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34f889fb3794268b1f04c9534377486"/>
                <w:id w:val="6774611"/>
                <w:lock w:val="sdtLocked"/>
              </w:sdtPr>
              <w:sdtContent>
                <w:tc>
                  <w:tcPr>
                    <w:tcW w:w="3287" w:type="dxa"/>
                    <w:shd w:val="clear" w:color="auto" w:fill="auto"/>
                    <w:vAlign w:val="center"/>
                  </w:tcPr>
                  <w:p>
                    <w:pPr>
                      <w:jc w:val="center"/>
                      <w:rPr>
                        <w:szCs w:val="21"/>
                      </w:rPr>
                    </w:pPr>
                    <w:r>
                      <w:rPr>
                        <w:rFonts w:hint="eastAsia"/>
                        <w:szCs w:val="21"/>
                      </w:rPr>
                      <w:t>项目</w:t>
                    </w:r>
                  </w:p>
                </w:tc>
              </w:sdtContent>
            </w:sdt>
            <w:sdt>
              <w:sdtPr>
                <w:tag w:val="_PLD_97b9b7e912e14a06b24f532e76914900"/>
                <w:id w:val="6774612"/>
                <w:lock w:val="sdtLocked"/>
              </w:sdtPr>
              <w:sdtContent>
                <w:tc>
                  <w:tcPr>
                    <w:tcW w:w="2917" w:type="dxa"/>
                    <w:shd w:val="clear" w:color="auto" w:fill="auto"/>
                    <w:vAlign w:val="center"/>
                  </w:tcPr>
                  <w:p>
                    <w:pPr>
                      <w:jc w:val="center"/>
                      <w:rPr>
                        <w:szCs w:val="21"/>
                      </w:rPr>
                    </w:pPr>
                    <w:r>
                      <w:rPr>
                        <w:rFonts w:hint="eastAsia"/>
                        <w:szCs w:val="21"/>
                      </w:rPr>
                      <w:t>期末余额</w:t>
                    </w:r>
                  </w:p>
                </w:tc>
              </w:sdtContent>
            </w:sdt>
            <w:sdt>
              <w:sdtPr>
                <w:tag w:val="_PLD_c02c94d4c7614f3cadd2972514fb87f4"/>
                <w:id w:val="6774613"/>
                <w:lock w:val="sdtLocked"/>
              </w:sdtPr>
              <w:sdtContent>
                <w:tc>
                  <w:tcPr>
                    <w:tcW w:w="2845" w:type="dxa"/>
                    <w:shd w:val="clear" w:color="auto" w:fill="auto"/>
                    <w:vAlign w:val="center"/>
                  </w:tcPr>
                  <w:p>
                    <w:pPr>
                      <w:jc w:val="center"/>
                      <w:rPr>
                        <w:szCs w:val="21"/>
                      </w:rPr>
                    </w:pPr>
                    <w:r>
                      <w:rPr>
                        <w:rFonts w:hint="eastAsia"/>
                        <w:szCs w:val="21"/>
                      </w:rPr>
                      <w:t>期初余额</w:t>
                    </w:r>
                  </w:p>
                </w:tc>
              </w:sdtContent>
            </w:sdt>
          </w:tr>
          <w:sdt>
            <w:sdtPr>
              <w:rPr>
                <w:rFonts w:hint="eastAsia"/>
                <w:szCs w:val="21"/>
              </w:rPr>
              <w:alias w:val="其他流动资产明细"/>
              <w:tag w:val="_TUP_03a79c0b3d284671976e8b90399a3019"/>
              <w:id w:val="6774614"/>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87" w:type="dxa"/>
                    <w:shd w:val="clear" w:color="auto" w:fill="auto"/>
                  </w:tcPr>
                  <w:p>
                    <w:pPr>
                      <w:snapToGrid w:val="0"/>
                      <w:ind w:left="-107" w:leftChars="-51"/>
                      <w:rPr>
                        <w:szCs w:val="21"/>
                      </w:rPr>
                    </w:pPr>
                    <w:r>
                      <w:t>待抵扣增值税</w:t>
                    </w:r>
                  </w:p>
                </w:tc>
                <w:tc>
                  <w:tcPr>
                    <w:tcW w:w="2917" w:type="dxa"/>
                    <w:shd w:val="clear" w:color="auto" w:fill="auto"/>
                  </w:tcPr>
                  <w:p>
                    <w:pPr>
                      <w:snapToGrid w:val="0"/>
                      <w:jc w:val="right"/>
                      <w:rPr>
                        <w:szCs w:val="21"/>
                      </w:rPr>
                    </w:pPr>
                    <w:r>
                      <w:t>205,029.12</w:t>
                    </w:r>
                  </w:p>
                </w:tc>
                <w:tc>
                  <w:tcPr>
                    <w:tcW w:w="2845" w:type="dxa"/>
                    <w:shd w:val="clear" w:color="auto" w:fill="auto"/>
                  </w:tcPr>
                  <w:p>
                    <w:pPr>
                      <w:snapToGrid w:val="0"/>
                      <w:jc w:val="right"/>
                      <w:rPr>
                        <w:szCs w:val="21"/>
                      </w:rPr>
                    </w:pPr>
                    <w:r>
                      <w:t>24,797,047.02</w:t>
                    </w:r>
                  </w:p>
                </w:tc>
              </w:tr>
            </w:sdtContent>
          </w:sdt>
          <w:sdt>
            <w:sdtPr>
              <w:rPr>
                <w:rFonts w:hint="eastAsia"/>
                <w:szCs w:val="21"/>
              </w:rPr>
              <w:alias w:val="其他流动资产明细"/>
              <w:tag w:val="_TUP_03a79c0b3d284671976e8b90399a3019"/>
              <w:id w:val="6774615"/>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7" w:type="dxa"/>
                    <w:shd w:val="clear" w:color="auto" w:fill="auto"/>
                  </w:tcPr>
                  <w:p>
                    <w:pPr>
                      <w:snapToGrid w:val="0"/>
                      <w:ind w:left="-107" w:leftChars="-51"/>
                      <w:rPr>
                        <w:szCs w:val="21"/>
                      </w:rPr>
                    </w:pPr>
                    <w:r>
                      <w:t>国内信用证利息</w:t>
                    </w:r>
                  </w:p>
                </w:tc>
                <w:tc>
                  <w:tcPr>
                    <w:tcW w:w="2917" w:type="dxa"/>
                    <w:shd w:val="clear" w:color="auto" w:fill="auto"/>
                  </w:tcPr>
                  <w:p>
                    <w:pPr>
                      <w:snapToGrid w:val="0"/>
                      <w:jc w:val="right"/>
                      <w:rPr>
                        <w:szCs w:val="21"/>
                      </w:rPr>
                    </w:pPr>
                  </w:p>
                </w:tc>
                <w:tc>
                  <w:tcPr>
                    <w:tcW w:w="2845" w:type="dxa"/>
                    <w:shd w:val="clear" w:color="auto" w:fill="auto"/>
                  </w:tcPr>
                  <w:p>
                    <w:pPr>
                      <w:snapToGrid w:val="0"/>
                      <w:jc w:val="right"/>
                      <w:rPr>
                        <w:szCs w:val="21"/>
                      </w:rPr>
                    </w:pPr>
                    <w:r>
                      <w:t>2,088,611.09</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465e07d25cf4e809cbdbfd02cac01c7"/>
                <w:id w:val="6774616"/>
                <w:lock w:val="sdtLocked"/>
              </w:sdtPr>
              <w:sdtContent>
                <w:tc>
                  <w:tcPr>
                    <w:tcW w:w="3287" w:type="dxa"/>
                    <w:shd w:val="clear" w:color="auto" w:fill="auto"/>
                    <w:vAlign w:val="center"/>
                  </w:tcPr>
                  <w:p>
                    <w:pPr>
                      <w:snapToGrid w:val="0"/>
                      <w:ind w:left="-107" w:leftChars="-51"/>
                      <w:jc w:val="center"/>
                      <w:rPr>
                        <w:szCs w:val="21"/>
                      </w:rPr>
                    </w:pPr>
                    <w:r>
                      <w:rPr>
                        <w:rFonts w:hint="eastAsia"/>
                        <w:szCs w:val="21"/>
                      </w:rPr>
                      <w:t>合计</w:t>
                    </w:r>
                  </w:p>
                </w:tc>
              </w:sdtContent>
            </w:sdt>
            <w:tc>
              <w:tcPr>
                <w:tcW w:w="2917" w:type="dxa"/>
                <w:shd w:val="clear" w:color="auto" w:fill="auto"/>
              </w:tcPr>
              <w:p>
                <w:pPr>
                  <w:snapToGrid w:val="0"/>
                  <w:jc w:val="right"/>
                  <w:rPr>
                    <w:szCs w:val="21"/>
                  </w:rPr>
                </w:pPr>
                <w:r>
                  <w:t>205,029.12</w:t>
                </w:r>
              </w:p>
            </w:tc>
            <w:tc>
              <w:tcPr>
                <w:tcW w:w="2845" w:type="dxa"/>
                <w:shd w:val="clear" w:color="auto" w:fill="auto"/>
              </w:tcPr>
              <w:p>
                <w:pPr>
                  <w:snapToGrid w:val="0"/>
                  <w:jc w:val="right"/>
                  <w:rPr>
                    <w:szCs w:val="21"/>
                  </w:rPr>
                </w:pPr>
                <w:r>
                  <w:t>26,885,658.11</w:t>
                </w:r>
              </w:p>
            </w:tc>
          </w:tr>
        </w:tbl>
        <w:p/>
      </w:sdtContent>
    </w:sdt>
    <w:p>
      <w:pPr>
        <w:ind w:right="210"/>
      </w:pPr>
    </w:p>
    <w:p>
      <w:pPr>
        <w:pStyle w:val="4"/>
        <w:numPr>
          <w:ilvl w:val="0"/>
          <w:numId w:val="66"/>
        </w:numPr>
        <w:tabs>
          <w:tab w:val="left" w:pos="504"/>
        </w:tabs>
        <w:rPr>
          <w:rFonts w:ascii="宋体" w:hAnsi="宋体"/>
          <w:szCs w:val="21"/>
        </w:rPr>
      </w:pPr>
      <w:r>
        <w:rPr>
          <w:rFonts w:hint="eastAsia" w:ascii="宋体" w:hAnsi="宋体"/>
          <w:szCs w:val="21"/>
        </w:rPr>
        <w:t>可供出售金融资产</w:t>
      </w:r>
    </w:p>
    <w:sdt>
      <w:sdtPr>
        <w:rPr>
          <w:rFonts w:hint="eastAsia" w:ascii="宋体" w:hAnsi="宋体" w:cs="宋体"/>
          <w:b w:val="0"/>
          <w:bCs w:val="0"/>
          <w:kern w:val="0"/>
          <w:szCs w:val="21"/>
        </w:rPr>
        <w:alias w:val="模块:可供出售金融资产情况"/>
        <w:tag w:val="_SEC_dff4c6c916a9469eaca782ac5548944a"/>
        <w:id w:val="6774619"/>
        <w:lock w:val="sdtLocked"/>
        <w:placeholder>
          <w:docPart w:val="GBC22222222222222222222222222222"/>
        </w:placeholder>
      </w:sdtPr>
      <w:sdtEndPr>
        <w:rPr>
          <w:rFonts w:hint="default" w:ascii="宋体" w:hAnsi="宋体" w:cstheme="minorBidi"/>
          <w:b w:val="0"/>
          <w:bCs w:val="0"/>
          <w:kern w:val="2"/>
          <w:szCs w:val="21"/>
        </w:rPr>
      </w:sdtEndPr>
      <w:sdtContent>
        <w:p>
          <w:pPr>
            <w:pStyle w:val="5"/>
            <w:numPr>
              <w:ilvl w:val="0"/>
              <w:numId w:val="74"/>
            </w:numPr>
            <w:tabs>
              <w:tab w:val="left" w:pos="644"/>
            </w:tabs>
            <w:rPr>
              <w:rFonts w:ascii="宋体" w:hAnsi="宋体"/>
              <w:szCs w:val="21"/>
            </w:rPr>
          </w:pPr>
          <w:r>
            <w:rPr>
              <w:rFonts w:hint="eastAsia" w:ascii="宋体" w:hAnsi="宋体"/>
              <w:szCs w:val="21"/>
            </w:rPr>
            <w:t>可供出售金融资产情况</w:t>
          </w:r>
        </w:p>
        <w:sdt>
          <w:sdtPr>
            <w:alias w:val="是否适用：可供出售金融资产情况[双击切换]"/>
            <w:tag w:val="_GBC_07c6c4017cfb4437ad2951a831fb9bd5"/>
            <w:id w:val="6774618"/>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截至报告期末可供出售金融资产的成本公允价值等金额"/>
        <w:tag w:val="_SEC_c5c8632232b74dea873969db5f137050"/>
        <w:id w:val="6774621"/>
        <w:lock w:val="sdtLocked"/>
        <w:placeholder>
          <w:docPart w:val="GBC22222222222222222222222222222"/>
        </w:placeholder>
      </w:sdtPr>
      <w:sdtEndPr>
        <w:rPr>
          <w:rFonts w:hint="default" w:ascii="宋体" w:hAnsi="宋体" w:cs="宋体"/>
          <w:b w:val="0"/>
          <w:bCs w:val="0"/>
          <w:kern w:val="0"/>
          <w:szCs w:val="21"/>
        </w:rPr>
      </w:sdtEndPr>
      <w:sdtContent>
        <w:p>
          <w:pPr>
            <w:pStyle w:val="5"/>
            <w:numPr>
              <w:ilvl w:val="0"/>
              <w:numId w:val="74"/>
            </w:numPr>
            <w:tabs>
              <w:tab w:val="left" w:pos="644"/>
            </w:tabs>
            <w:rPr>
              <w:rFonts w:ascii="宋体" w:hAnsi="宋体"/>
              <w:szCs w:val="21"/>
            </w:rPr>
          </w:pPr>
          <w:r>
            <w:rPr>
              <w:rFonts w:hint="eastAsia" w:ascii="宋体" w:hAnsi="宋体"/>
              <w:szCs w:val="21"/>
            </w:rPr>
            <w:t>期末按公允价值计量的可供出售金融资产</w:t>
          </w:r>
        </w:p>
        <w:p>
          <w:pPr>
            <w:rPr>
              <w:szCs w:val="21"/>
            </w:rPr>
          </w:pPr>
          <w:sdt>
            <w:sdtPr>
              <w:alias w:val="是否适用：期末按公允价值计量的可供出售金融资产[双击切换]"/>
              <w:tag w:val="_GBC_fcf78bb5c9ff4aa281b71a0914b7fbd4"/>
              <w:id w:val="677462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宋体" w:hAnsi="宋体" w:cstheme="minorBidi"/>
          <w:b w:val="0"/>
          <w:bCs w:val="0"/>
          <w:kern w:val="0"/>
          <w:szCs w:val="21"/>
        </w:rPr>
        <w:alias w:val="模块:期末按成本计量的可供出售金融资产"/>
        <w:tag w:val="_SEC_baf0881a12954bae8f00ac889a198dee"/>
        <w:id w:val="6774623"/>
        <w:lock w:val="sdtLocked"/>
        <w:placeholder>
          <w:docPart w:val="GBC22222222222222222222222222222"/>
        </w:placeholder>
      </w:sdtPr>
      <w:sdtEndPr>
        <w:rPr>
          <w:rFonts w:ascii="宋体" w:hAnsi="宋体" w:cstheme="minorBidi"/>
          <w:b w:val="0"/>
          <w:bCs w:val="0"/>
          <w:kern w:val="0"/>
          <w:szCs w:val="21"/>
        </w:rPr>
      </w:sdtEndPr>
      <w:sdtContent>
        <w:p>
          <w:pPr>
            <w:pStyle w:val="5"/>
            <w:numPr>
              <w:ilvl w:val="0"/>
              <w:numId w:val="74"/>
            </w:numPr>
            <w:tabs>
              <w:tab w:val="left" w:pos="644"/>
            </w:tabs>
            <w:rPr>
              <w:rFonts w:ascii="宋体" w:hAnsi="宋体"/>
              <w:szCs w:val="21"/>
            </w:rPr>
          </w:pPr>
          <w:r>
            <w:rPr>
              <w:rFonts w:hint="eastAsia" w:ascii="宋体" w:hAnsi="宋体"/>
              <w:szCs w:val="21"/>
            </w:rPr>
            <w:t>期末按成本计量的可供出售金融资产</w:t>
          </w:r>
        </w:p>
        <w:p>
          <w:pPr>
            <w:rPr>
              <w:szCs w:val="21"/>
            </w:rPr>
          </w:pPr>
          <w:sdt>
            <w:sdtPr>
              <w:alias w:val="是否适用：期末按成本计量的可供出售金融资产[双击切换]"/>
              <w:tag w:val="_GBC_a10ab953293549869e5cb4d04a744bb4"/>
              <w:id w:val="6774622"/>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cs="宋体"/>
          <w:b w:val="0"/>
          <w:bCs w:val="0"/>
          <w:kern w:val="0"/>
          <w:szCs w:val="21"/>
        </w:rPr>
        <w:alias w:val="模块:报告期内可供出售金融资产减值的变动情况"/>
        <w:tag w:val="_SEC_419572c366854d038d61d22096aaf064"/>
        <w:id w:val="6774625"/>
        <w:lock w:val="sdtLocked"/>
        <w:placeholder>
          <w:docPart w:val="GBC22222222222222222222222222222"/>
        </w:placeholder>
      </w:sdtPr>
      <w:sdtEndPr>
        <w:rPr>
          <w:rFonts w:hint="default" w:ascii="宋体" w:hAnsi="宋体" w:cs="宋体"/>
          <w:b w:val="0"/>
          <w:bCs w:val="0"/>
          <w:kern w:val="0"/>
          <w:szCs w:val="21"/>
        </w:rPr>
      </w:sdtEndPr>
      <w:sdtContent>
        <w:p>
          <w:pPr>
            <w:pStyle w:val="5"/>
            <w:numPr>
              <w:ilvl w:val="0"/>
              <w:numId w:val="74"/>
            </w:numPr>
            <w:tabs>
              <w:tab w:val="left" w:pos="644"/>
            </w:tabs>
            <w:rPr>
              <w:rFonts w:ascii="宋体" w:hAnsi="宋体"/>
              <w:szCs w:val="21"/>
            </w:rPr>
          </w:pPr>
          <w:r>
            <w:rPr>
              <w:rFonts w:hint="eastAsia" w:ascii="宋体" w:hAnsi="宋体"/>
              <w:szCs w:val="21"/>
            </w:rPr>
            <w:t>报告期内可供出售金融资产减值的变动情况</w:t>
          </w:r>
        </w:p>
        <w:p>
          <w:pPr>
            <w:rPr>
              <w:szCs w:val="21"/>
            </w:rPr>
          </w:pPr>
          <w:sdt>
            <w:sdtPr>
              <w:alias w:val="是否适用：报告期内可供出售金融资产减值的变动情况[双击切换]"/>
              <w:tag w:val="_GBC_e466674ff5084e62b189ce632e38104a"/>
              <w:id w:val="6774624"/>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cstheme="minorBidi"/>
          <w:b w:val="0"/>
          <w:bCs w:val="0"/>
          <w:kern w:val="0"/>
          <w:szCs w:val="21"/>
        </w:rPr>
        <w:alias w:val="模块:可供出售权益工具期末公允价值大幅下跌或持续下跌相关说明"/>
        <w:tag w:val="_SEC_cfd15ce79efd4cc09688a6227fb8a04d"/>
        <w:id w:val="6774627"/>
        <w:lock w:val="sdtLocked"/>
        <w:placeholder>
          <w:docPart w:val="GBC22222222222222222222222222222"/>
        </w:placeholder>
      </w:sdtPr>
      <w:sdtEndPr>
        <w:rPr>
          <w:rFonts w:hint="eastAsia" w:ascii="宋体" w:hAnsi="宋体" w:cstheme="minorBidi"/>
          <w:b w:val="0"/>
          <w:bCs w:val="0"/>
          <w:kern w:val="0"/>
          <w:szCs w:val="21"/>
        </w:rPr>
      </w:sdtEndPr>
      <w:sdtContent>
        <w:p>
          <w:pPr>
            <w:pStyle w:val="5"/>
            <w:numPr>
              <w:ilvl w:val="0"/>
              <w:numId w:val="74"/>
            </w:numPr>
            <w:tabs>
              <w:tab w:val="left" w:pos="644"/>
            </w:tabs>
            <w:rPr>
              <w:kern w:val="0"/>
            </w:rPr>
          </w:pPr>
          <w:r>
            <w:rPr>
              <w:rFonts w:hint="eastAsia"/>
              <w:kern w:val="0"/>
            </w:rPr>
            <w:t>可供出售权益工具期末公允价值严重下跌或非暂时性下跌但未计提减值准备的相关说明：</w:t>
          </w:r>
        </w:p>
        <w:p>
          <w:sdt>
            <w:sdtPr>
              <w:alias w:val="是否适用：可供出售权益工具期末公允价值严重下跌或非暂时性下跌但未计提减值准备的相关说明[双击切换]"/>
              <w:tag w:val="_GBC_04e9e9f5cf9d420aae0ceab3605556e5"/>
              <w:id w:val="6774626"/>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b/>
          <w:bCs/>
        </w:rPr>
        <w:alias w:val="模块:其他可供出售金融资产情况"/>
        <w:tag w:val="_SEC_d3424e795a9743a69d3ce6508cc278c4"/>
        <w:id w:val="6774629"/>
        <w:lock w:val="sdtLocked"/>
        <w:placeholder>
          <w:docPart w:val="GBC22222222222222222222222222222"/>
        </w:placeholder>
      </w:sdtPr>
      <w:sdtEndPr>
        <w:rPr>
          <w:rFonts w:hint="default" w:cstheme="minorBidi"/>
          <w:b w:val="0"/>
          <w:bCs w:val="0"/>
          <w:kern w:val="2"/>
          <w:szCs w:val="21"/>
        </w:rPr>
      </w:sdtEndPr>
      <w:sdtContent>
        <w:p>
          <w:r>
            <w:rPr>
              <w:rFonts w:hint="eastAsia"/>
            </w:rPr>
            <w:t>其他说明</w:t>
          </w:r>
        </w:p>
        <w:sdt>
          <w:sdtPr>
            <w:alias w:val="是否适用：可供出售金融资产其他情况说明[双击切换]"/>
            <w:tag w:val="_GBC_4856bddf3823489c8eada2b8588fd96d"/>
            <w:id w:val="6774628"/>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ind w:right="210"/>
      </w:pPr>
    </w:p>
    <w:p>
      <w:pPr>
        <w:pStyle w:val="4"/>
        <w:numPr>
          <w:ilvl w:val="0"/>
          <w:numId w:val="66"/>
        </w:numPr>
        <w:tabs>
          <w:tab w:val="left" w:pos="504"/>
        </w:tabs>
        <w:rPr>
          <w:rFonts w:ascii="宋体" w:hAnsi="宋体"/>
          <w:szCs w:val="21"/>
        </w:rPr>
      </w:pPr>
      <w:r>
        <w:rPr>
          <w:rFonts w:hint="eastAsia" w:ascii="宋体" w:hAnsi="宋体"/>
          <w:szCs w:val="21"/>
        </w:rPr>
        <w:t>持有至到期投资</w:t>
      </w:r>
    </w:p>
    <w:sdt>
      <w:sdtPr>
        <w:rPr>
          <w:rFonts w:hint="eastAsia" w:ascii="宋体" w:hAnsi="宋体" w:cs="宋体"/>
          <w:kern w:val="0"/>
          <w:szCs w:val="24"/>
        </w:rPr>
        <w:alias w:val="模块:持有至到期投资情况"/>
        <w:tag w:val="_SEC_af2db92133c44591bcc9f6bdc39a6287"/>
        <w:id w:val="6774631"/>
        <w:lock w:val="sdtLocked"/>
        <w:placeholder>
          <w:docPart w:val="GBC22222222222222222222222222222"/>
        </w:placeholder>
      </w:sdtPr>
      <w:sdtEndPr>
        <w:rPr>
          <w:rFonts w:hint="default" w:ascii="宋体" w:hAnsi="宋体" w:cs="宋体"/>
          <w:kern w:val="0"/>
          <w:szCs w:val="21"/>
        </w:rPr>
      </w:sdtEndPr>
      <w:sdtContent>
        <w:p>
          <w:pPr>
            <w:pStyle w:val="53"/>
            <w:numPr>
              <w:ilvl w:val="0"/>
              <w:numId w:val="75"/>
            </w:numPr>
            <w:ind w:firstLineChars="0"/>
            <w:rPr>
              <w:b/>
              <w:bCs/>
            </w:rPr>
          </w:pPr>
          <w:r>
            <w:rPr>
              <w:rFonts w:hint="eastAsia"/>
              <w:b/>
              <w:bCs/>
            </w:rPr>
            <w:t>持有至到期投资情况：</w:t>
          </w:r>
        </w:p>
        <w:sdt>
          <w:sdtPr>
            <w:alias w:val="是否适用：持有至到期投资情况[双击切换]"/>
            <w:tag w:val="_GBC_61194489ed014fecb6d6a1baf3993a99"/>
            <w:id w:val="6774630"/>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kern w:val="0"/>
          <w:szCs w:val="21"/>
        </w:rPr>
        <w:alias w:val="模块:期末重要的持有至到期投资："/>
        <w:tag w:val="_SEC_3701dfcb075f47a4bba39f33807a0560"/>
        <w:id w:val="6774633"/>
        <w:lock w:val="sdtLocked"/>
        <w:placeholder>
          <w:docPart w:val="GBC22222222222222222222222222222"/>
        </w:placeholder>
      </w:sdtPr>
      <w:sdtEndPr>
        <w:rPr>
          <w:rFonts w:hint="eastAsia" w:ascii="宋体" w:hAnsi="宋体" w:cs="宋体"/>
          <w:kern w:val="0"/>
          <w:szCs w:val="21"/>
        </w:rPr>
      </w:sdtEndPr>
      <w:sdtContent>
        <w:p>
          <w:pPr>
            <w:pStyle w:val="53"/>
            <w:numPr>
              <w:ilvl w:val="0"/>
              <w:numId w:val="75"/>
            </w:numPr>
            <w:ind w:firstLineChars="0"/>
            <w:rPr>
              <w:b/>
              <w:szCs w:val="21"/>
            </w:rPr>
          </w:pPr>
          <w:r>
            <w:rPr>
              <w:rFonts w:hint="eastAsia"/>
              <w:b/>
              <w:szCs w:val="21"/>
            </w:rPr>
            <w:t>期末</w:t>
          </w:r>
          <w:r>
            <w:rPr>
              <w:rFonts w:hint="eastAsia"/>
              <w:b/>
              <w:bCs/>
            </w:rPr>
            <w:t>重要</w:t>
          </w:r>
          <w:r>
            <w:rPr>
              <w:rFonts w:hint="eastAsia"/>
              <w:b/>
              <w:szCs w:val="21"/>
            </w:rPr>
            <w:t>的持有至到期投资：</w:t>
          </w:r>
        </w:p>
        <w:sdt>
          <w:sdtPr>
            <w:alias w:val="是否适用：期末重要的持有至到期投资[双击切换]"/>
            <w:tag w:val="_GBC_270c471ded954ab5a81afd739d88b2d6"/>
            <w:id w:val="6774632"/>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kern w:val="0"/>
          <w:szCs w:val="24"/>
        </w:rPr>
        <w:alias w:val="模块:本期重分类的持有至到期投资"/>
        <w:tag w:val="_SEC_6b9b7358af574791b028012558b685a6"/>
        <w:id w:val="6774635"/>
        <w:lock w:val="sdtLocked"/>
        <w:placeholder>
          <w:docPart w:val="GBC22222222222222222222222222222"/>
        </w:placeholder>
      </w:sdtPr>
      <w:sdtEndPr>
        <w:rPr>
          <w:rFonts w:hint="eastAsia" w:ascii="宋体" w:hAnsi="宋体" w:cs="宋体"/>
          <w:kern w:val="0"/>
          <w:szCs w:val="24"/>
        </w:rPr>
      </w:sdtEndPr>
      <w:sdtContent>
        <w:p>
          <w:pPr>
            <w:pStyle w:val="53"/>
            <w:numPr>
              <w:ilvl w:val="0"/>
              <w:numId w:val="75"/>
            </w:numPr>
            <w:ind w:firstLineChars="0"/>
            <w:rPr>
              <w:b/>
            </w:rPr>
          </w:pPr>
          <w:r>
            <w:rPr>
              <w:rFonts w:hint="eastAsia"/>
              <w:b/>
            </w:rPr>
            <w:t>本期重</w:t>
          </w:r>
          <w:r>
            <w:rPr>
              <w:rFonts w:hint="eastAsia"/>
              <w:b/>
              <w:bCs/>
            </w:rPr>
            <w:t>分类</w:t>
          </w:r>
          <w:r>
            <w:rPr>
              <w:rFonts w:hint="eastAsia"/>
              <w:b/>
            </w:rPr>
            <w:t>的持有至到期投资：</w:t>
          </w:r>
        </w:p>
        <w:sdt>
          <w:sdtPr>
            <w:rPr>
              <w:rFonts w:hint="eastAsia"/>
            </w:rPr>
            <w:alias w:val="是否适用：本期重分类的持有至到期投资[双击切换]"/>
            <w:tag w:val="_GBC_4cee4e25c2c74c049ea9f6f4430679ef"/>
            <w:id w:val="6774634"/>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sdt>
      <w:sdtPr>
        <w:rPr>
          <w:szCs w:val="21"/>
        </w:rPr>
        <w:alias w:val="模块:持有至到期投资的说明"/>
        <w:tag w:val="_SEC_f6956a4fcf6b435291f5dbd03cac89e0"/>
        <w:id w:val="6774637"/>
        <w:lock w:val="sdtLocked"/>
        <w:placeholder>
          <w:docPart w:val="GBC22222222222222222222222222222"/>
        </w:placeholder>
      </w:sdtPr>
      <w:sdtEndPr>
        <w:rPr>
          <w:szCs w:val="21"/>
        </w:rPr>
      </w:sdtEndPr>
      <w:sdtContent>
        <w:p>
          <w:pPr>
            <w:rPr>
              <w:szCs w:val="21"/>
            </w:rPr>
          </w:pPr>
          <w:r>
            <w:rPr>
              <w:rFonts w:hint="eastAsia"/>
              <w:szCs w:val="21"/>
            </w:rPr>
            <w:t>其他说明：</w:t>
          </w:r>
        </w:p>
        <w:sdt>
          <w:sdtPr>
            <w:rPr>
              <w:szCs w:val="21"/>
            </w:rPr>
            <w:alias w:val="是否适用：持有至到期投资的说明[双击切换]"/>
            <w:tag w:val="_GBC_b144f380a4db42faae6b870b26c1cd1f"/>
            <w:id w:val="6774636"/>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长期应收款</w:t>
      </w:r>
    </w:p>
    <w:sdt>
      <w:sdtPr>
        <w:rPr>
          <w:rFonts w:hint="eastAsia" w:ascii="宋体" w:hAnsi="宋体" w:cs="宋体"/>
          <w:b w:val="0"/>
          <w:bCs w:val="0"/>
          <w:kern w:val="0"/>
          <w:szCs w:val="24"/>
        </w:rPr>
        <w:alias w:val="模块:长期应收款"/>
        <w:tag w:val="_SEC_03910fcb1d7b4c9e888090eddf49d0f5"/>
        <w:id w:val="6774639"/>
        <w:lock w:val="sdtLocked"/>
        <w:placeholder>
          <w:docPart w:val="GBC22222222222222222222222222222"/>
        </w:placeholder>
      </w:sdtPr>
      <w:sdtEndPr>
        <w:rPr>
          <w:rFonts w:hint="default" w:ascii="宋体" w:hAnsi="宋体" w:cs="宋体"/>
          <w:b w:val="0"/>
          <w:bCs w:val="0"/>
          <w:color w:val="FF0000"/>
          <w:kern w:val="0"/>
          <w:szCs w:val="21"/>
        </w:rPr>
      </w:sdtEndPr>
      <w:sdtContent>
        <w:p>
          <w:pPr>
            <w:pStyle w:val="5"/>
            <w:numPr>
              <w:ilvl w:val="0"/>
              <w:numId w:val="76"/>
            </w:numPr>
          </w:pPr>
          <w:r>
            <w:rPr>
              <w:rFonts w:hint="eastAsia"/>
            </w:rPr>
            <w:t>长期应收款情况：</w:t>
          </w:r>
        </w:p>
        <w:sdt>
          <w:sdtPr>
            <w:alias w:val="是否适用：长期应收款情况[双击切换]"/>
            <w:tag w:val="_GBC_0c54e576828240c482e58c8a9f7cd173"/>
            <w:id w:val="6774638"/>
            <w:lock w:val="sdtContentLocked"/>
            <w:placeholder>
              <w:docPart w:val="GBC22222222222222222222222222222"/>
            </w:placeholder>
          </w:sdtPr>
          <w:sdtContent>
            <w:p>
              <w:pPr>
                <w:rPr>
                  <w:color w:val="FF0000"/>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因金融资产转移而终止确认的长期应收款"/>
        <w:tag w:val="_SEC_c0276803b0764169b1c7aa5897007892"/>
        <w:id w:val="6774641"/>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76"/>
            </w:numPr>
            <w:rPr>
              <w:szCs w:val="21"/>
            </w:rPr>
          </w:pPr>
          <w:r>
            <w:rPr>
              <w:rFonts w:hint="eastAsia"/>
              <w:szCs w:val="21"/>
            </w:rPr>
            <w:t>因金融资产转移而</w:t>
          </w:r>
          <w:r>
            <w:rPr>
              <w:rFonts w:hint="eastAsia"/>
            </w:rPr>
            <w:t>终止</w:t>
          </w:r>
          <w:r>
            <w:rPr>
              <w:rFonts w:hint="eastAsia"/>
              <w:szCs w:val="21"/>
            </w:rPr>
            <w:t>确认的长期应收款</w:t>
          </w:r>
        </w:p>
        <w:sdt>
          <w:sdtPr>
            <w:rPr>
              <w:rFonts w:hint="eastAsia"/>
              <w:szCs w:val="21"/>
            </w:rPr>
            <w:alias w:val="是否适用：因金融资产转移而终止确认的长期应收款[双击切换]"/>
            <w:tag w:val="_GBC_c0cc1b0fa63a42388ec14f0e562c85ce"/>
            <w:id w:val="6774640"/>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4"/>
        </w:rPr>
        <w:alias w:val="模块:转移长期应收款且继续涉入形成的资产、负债金额"/>
        <w:tag w:val="_SEC_89a60922f7cb457c9329be8065df91e2"/>
        <w:id w:val="6774643"/>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76"/>
            </w:numPr>
          </w:pPr>
          <w:r>
            <w:rPr>
              <w:rFonts w:hint="eastAsia"/>
            </w:rPr>
            <w:t>转移长期应收款且继续涉入形成的资产、负债金额</w:t>
          </w:r>
        </w:p>
        <w:sdt>
          <w:sdtPr>
            <w:rPr>
              <w:rFonts w:hint="eastAsia"/>
            </w:rPr>
            <w:alias w:val="是否适用：转移长期应收款且继续涉入形成的资产、负债金额[双击切换]"/>
            <w:tag w:val="_GBC_b65043ea15084e829077a8e4973ebd74"/>
            <w:id w:val="6774642"/>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sdt>
      <w:sdtPr>
        <w:rPr>
          <w:rFonts w:hint="eastAsia"/>
          <w:szCs w:val="21"/>
        </w:rPr>
        <w:alias w:val="模块:长期应收款的其他说明"/>
        <w:tag w:val="_SEC_2121861ee4514c94a9ddd15a509ae12d"/>
        <w:id w:val="6774645"/>
        <w:lock w:val="sdtLocked"/>
        <w:placeholder>
          <w:docPart w:val="GBC22222222222222222222222222222"/>
        </w:placeholder>
      </w:sdtPr>
      <w:sdtEndPr>
        <w:rPr>
          <w:rFonts w:hint="eastAsia"/>
          <w:szCs w:val="21"/>
        </w:rPr>
      </w:sdtEndPr>
      <w:sdtContent>
        <w:p>
          <w:pPr>
            <w:rPr>
              <w:szCs w:val="21"/>
            </w:rPr>
          </w:pPr>
          <w:r>
            <w:rPr>
              <w:rFonts w:hint="eastAsia"/>
              <w:szCs w:val="21"/>
            </w:rPr>
            <w:t>其他说明</w:t>
          </w:r>
        </w:p>
        <w:sdt>
          <w:sdtPr>
            <w:rPr>
              <w:szCs w:val="21"/>
            </w:rPr>
            <w:alias w:val="是否适用：长期应收款的其他说明[双击切换]"/>
            <w:tag w:val="_GBC_374ef9a861254142b9ef8519d87eb5ac"/>
            <w:id w:val="6774644"/>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长期股权投资</w:t>
      </w:r>
    </w:p>
    <w:p>
      <w:sdt>
        <w:sdtPr>
          <w:rPr>
            <w:rFonts w:hint="eastAsia"/>
          </w:rPr>
          <w:alias w:val="是否适用：长期股权投资[双击切换]"/>
          <w:tag w:val="_GBC_94e2c461d3d34280a0a5f1e908656d3e"/>
          <w:id w:val="6774646"/>
          <w:lock w:val="sdtContentLocked"/>
          <w:placeholder>
            <w:docPart w:val="GBC22222222222222222222222222222"/>
          </w:placeholder>
        </w:sdtPr>
        <w:sdtEndPr>
          <w:rPr>
            <w:rFonts w:hint="eastAsia"/>
          </w:rPr>
        </w:sdtEnd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
      <w:sdtPr>
        <w:rPr>
          <w:rFonts w:hint="eastAsia"/>
          <w:szCs w:val="21"/>
        </w:rPr>
        <w:alias w:val="模块:长期股权投资"/>
        <w:tag w:val="_SEC_07adbbba1b734992ad3a62949a0cb211"/>
        <w:id w:val="6774670"/>
        <w:lock w:val="sdtLocked"/>
        <w:placeholder>
          <w:docPart w:val="GBC22222222222222222222222222222"/>
        </w:placeholder>
      </w:sdtPr>
      <w:sdtEndPr>
        <w:rPr>
          <w:rFonts w:hint="eastAsia"/>
          <w:szCs w:val="21"/>
        </w:rPr>
      </w:sdtEndPr>
      <w:sdtContent>
        <w:p>
          <w:pPr>
            <w:jc w:val="right"/>
            <w:rPr>
              <w:szCs w:val="21"/>
            </w:rPr>
          </w:pPr>
          <w:r>
            <w:rPr>
              <w:rFonts w:hint="eastAsia"/>
              <w:szCs w:val="21"/>
            </w:rPr>
            <w:t>单位：</w:t>
          </w:r>
          <w:sdt>
            <w:sdtPr>
              <w:rPr>
                <w:rFonts w:hint="eastAsia"/>
                <w:szCs w:val="21"/>
              </w:rPr>
              <w:alias w:val="单位：财务附注：长期股权投资"/>
              <w:tag w:val="_GBC_9ef1128bd666425898c1d0386f4940f0"/>
              <w:id w:val="67746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3839232c7f594f79a27ec799cde377b3"/>
              <w:id w:val="67746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1006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27"/>
            <w:gridCol w:w="857"/>
            <w:gridCol w:w="568"/>
            <w:gridCol w:w="1139"/>
            <w:gridCol w:w="709"/>
            <w:gridCol w:w="711"/>
            <w:gridCol w:w="853"/>
            <w:gridCol w:w="725"/>
            <w:gridCol w:w="580"/>
            <w:gridCol w:w="994"/>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904000e8ce384d4988e09c22d5f8f725"/>
                <w:id w:val="6774649"/>
                <w:lock w:val="sdtLocked"/>
              </w:sdtPr>
              <w:sdtEndPr>
                <w:rPr>
                  <w:sz w:val="18"/>
                  <w:szCs w:val="18"/>
                </w:rPr>
              </w:sdtEndPr>
              <w:sdtContent>
                <w:tc>
                  <w:tcPr>
                    <w:tcW w:w="1843"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sz w:val="18"/>
                        <w:szCs w:val="18"/>
                      </w:rPr>
                      <w:t>被投资单位</w:t>
                    </w:r>
                  </w:p>
                </w:tc>
              </w:sdtContent>
            </w:sdt>
            <w:sdt>
              <w:sdtPr>
                <w:rPr>
                  <w:sz w:val="18"/>
                  <w:szCs w:val="18"/>
                </w:rPr>
                <w:tag w:val="_PLD_2325481f20324f949b4d5af7cfe3ea45"/>
                <w:id w:val="6774650"/>
                <w:lock w:val="sdtLocked"/>
              </w:sdtPr>
              <w:sdtEndPr>
                <w:rPr>
                  <w:sz w:val="18"/>
                  <w:szCs w:val="18"/>
                </w:rPr>
              </w:sdtEndPr>
              <w:sdtContent>
                <w:tc>
                  <w:tcPr>
                    <w:tcW w:w="427"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sz w:val="18"/>
                        <w:szCs w:val="18"/>
                      </w:rPr>
                      <w:t>期初</w:t>
                    </w:r>
                  </w:p>
                  <w:p>
                    <w:pPr>
                      <w:jc w:val="center"/>
                      <w:rPr>
                        <w:sz w:val="18"/>
                        <w:szCs w:val="18"/>
                      </w:rPr>
                    </w:pPr>
                    <w:r>
                      <w:rPr>
                        <w:rFonts w:hint="eastAsia"/>
                        <w:sz w:val="18"/>
                        <w:szCs w:val="18"/>
                      </w:rPr>
                      <w:t>余额</w:t>
                    </w:r>
                  </w:p>
                </w:tc>
              </w:sdtContent>
            </w:sdt>
            <w:sdt>
              <w:sdtPr>
                <w:rPr>
                  <w:sz w:val="18"/>
                  <w:szCs w:val="18"/>
                </w:rPr>
                <w:tag w:val="_PLD_62e0836260734d34965d8070b1a6f2dd"/>
                <w:id w:val="6774651"/>
                <w:lock w:val="sdtLocked"/>
              </w:sdtPr>
              <w:sdtEndPr>
                <w:rPr>
                  <w:sz w:val="18"/>
                  <w:szCs w:val="18"/>
                </w:rPr>
              </w:sdtEndPr>
              <w:sdtContent>
                <w:tc>
                  <w:tcPr>
                    <w:tcW w:w="614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本期增减变动</w:t>
                    </w:r>
                  </w:p>
                </w:tc>
              </w:sdtContent>
            </w:sdt>
            <w:sdt>
              <w:sdtPr>
                <w:rPr>
                  <w:sz w:val="18"/>
                  <w:szCs w:val="18"/>
                </w:rPr>
                <w:tag w:val="_PLD_7b9429fc29b64f4c83eea02ed0cad7ba"/>
                <w:id w:val="6774652"/>
                <w:lock w:val="sdtLocked"/>
              </w:sdtPr>
              <w:sdtEndPr>
                <w:rPr>
                  <w:sz w:val="18"/>
                  <w:szCs w:val="18"/>
                </w:rPr>
              </w:sdtEndPr>
              <w:sdtContent>
                <w:tc>
                  <w:tcPr>
                    <w:tcW w:w="994"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sz w:val="18"/>
                        <w:szCs w:val="18"/>
                      </w:rPr>
                      <w:t>期末</w:t>
                    </w:r>
                  </w:p>
                  <w:p>
                    <w:pPr>
                      <w:jc w:val="center"/>
                      <w:rPr>
                        <w:sz w:val="18"/>
                        <w:szCs w:val="18"/>
                      </w:rPr>
                    </w:pPr>
                    <w:r>
                      <w:rPr>
                        <w:rFonts w:hint="eastAsia"/>
                        <w:sz w:val="18"/>
                        <w:szCs w:val="18"/>
                      </w:rPr>
                      <w:t>余额</w:t>
                    </w:r>
                  </w:p>
                </w:tc>
              </w:sdtContent>
            </w:sdt>
            <w:sdt>
              <w:sdtPr>
                <w:rPr>
                  <w:sz w:val="18"/>
                  <w:szCs w:val="18"/>
                </w:rPr>
                <w:tag w:val="_PLD_79298dc466f54a239357520005d5d0d6"/>
                <w:id w:val="6774653"/>
                <w:lock w:val="sdtLocked"/>
              </w:sdtPr>
              <w:sdtEndPr>
                <w:rPr>
                  <w:sz w:val="18"/>
                  <w:szCs w:val="18"/>
                </w:rPr>
              </w:sdtEndPr>
              <w:sdtContent>
                <w:tc>
                  <w:tcPr>
                    <w:tcW w:w="658"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sz w:val="18"/>
                        <w:szCs w:val="18"/>
                      </w:rPr>
                      <w:t>减值准备期末余额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tcBorders>
                  <w:left w:val="single" w:color="auto" w:sz="4" w:space="0"/>
                  <w:bottom w:val="single" w:color="auto" w:sz="4" w:space="0"/>
                  <w:right w:val="single" w:color="auto" w:sz="4" w:space="0"/>
                </w:tcBorders>
                <w:shd w:val="clear" w:color="auto" w:fill="auto"/>
              </w:tcPr>
              <w:p>
                <w:pPr>
                  <w:jc w:val="center"/>
                  <w:rPr>
                    <w:sz w:val="18"/>
                    <w:szCs w:val="18"/>
                  </w:rPr>
                </w:pPr>
              </w:p>
            </w:tc>
            <w:tc>
              <w:tcPr>
                <w:tcW w:w="427" w:type="dxa"/>
                <w:vMerge w:val="continue"/>
                <w:tcBorders>
                  <w:left w:val="single" w:color="auto" w:sz="4" w:space="0"/>
                  <w:bottom w:val="single" w:color="auto" w:sz="4" w:space="0"/>
                  <w:right w:val="single" w:color="auto" w:sz="4" w:space="0"/>
                </w:tcBorders>
                <w:shd w:val="clear" w:color="auto" w:fill="auto"/>
              </w:tcPr>
              <w:p>
                <w:pPr>
                  <w:jc w:val="center"/>
                  <w:rPr>
                    <w:sz w:val="18"/>
                    <w:szCs w:val="18"/>
                  </w:rPr>
                </w:pPr>
              </w:p>
            </w:tc>
            <w:sdt>
              <w:sdtPr>
                <w:rPr>
                  <w:sz w:val="18"/>
                  <w:szCs w:val="18"/>
                </w:rPr>
                <w:tag w:val="_PLD_32174384d8204c80ab4f8eb2ee1b7c00"/>
                <w:id w:val="6774654"/>
                <w:lock w:val="sdtLocked"/>
              </w:sdtPr>
              <w:sdtEndPr>
                <w:rPr>
                  <w:sz w:val="18"/>
                  <w:szCs w:val="18"/>
                </w:rPr>
              </w:sdtEndPr>
              <w:sdtContent>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追加投资</w:t>
                    </w:r>
                  </w:p>
                </w:tc>
              </w:sdtContent>
            </w:sdt>
            <w:sdt>
              <w:sdtPr>
                <w:rPr>
                  <w:sz w:val="18"/>
                  <w:szCs w:val="18"/>
                </w:rPr>
                <w:tag w:val="_PLD_095046b604db44b8b22c0d62f18b7d7b"/>
                <w:id w:val="6774655"/>
                <w:lock w:val="sdtLocked"/>
              </w:sdtPr>
              <w:sdtEndPr>
                <w:rPr>
                  <w:sz w:val="18"/>
                  <w:szCs w:val="18"/>
                </w:rPr>
              </w:sdtEndPr>
              <w:sdtContent>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减少投资</w:t>
                    </w:r>
                  </w:p>
                </w:tc>
              </w:sdtContent>
            </w:sdt>
            <w:sdt>
              <w:sdtPr>
                <w:rPr>
                  <w:sz w:val="18"/>
                  <w:szCs w:val="18"/>
                </w:rPr>
                <w:tag w:val="_PLD_6b1aa2f12a4b43c9acfdfe03af1b69b5"/>
                <w:id w:val="6774656"/>
                <w:lock w:val="sdtLocked"/>
              </w:sdtPr>
              <w:sdtEndPr>
                <w:rPr>
                  <w:sz w:val="18"/>
                  <w:szCs w:val="18"/>
                </w:rPr>
              </w:sdtEndPr>
              <w:sdtContent>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权益法下确认的投资损益</w:t>
                    </w:r>
                  </w:p>
                </w:tc>
              </w:sdtContent>
            </w:sdt>
            <w:sdt>
              <w:sdtPr>
                <w:rPr>
                  <w:sz w:val="18"/>
                  <w:szCs w:val="18"/>
                </w:rPr>
                <w:tag w:val="_PLD_7843f54d0d14415a8d81c3e768bcd483"/>
                <w:id w:val="6774657"/>
                <w:lock w:val="sdtLocked"/>
              </w:sdtPr>
              <w:sdtEndPr>
                <w:rPr>
                  <w:sz w:val="18"/>
                  <w:szCs w:val="18"/>
                </w:rPr>
              </w:sdtEndPr>
              <w:sdtContent>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其他综合收益调整</w:t>
                    </w:r>
                  </w:p>
                </w:tc>
              </w:sdtContent>
            </w:sdt>
            <w:sdt>
              <w:sdtPr>
                <w:rPr>
                  <w:sz w:val="18"/>
                  <w:szCs w:val="18"/>
                </w:rPr>
                <w:tag w:val="_PLD_dd698127723b4ea0815eca9ac49240a1"/>
                <w:id w:val="6774658"/>
                <w:lock w:val="sdtLocked"/>
              </w:sdtPr>
              <w:sdtEndPr>
                <w:rPr>
                  <w:sz w:val="18"/>
                  <w:szCs w:val="18"/>
                </w:rPr>
              </w:sdtEndPr>
              <w:sdtContent>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其他权益变动</w:t>
                    </w:r>
                  </w:p>
                </w:tc>
              </w:sdtContent>
            </w:sdt>
            <w:sdt>
              <w:sdtPr>
                <w:rPr>
                  <w:sz w:val="18"/>
                  <w:szCs w:val="18"/>
                </w:rPr>
                <w:tag w:val="_PLD_6d37a876ad014b7ba59d452d3d7f5f15"/>
                <w:id w:val="6774659"/>
                <w:lock w:val="sdtLocked"/>
              </w:sdtPr>
              <w:sdtEndPr>
                <w:rPr>
                  <w:sz w:val="18"/>
                  <w:szCs w:val="18"/>
                </w:rPr>
              </w:sdtEndPr>
              <w:sdtContent>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宣告发放现金股利或利润</w:t>
                    </w:r>
                  </w:p>
                </w:tc>
              </w:sdtContent>
            </w:sdt>
            <w:sdt>
              <w:sdtPr>
                <w:rPr>
                  <w:sz w:val="18"/>
                  <w:szCs w:val="18"/>
                </w:rPr>
                <w:tag w:val="_PLD_050d96d5e62f42b9bb4f13a2ca047503"/>
                <w:id w:val="6774660"/>
                <w:lock w:val="sdtLocked"/>
              </w:sdtPr>
              <w:sdtEndPr>
                <w:rPr>
                  <w:sz w:val="18"/>
                  <w:szCs w:val="18"/>
                </w:rPr>
              </w:sdtEndPr>
              <w:sdtContent>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计提减值准备</w:t>
                    </w:r>
                  </w:p>
                </w:tc>
              </w:sdtContent>
            </w:sdt>
            <w:sdt>
              <w:sdtPr>
                <w:rPr>
                  <w:sz w:val="18"/>
                  <w:szCs w:val="18"/>
                </w:rPr>
                <w:tag w:val="_PLD_add111e25b4543c48121d495919f2030"/>
                <w:id w:val="6774661"/>
                <w:lock w:val="sdtLocked"/>
              </w:sdtPr>
              <w:sdtEndPr>
                <w:rPr>
                  <w:sz w:val="18"/>
                  <w:szCs w:val="18"/>
                </w:rPr>
              </w:sdtEndPr>
              <w:sdtContent>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其他</w:t>
                    </w:r>
                  </w:p>
                </w:tc>
              </w:sdtContent>
            </w:sdt>
            <w:tc>
              <w:tcPr>
                <w:tcW w:w="994" w:type="dxa"/>
                <w:vMerge w:val="continue"/>
                <w:tcBorders>
                  <w:left w:val="single" w:color="auto" w:sz="4" w:space="0"/>
                  <w:bottom w:val="single" w:color="auto" w:sz="4" w:space="0"/>
                  <w:right w:val="single" w:color="auto" w:sz="4" w:space="0"/>
                </w:tcBorders>
                <w:shd w:val="clear" w:color="auto" w:fill="auto"/>
                <w:vAlign w:val="center"/>
              </w:tcPr>
              <w:p>
                <w:pPr>
                  <w:jc w:val="center"/>
                  <w:rPr>
                    <w:sz w:val="18"/>
                    <w:szCs w:val="18"/>
                  </w:rPr>
                </w:pPr>
              </w:p>
            </w:tc>
            <w:tc>
              <w:tcPr>
                <w:tcW w:w="658" w:type="dxa"/>
                <w:vMerge w:val="continue"/>
                <w:tcBorders>
                  <w:left w:val="single" w:color="auto" w:sz="4" w:space="0"/>
                  <w:bottom w:val="single" w:color="auto" w:sz="4" w:space="0"/>
                  <w:right w:val="single" w:color="auto" w:sz="4" w:space="0"/>
                </w:tcBorders>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35b755e14b594e4c91e0b7c9ecb32e60"/>
                <w:id w:val="6774662"/>
                <w:lock w:val="sdtLocked"/>
              </w:sdtPr>
              <w:sdtEndPr>
                <w:rPr>
                  <w:sz w:val="18"/>
                  <w:szCs w:val="18"/>
                </w:rPr>
              </w:sdtEndPr>
              <w:sdtContent>
                <w:tc>
                  <w:tcPr>
                    <w:tcW w:w="10064" w:type="dxa"/>
                    <w:gridSpan w:val="12"/>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一、合营企业</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295bd2e13c884c579b2866f1b3e0ad4a"/>
                <w:id w:val="6774663"/>
                <w:lock w:val="sdtLocked"/>
              </w:sdtPr>
              <w:sdtEndPr>
                <w:rPr>
                  <w:sz w:val="18"/>
                  <w:szCs w:val="18"/>
                </w:rPr>
              </w:sdtEndPr>
              <w:sdtContent>
                <w:tc>
                  <w:tcPr>
                    <w:tcW w:w="1843"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小计</w:t>
                    </w:r>
                  </w:p>
                </w:tc>
              </w:sdtContent>
            </w:sdt>
            <w:tc>
              <w:tcPr>
                <w:tcW w:w="427"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857"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1139"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711"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85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725"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58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658"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2c448562bca04f23a9ec97848768cd82"/>
                <w:id w:val="6774664"/>
                <w:lock w:val="sdtLocked"/>
              </w:sdtPr>
              <w:sdtEndPr>
                <w:rPr>
                  <w:sz w:val="18"/>
                  <w:szCs w:val="18"/>
                </w:rPr>
              </w:sdtEndPr>
              <w:sdtContent>
                <w:tc>
                  <w:tcPr>
                    <w:tcW w:w="10064" w:type="dxa"/>
                    <w:gridSpan w:val="12"/>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二、联营企业</w:t>
                    </w:r>
                  </w:p>
                </w:tc>
              </w:sdtContent>
            </w:sdt>
          </w:tr>
          <w:sdt>
            <w:sdtPr>
              <w:rPr>
                <w:rFonts w:hint="eastAsia"/>
                <w:sz w:val="18"/>
                <w:szCs w:val="18"/>
              </w:rPr>
              <w:alias w:val="联营企业投资信息明细"/>
              <w:tag w:val="_TUP_9536e771f46d491bae43945d896c883f"/>
              <w:id w:val="6774665"/>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桂林仙源健康产业股份有限公司</w:t>
                    </w:r>
                  </w:p>
                </w:tc>
                <w:tc>
                  <w:tcPr>
                    <w:tcW w:w="427"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700,000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-299,813.56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400,186.44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 w:val="18"/>
                        <w:szCs w:val="18"/>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01d10d53c021416d9099f27f6145f507"/>
                <w:id w:val="6774666"/>
                <w:lock w:val="sdtLocked"/>
              </w:sdtPr>
              <w:sdtEndPr>
                <w:rPr>
                  <w:sz w:val="18"/>
                  <w:szCs w:val="18"/>
                </w:rPr>
              </w:sdtEndPr>
              <w:sdtContent>
                <w:tc>
                  <w:tcPr>
                    <w:tcW w:w="1843"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小计</w:t>
                    </w:r>
                  </w:p>
                </w:tc>
              </w:sdtContent>
            </w:sdt>
            <w:tc>
              <w:tcPr>
                <w:tcW w:w="427"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700,000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-299,813.56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400,186.44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e1b492ac76a6486cbdda41e1180ee125"/>
                <w:id w:val="6774667"/>
                <w:lock w:val="sdtLocked"/>
              </w:sdtPr>
              <w:sdtEndPr>
                <w:rPr>
                  <w:sz w:val="18"/>
                  <w:szCs w:val="18"/>
                </w:rPr>
              </w:sdtEndPr>
              <w:sdtContent>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合计</w:t>
                    </w:r>
                  </w:p>
                </w:tc>
              </w:sdtContent>
            </w:sdt>
            <w:tc>
              <w:tcPr>
                <w:tcW w:w="427"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700,000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-299,813.56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400,186.44</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 w:val="18"/>
                    <w:szCs w:val="18"/>
                  </w:rPr>
                </w:pPr>
              </w:p>
            </w:tc>
          </w:tr>
        </w:tbl>
        <w:p/>
        <w:p>
          <w:pPr>
            <w:snapToGrid w:val="0"/>
            <w:spacing w:line="240" w:lineRule="atLeast"/>
            <w:rPr>
              <w:szCs w:val="21"/>
            </w:rPr>
          </w:pPr>
          <w:r>
            <w:rPr>
              <w:rFonts w:hint="eastAsia"/>
              <w:szCs w:val="21"/>
            </w:rPr>
            <w:t>其他说明</w:t>
          </w:r>
        </w:p>
        <w:sdt>
          <w:sdtPr>
            <w:rPr>
              <w:rFonts w:hint="eastAsia"/>
              <w:szCs w:val="21"/>
            </w:rPr>
            <w:tag w:val="_SEC_3a311bd4f3f14e4ea06367dc28b85743"/>
            <w:id w:val="6774669"/>
            <w:lock w:val="sdtLocked"/>
            <w:placeholder>
              <w:docPart w:val="GBC22222222222222222222222222222"/>
            </w:placeholder>
          </w:sdtPr>
          <w:sdtEndPr>
            <w:rPr>
              <w:rFonts w:hint="default"/>
              <w:szCs w:val="21"/>
            </w:rPr>
          </w:sdtEndPr>
          <w:sdtContent>
            <w:sdt>
              <w:sdtPr>
                <w:rPr>
                  <w:szCs w:val="21"/>
                </w:rPr>
                <w:alias w:val="长期股票投资的说明"/>
                <w:tag w:val="_GBC_4023b747651f4831814ee17f68bb62d6"/>
                <w:id w:val="6774668"/>
                <w:lock w:val="sdtLocked"/>
                <w:placeholder>
                  <w:docPart w:val="GBC22222222222222222222222222222"/>
                </w:placeholder>
              </w:sdtPr>
              <w:sdtEndPr>
                <w:rPr>
                  <w:szCs w:val="21"/>
                </w:rPr>
              </w:sdtEndPr>
              <w:sdtContent>
                <w:p>
                  <w:pPr>
                    <w:rPr>
                      <w:szCs w:val="21"/>
                    </w:rPr>
                  </w:pPr>
                  <w:r>
                    <w:rPr>
                      <w:rFonts w:hint="eastAsia"/>
                      <w:szCs w:val="21"/>
                    </w:rPr>
                    <w:t>桂林仙源健康产业股份有限公司成立于</w:t>
                  </w:r>
                  <w:r>
                    <w:rPr>
                      <w:szCs w:val="21"/>
                    </w:rPr>
                    <w:t>2014年12月26日，注册资本10000万元，柳钢集团公司出资6000万元，本公司出资3500万元，柳州市兴佳房地产开发有限责任公司出资500万元。</w:t>
                  </w:r>
                  <w:r>
                    <w:rPr>
                      <w:rFonts w:hint="eastAsia"/>
                      <w:szCs w:val="21"/>
                    </w:rPr>
                    <w:t>期末本</w:t>
                  </w:r>
                  <w:r>
                    <w:rPr>
                      <w:rFonts w:hint="eastAsia" w:cs="Arial"/>
                      <w:szCs w:val="21"/>
                    </w:rPr>
                    <w:t>公司实际出资70万元，占仙源公司实收资本23.33%。</w:t>
                  </w:r>
                </w:p>
              </w:sdtContent>
            </w:sdt>
          </w:sdtContent>
        </w:sdt>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投资性房地产</w:t>
      </w:r>
    </w:p>
    <w:p>
      <w:r>
        <w:t>投资性房地产</w:t>
      </w:r>
      <w:r>
        <w:rPr>
          <w:rFonts w:hint="eastAsia"/>
        </w:rPr>
        <w:t>计量模式</w:t>
      </w:r>
    </w:p>
    <w:sdt>
      <w:sdtPr>
        <w:rPr>
          <w:rFonts w:hint="eastAsia"/>
          <w:szCs w:val="21"/>
        </w:rPr>
        <w:tag w:val="_SEC_a051cc5b16ae41feb35dbabfee3cadf5"/>
        <w:id w:val="6774672"/>
        <w:lock w:val="sdtLocked"/>
        <w:placeholder>
          <w:docPart w:val="GBC22222222222222222222222222222"/>
        </w:placeholder>
      </w:sdtPr>
      <w:sdtEndPr>
        <w:rPr>
          <w:rFonts w:hint="eastAsia" w:cstheme="minorBidi"/>
          <w:kern w:val="2"/>
          <w:szCs w:val="21"/>
        </w:rPr>
      </w:sdtEndPr>
      <w:sdtContent>
        <w:p>
          <w:pPr>
            <w:ind w:right="283"/>
            <w:rPr>
              <w:szCs w:val="21"/>
            </w:rPr>
          </w:pPr>
          <w:r>
            <w:rPr>
              <w:rFonts w:hint="eastAsia"/>
              <w:szCs w:val="21"/>
            </w:rPr>
            <w:t>不</w:t>
          </w:r>
          <w:sdt>
            <w:sdtPr>
              <w:rPr>
                <w:rFonts w:hint="eastAsia"/>
                <w:szCs w:val="21"/>
              </w:rPr>
              <w:tag w:val="_PLD_7a7d0f2fe5d842cc9e995195f6b5e433"/>
              <w:id w:val="6774671"/>
              <w:lock w:val="sdtLocked"/>
            </w:sdtPr>
            <w:sdtEndPr>
              <w:rPr>
                <w:rFonts w:hint="eastAsia"/>
                <w:szCs w:val="21"/>
              </w:rPr>
            </w:sdtEndPr>
            <w:sdtContent>
              <w:r>
                <w:rPr>
                  <w:rFonts w:hint="eastAsia"/>
                  <w:szCs w:val="21"/>
                </w:rPr>
                <w:t>适</w:t>
              </w:r>
            </w:sdtContent>
          </w:sdt>
          <w:r>
            <w:rPr>
              <w:rFonts w:hint="eastAsia"/>
              <w:szCs w:val="21"/>
            </w:rPr>
            <w:t>用</w:t>
          </w:r>
        </w:p>
      </w:sdtContent>
    </w:sdt>
    <w:p>
      <w:pPr>
        <w:ind w:right="283"/>
        <w:rPr>
          <w:szCs w:val="21"/>
        </w:rPr>
      </w:pPr>
    </w:p>
    <w:p>
      <w:pPr>
        <w:pStyle w:val="4"/>
        <w:numPr>
          <w:ilvl w:val="0"/>
          <w:numId w:val="66"/>
        </w:numPr>
        <w:tabs>
          <w:tab w:val="left" w:pos="504"/>
        </w:tabs>
        <w:rPr>
          <w:rFonts w:ascii="宋体" w:hAnsi="宋体"/>
          <w:szCs w:val="21"/>
        </w:rPr>
      </w:pPr>
      <w:r>
        <w:rPr>
          <w:rFonts w:hint="eastAsia" w:ascii="宋体" w:hAnsi="宋体"/>
          <w:szCs w:val="21"/>
        </w:rPr>
        <w:t>固定资产</w:t>
      </w:r>
    </w:p>
    <w:sdt>
      <w:sdtPr>
        <w:rPr>
          <w:rFonts w:hint="eastAsia" w:ascii="宋体" w:hAnsi="宋体" w:cs="宋体"/>
          <w:b w:val="0"/>
          <w:bCs w:val="0"/>
          <w:kern w:val="0"/>
          <w:szCs w:val="21"/>
        </w:rPr>
        <w:alias w:val="模块:固定资产情况"/>
        <w:tag w:val="_SEC_b17fc34a023f4384a425600555740cb6"/>
        <w:id w:val="6774707"/>
        <w:lock w:val="sdtLocked"/>
        <w:placeholder>
          <w:docPart w:val="GBC22222222222222222222222222222"/>
        </w:placeholder>
      </w:sdtPr>
      <w:sdtEndPr>
        <w:rPr>
          <w:rFonts w:hint="eastAsia" w:ascii="宋体" w:hAnsi="宋体" w:cstheme="minorBidi"/>
          <w:b w:val="0"/>
          <w:bCs w:val="0"/>
          <w:kern w:val="2"/>
          <w:szCs w:val="21"/>
        </w:rPr>
      </w:sdtEndPr>
      <w:sdtContent>
        <w:p>
          <w:pPr>
            <w:pStyle w:val="5"/>
            <w:numPr>
              <w:ilvl w:val="0"/>
              <w:numId w:val="77"/>
            </w:numPr>
            <w:tabs>
              <w:tab w:val="left" w:pos="588"/>
            </w:tabs>
            <w:rPr>
              <w:rFonts w:ascii="宋体" w:hAnsi="宋体"/>
              <w:szCs w:val="21"/>
            </w:rPr>
          </w:pPr>
          <w:r>
            <w:rPr>
              <w:rFonts w:hint="eastAsia" w:ascii="宋体" w:hAnsi="宋体"/>
              <w:szCs w:val="21"/>
            </w:rPr>
            <w:t>固定资产情况</w:t>
          </w:r>
        </w:p>
        <w:sdt>
          <w:sdtPr>
            <w:alias w:val="是否适用：固定资产情况[双击切换]"/>
            <w:tag w:val="_GBC_a44afb7019ae43b7a273970cf76154a3"/>
            <w:id w:val="677467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67746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67746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147"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500"/>
            <w:gridCol w:w="1740"/>
            <w:gridCol w:w="1845"/>
            <w:gridCol w:w="12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0431b88b9ff14ebb90e5715c273e1c1d"/>
                <w:id w:val="6774676"/>
                <w:lock w:val="sdtLocked"/>
              </w:sdtPr>
              <w:sdtContent>
                <w:tc>
                  <w:tcPr>
                    <w:tcW w:w="2500" w:type="dxa"/>
                    <w:shd w:val="clear" w:color="auto" w:fill="auto"/>
                    <w:vAlign w:val="center"/>
                  </w:tcPr>
                  <w:p>
                    <w:pPr>
                      <w:jc w:val="center"/>
                    </w:pPr>
                    <w:r>
                      <w:rPr>
                        <w:rFonts w:hint="eastAsia"/>
                      </w:rPr>
                      <w:t>项目</w:t>
                    </w:r>
                  </w:p>
                </w:tc>
              </w:sdtContent>
            </w:sdt>
            <w:sdt>
              <w:sdtPr>
                <w:rPr>
                  <w:rFonts w:hint="eastAsia"/>
                </w:rPr>
                <w:alias w:val="固定资产情况明细-项目名称"/>
                <w:tag w:val="_GBC_d421638fcfb34bbba0e548b4cb719a06"/>
                <w:id w:val="6774677"/>
                <w:lock w:val="sdtLocked"/>
                <w:text/>
              </w:sdtPr>
              <w:sdtEndPr>
                <w:rPr>
                  <w:rFonts w:hint="eastAsia"/>
                </w:rPr>
              </w:sdtEndPr>
              <w:sdtContent>
                <w:tc>
                  <w:tcPr>
                    <w:tcW w:w="1740" w:type="dxa"/>
                    <w:shd w:val="clear" w:color="auto" w:fill="auto"/>
                    <w:vAlign w:val="center"/>
                  </w:tcPr>
                  <w:p>
                    <w:pPr>
                      <w:jc w:val="center"/>
                    </w:pPr>
                    <w:r>
                      <w:rPr>
                        <w:rFonts w:hint="eastAsia"/>
                      </w:rPr>
                      <w:t>房屋及建筑物</w:t>
                    </w:r>
                  </w:p>
                </w:tc>
              </w:sdtContent>
            </w:sdt>
            <w:sdt>
              <w:sdtPr>
                <w:rPr>
                  <w:rFonts w:hint="eastAsia"/>
                </w:rPr>
                <w:alias w:val="固定资产情况明细-项目名称"/>
                <w:tag w:val="_GBC_d421638fcfb34bbba0e548b4cb719a06"/>
                <w:id w:val="6774678"/>
                <w:lock w:val="sdtLocked"/>
                <w:text/>
              </w:sdtPr>
              <w:sdtEndPr>
                <w:rPr>
                  <w:rFonts w:hint="eastAsia"/>
                </w:rPr>
              </w:sdtEndPr>
              <w:sdtContent>
                <w:tc>
                  <w:tcPr>
                    <w:tcW w:w="1845" w:type="dxa"/>
                    <w:shd w:val="clear" w:color="auto" w:fill="auto"/>
                    <w:vAlign w:val="center"/>
                  </w:tcPr>
                  <w:p>
                    <w:pPr>
                      <w:jc w:val="center"/>
                    </w:pPr>
                    <w:r>
                      <w:rPr>
                        <w:rFonts w:hint="eastAsia"/>
                      </w:rPr>
                      <w:t>机器设备</w:t>
                    </w:r>
                  </w:p>
                </w:tc>
              </w:sdtContent>
            </w:sdt>
            <w:sdt>
              <w:sdtPr>
                <w:rPr>
                  <w:rFonts w:hint="eastAsia"/>
                </w:rPr>
                <w:alias w:val="固定资产情况明细-项目名称"/>
                <w:tag w:val="_GBC_d421638fcfb34bbba0e548b4cb719a06"/>
                <w:id w:val="6774679"/>
                <w:lock w:val="sdtLocked"/>
                <w:text/>
              </w:sdtPr>
              <w:sdtEndPr>
                <w:rPr>
                  <w:rFonts w:hint="eastAsia"/>
                </w:rPr>
              </w:sdtEndPr>
              <w:sdtContent>
                <w:tc>
                  <w:tcPr>
                    <w:tcW w:w="1217" w:type="dxa"/>
                    <w:shd w:val="clear" w:color="auto" w:fill="auto"/>
                    <w:vAlign w:val="center"/>
                  </w:tcPr>
                  <w:p>
                    <w:pPr>
                      <w:jc w:val="center"/>
                    </w:pPr>
                    <w:r>
                      <w:rPr>
                        <w:rFonts w:hint="eastAsia"/>
                      </w:rPr>
                      <w:t>运输工具</w:t>
                    </w:r>
                  </w:p>
                </w:tc>
              </w:sdtContent>
            </w:sdt>
            <w:sdt>
              <w:sdtPr>
                <w:tag w:val="_PLD_44989fc4cd3d46cc990c4d1941405a11"/>
                <w:id w:val="6774680"/>
                <w:lock w:val="sdtLocked"/>
              </w:sdtPr>
              <w:sdtContent>
                <w:tc>
                  <w:tcPr>
                    <w:tcW w:w="1845" w:type="dxa"/>
                    <w:shd w:val="clear" w:color="auto" w:fill="auto"/>
                    <w:vAlign w:val="center"/>
                  </w:tcPr>
                  <w:p>
                    <w:pPr>
                      <w:jc w:val="center"/>
                    </w:pPr>
                    <w:r>
                      <w:rPr>
                        <w:rFonts w:hint="eastAsia"/>
                      </w:rPr>
                      <w:t>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baa91289996942f0a3579319b339b24d"/>
                <w:id w:val="6774681"/>
                <w:lock w:val="sdtLocked"/>
              </w:sdtPr>
              <w:sdtContent>
                <w:tc>
                  <w:tcPr>
                    <w:tcW w:w="2500" w:type="dxa"/>
                    <w:shd w:val="clear" w:color="auto" w:fill="auto"/>
                  </w:tcPr>
                  <w:p>
                    <w:r>
                      <w:rPr>
                        <w:rFonts w:hint="eastAsia"/>
                      </w:rPr>
                      <w:t>一、账面原值：</w:t>
                    </w:r>
                  </w:p>
                </w:tc>
              </w:sdtContent>
            </w:sdt>
            <w:tc>
              <w:tcPr>
                <w:tcW w:w="1740" w:type="dxa"/>
                <w:shd w:val="clear" w:color="auto" w:fill="auto"/>
                <w:vAlign w:val="center"/>
              </w:tcPr>
              <w:p>
                <w:pPr>
                  <w:jc w:val="center"/>
                </w:pPr>
              </w:p>
            </w:tc>
            <w:tc>
              <w:tcPr>
                <w:tcW w:w="1845" w:type="dxa"/>
                <w:shd w:val="clear" w:color="auto" w:fill="auto"/>
                <w:vAlign w:val="center"/>
              </w:tcPr>
              <w:p>
                <w:pPr>
                  <w:jc w:val="center"/>
                </w:pPr>
              </w:p>
            </w:tc>
            <w:tc>
              <w:tcPr>
                <w:tcW w:w="1217" w:type="dxa"/>
                <w:shd w:val="clear" w:color="auto" w:fill="auto"/>
                <w:vAlign w:val="center"/>
              </w:tcPr>
              <w:p>
                <w:pPr>
                  <w:jc w:val="center"/>
                </w:pPr>
              </w:p>
            </w:tc>
            <w:tc>
              <w:tcPr>
                <w:tcW w:w="1845"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8e55a39d9b04404cba08570c8d73eda8"/>
                <w:id w:val="6774682"/>
                <w:lock w:val="sdtLocked"/>
              </w:sdtPr>
              <w:sdtContent>
                <w:tc>
                  <w:tcPr>
                    <w:tcW w:w="2500" w:type="dxa"/>
                    <w:shd w:val="clear" w:color="auto" w:fill="auto"/>
                  </w:tcPr>
                  <w:p>
                    <w:pPr>
                      <w:ind w:firstLine="420" w:firstLineChars="200"/>
                    </w:pPr>
                    <w:r>
                      <w:t>1.</w:t>
                    </w:r>
                    <w:r>
                      <w:rPr>
                        <w:rFonts w:hint="eastAsia"/>
                      </w:rPr>
                      <w:t>期初余额</w:t>
                    </w:r>
                  </w:p>
                </w:tc>
              </w:sdtContent>
            </w:sdt>
            <w:tc>
              <w:tcPr>
                <w:tcW w:w="1740" w:type="dxa"/>
                <w:shd w:val="clear" w:color="auto" w:fill="auto"/>
                <w:vAlign w:val="center"/>
              </w:tcPr>
              <w:p>
                <w:pPr>
                  <w:jc w:val="right"/>
                </w:pPr>
                <w:r>
                  <w:t>7,885,592,496.36</w:t>
                </w:r>
              </w:p>
            </w:tc>
            <w:tc>
              <w:tcPr>
                <w:tcW w:w="1845" w:type="dxa"/>
                <w:shd w:val="clear" w:color="auto" w:fill="auto"/>
                <w:vAlign w:val="center"/>
              </w:tcPr>
              <w:p>
                <w:pPr>
                  <w:jc w:val="right"/>
                </w:pPr>
                <w:r>
                  <w:t>10,057,192,022.96</w:t>
                </w:r>
              </w:p>
            </w:tc>
            <w:tc>
              <w:tcPr>
                <w:tcW w:w="1217" w:type="dxa"/>
                <w:shd w:val="clear" w:color="auto" w:fill="auto"/>
                <w:vAlign w:val="center"/>
              </w:tcPr>
              <w:p>
                <w:pPr>
                  <w:jc w:val="right"/>
                </w:pPr>
                <w:r>
                  <w:t>718,753.09</w:t>
                </w:r>
              </w:p>
            </w:tc>
            <w:tc>
              <w:tcPr>
                <w:tcW w:w="1845" w:type="dxa"/>
                <w:shd w:val="clear" w:color="auto" w:fill="auto"/>
                <w:vAlign w:val="center"/>
              </w:tcPr>
              <w:p>
                <w:pPr>
                  <w:jc w:val="right"/>
                </w:pPr>
                <w:r>
                  <w:t>17,943,503,272.41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5d0a6e7657e6410e9c0550f674185af8"/>
                <w:id w:val="6774683"/>
                <w:lock w:val="sdtLocked"/>
              </w:sdtPr>
              <w:sdtContent>
                <w:tc>
                  <w:tcPr>
                    <w:tcW w:w="2500" w:type="dxa"/>
                    <w:shd w:val="clear" w:color="auto" w:fill="auto"/>
                  </w:tcPr>
                  <w:p>
                    <w:pPr>
                      <w:ind w:firstLine="420" w:firstLineChars="200"/>
                    </w:pPr>
                    <w:r>
                      <w:t>2.</w:t>
                    </w:r>
                    <w:r>
                      <w:rPr>
                        <w:rFonts w:hint="eastAsia"/>
                      </w:rPr>
                      <w:t>本期增加金额</w:t>
                    </w:r>
                  </w:p>
                </w:tc>
              </w:sdtContent>
            </w:sdt>
            <w:tc>
              <w:tcPr>
                <w:tcW w:w="1740" w:type="dxa"/>
                <w:shd w:val="clear" w:color="auto" w:fill="auto"/>
                <w:vAlign w:val="center"/>
              </w:tcPr>
              <w:p>
                <w:pPr>
                  <w:jc w:val="right"/>
                </w:pPr>
                <w:r>
                  <w:t>471,297,117.51</w:t>
                </w:r>
              </w:p>
            </w:tc>
            <w:tc>
              <w:tcPr>
                <w:tcW w:w="1845" w:type="dxa"/>
                <w:shd w:val="clear" w:color="auto" w:fill="auto"/>
                <w:vAlign w:val="center"/>
              </w:tcPr>
              <w:p>
                <w:pPr>
                  <w:jc w:val="right"/>
                </w:pPr>
                <w:r>
                  <w:t>108,123,419.50</w:t>
                </w:r>
              </w:p>
            </w:tc>
            <w:tc>
              <w:tcPr>
                <w:tcW w:w="1217" w:type="dxa"/>
                <w:shd w:val="clear" w:color="auto" w:fill="auto"/>
                <w:vAlign w:val="center"/>
              </w:tcPr>
              <w:p>
                <w:pPr>
                  <w:jc w:val="right"/>
                </w:pPr>
                <w:r>
                  <w:t>67,094.02</w:t>
                </w:r>
              </w:p>
            </w:tc>
            <w:tc>
              <w:tcPr>
                <w:tcW w:w="1845" w:type="dxa"/>
                <w:shd w:val="clear" w:color="auto" w:fill="auto"/>
                <w:vAlign w:val="center"/>
              </w:tcPr>
              <w:p>
                <w:pPr>
                  <w:jc w:val="right"/>
                </w:pPr>
                <w:r>
                  <w:t>579,487,631.03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21acfc7c80ed4c8898e7254bc3a221c4"/>
                <w:id w:val="6774684"/>
                <w:lock w:val="sdtLocked"/>
              </w:sdtPr>
              <w:sdtContent>
                <w:tc>
                  <w:tcPr>
                    <w:tcW w:w="2500" w:type="dxa"/>
                    <w:shd w:val="clear" w:color="auto" w:fill="auto"/>
                  </w:tcPr>
                  <w:p>
                    <w:pPr>
                      <w:ind w:firstLine="630" w:firstLineChars="300"/>
                    </w:pPr>
                    <w:r>
                      <w:rPr>
                        <w:rFonts w:hint="eastAsia"/>
                      </w:rPr>
                      <w:t>（1）购置</w:t>
                    </w:r>
                  </w:p>
                </w:tc>
              </w:sdtContent>
            </w:sdt>
            <w:tc>
              <w:tcPr>
                <w:tcW w:w="1740" w:type="dxa"/>
                <w:shd w:val="clear" w:color="auto" w:fill="auto"/>
                <w:vAlign w:val="center"/>
              </w:tcPr>
              <w:p>
                <w:pPr>
                  <w:jc w:val="right"/>
                </w:pPr>
              </w:p>
            </w:tc>
            <w:tc>
              <w:tcPr>
                <w:tcW w:w="1845" w:type="dxa"/>
                <w:shd w:val="clear" w:color="auto" w:fill="auto"/>
                <w:vAlign w:val="center"/>
              </w:tcPr>
              <w:p>
                <w:pPr>
                  <w:jc w:val="right"/>
                </w:pPr>
              </w:p>
            </w:tc>
            <w:tc>
              <w:tcPr>
                <w:tcW w:w="1217" w:type="dxa"/>
                <w:shd w:val="clear" w:color="auto" w:fill="auto"/>
                <w:vAlign w:val="center"/>
              </w:tcPr>
              <w:p>
                <w:pPr>
                  <w:jc w:val="right"/>
                </w:pPr>
              </w:p>
            </w:tc>
            <w:tc>
              <w:tcPr>
                <w:tcW w:w="1845" w:type="dxa"/>
                <w:shd w:val="clear" w:color="auto" w:fill="auto"/>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c4fb45cabc464177bb10403e2ec415b1"/>
                <w:id w:val="6774685"/>
                <w:lock w:val="sdtLocked"/>
              </w:sdtPr>
              <w:sdtContent>
                <w:tc>
                  <w:tcPr>
                    <w:tcW w:w="2500" w:type="dxa"/>
                    <w:shd w:val="clear" w:color="auto" w:fill="auto"/>
                  </w:tcPr>
                  <w:p>
                    <w:pPr>
                      <w:ind w:firstLine="630" w:firstLineChars="300"/>
                    </w:pPr>
                    <w:r>
                      <w:rPr>
                        <w:rFonts w:hint="eastAsia"/>
                      </w:rPr>
                      <w:t>（2）在建工程转入</w:t>
                    </w:r>
                  </w:p>
                </w:tc>
              </w:sdtContent>
            </w:sdt>
            <w:tc>
              <w:tcPr>
                <w:tcW w:w="1740" w:type="dxa"/>
                <w:shd w:val="clear" w:color="auto" w:fill="auto"/>
                <w:vAlign w:val="center"/>
              </w:tcPr>
              <w:p>
                <w:pPr>
                  <w:jc w:val="right"/>
                </w:pPr>
                <w:r>
                  <w:t>471,297,117.51</w:t>
                </w:r>
              </w:p>
            </w:tc>
            <w:tc>
              <w:tcPr>
                <w:tcW w:w="1845" w:type="dxa"/>
                <w:shd w:val="clear" w:color="auto" w:fill="auto"/>
                <w:vAlign w:val="center"/>
              </w:tcPr>
              <w:p>
                <w:pPr>
                  <w:jc w:val="right"/>
                </w:pPr>
                <w:r>
                  <w:t>108,123,419.50</w:t>
                </w:r>
              </w:p>
            </w:tc>
            <w:tc>
              <w:tcPr>
                <w:tcW w:w="1217" w:type="dxa"/>
                <w:shd w:val="clear" w:color="auto" w:fill="auto"/>
                <w:vAlign w:val="center"/>
              </w:tcPr>
              <w:p>
                <w:pPr>
                  <w:jc w:val="right"/>
                </w:pPr>
                <w:r>
                  <w:t>67,094.02</w:t>
                </w:r>
              </w:p>
            </w:tc>
            <w:tc>
              <w:tcPr>
                <w:tcW w:w="1845" w:type="dxa"/>
                <w:shd w:val="clear" w:color="auto" w:fill="auto"/>
                <w:vAlign w:val="center"/>
              </w:tcPr>
              <w:p>
                <w:pPr>
                  <w:jc w:val="right"/>
                </w:pPr>
                <w:r>
                  <w:t>579,487,631.03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726d6f59ad1c442a86cca9c28703f954"/>
                <w:id w:val="6774686"/>
                <w:lock w:val="sdtLocked"/>
              </w:sdtPr>
              <w:sdtContent>
                <w:tc>
                  <w:tcPr>
                    <w:tcW w:w="2500" w:type="dxa"/>
                    <w:shd w:val="clear" w:color="auto" w:fill="auto"/>
                  </w:tcPr>
                  <w:p>
                    <w:pPr>
                      <w:ind w:firstLine="630" w:firstLineChars="300"/>
                    </w:pPr>
                    <w:r>
                      <w:rPr>
                        <w:rFonts w:hint="eastAsia"/>
                      </w:rPr>
                      <w:t>（3）企业合并增加</w:t>
                    </w:r>
                  </w:p>
                </w:tc>
              </w:sdtContent>
            </w:sdt>
            <w:tc>
              <w:tcPr>
                <w:tcW w:w="1740" w:type="dxa"/>
                <w:shd w:val="clear" w:color="auto" w:fill="auto"/>
                <w:vAlign w:val="center"/>
              </w:tcPr>
              <w:p>
                <w:pPr>
                  <w:jc w:val="right"/>
                </w:pPr>
              </w:p>
            </w:tc>
            <w:tc>
              <w:tcPr>
                <w:tcW w:w="1845" w:type="dxa"/>
                <w:shd w:val="clear" w:color="auto" w:fill="auto"/>
                <w:vAlign w:val="center"/>
              </w:tcPr>
              <w:p>
                <w:pPr>
                  <w:jc w:val="right"/>
                </w:pPr>
              </w:p>
            </w:tc>
            <w:tc>
              <w:tcPr>
                <w:tcW w:w="1217" w:type="dxa"/>
                <w:shd w:val="clear" w:color="auto" w:fill="auto"/>
                <w:vAlign w:val="center"/>
              </w:tcPr>
              <w:p>
                <w:pPr>
                  <w:jc w:val="right"/>
                </w:pPr>
              </w:p>
            </w:tc>
            <w:tc>
              <w:tcPr>
                <w:tcW w:w="1845" w:type="dxa"/>
                <w:shd w:val="clear" w:color="auto" w:fill="auto"/>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82105b7a23294bcc97fa2c9d341d5e29"/>
                <w:id w:val="6774687"/>
                <w:lock w:val="sdtLocked"/>
              </w:sdtPr>
              <w:sdtContent>
                <w:tc>
                  <w:tcPr>
                    <w:tcW w:w="2500" w:type="dxa"/>
                    <w:shd w:val="clear" w:color="auto" w:fill="auto"/>
                  </w:tcPr>
                  <w:p>
                    <w:pPr>
                      <w:ind w:firstLine="525" w:firstLineChars="250"/>
                    </w:pPr>
                    <w:r>
                      <w:rPr>
                        <w:rFonts w:hint="eastAsia"/>
                      </w:rPr>
                      <w:t>3.本期减少金额</w:t>
                    </w:r>
                  </w:p>
                </w:tc>
              </w:sdtContent>
            </w:sdt>
            <w:tc>
              <w:tcPr>
                <w:tcW w:w="1740" w:type="dxa"/>
                <w:shd w:val="clear" w:color="auto" w:fill="auto"/>
                <w:vAlign w:val="center"/>
              </w:tcPr>
              <w:p>
                <w:pPr>
                  <w:jc w:val="right"/>
                </w:pPr>
                <w:r>
                  <w:t>1,986,565.73</w:t>
                </w:r>
              </w:p>
            </w:tc>
            <w:tc>
              <w:tcPr>
                <w:tcW w:w="1845" w:type="dxa"/>
                <w:shd w:val="clear" w:color="auto" w:fill="auto"/>
                <w:vAlign w:val="center"/>
              </w:tcPr>
              <w:p>
                <w:pPr>
                  <w:jc w:val="right"/>
                </w:pPr>
                <w:r>
                  <w:t>15,552,202.36</w:t>
                </w:r>
              </w:p>
            </w:tc>
            <w:tc>
              <w:tcPr>
                <w:tcW w:w="1217" w:type="dxa"/>
                <w:shd w:val="clear" w:color="auto" w:fill="auto"/>
                <w:vAlign w:val="center"/>
              </w:tcPr>
              <w:p>
                <w:pPr>
                  <w:jc w:val="right"/>
                </w:pPr>
              </w:p>
            </w:tc>
            <w:tc>
              <w:tcPr>
                <w:tcW w:w="1845" w:type="dxa"/>
                <w:shd w:val="clear" w:color="auto" w:fill="auto"/>
                <w:vAlign w:val="center"/>
              </w:tcPr>
              <w:p>
                <w:pPr>
                  <w:jc w:val="right"/>
                </w:pPr>
                <w:r>
                  <w:t>17,538,768.09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ff1592931fc24cf7bf5faee8eae2abb5"/>
                <w:id w:val="6774688"/>
                <w:lock w:val="sdtLocked"/>
              </w:sdtPr>
              <w:sdtContent>
                <w:tc>
                  <w:tcPr>
                    <w:tcW w:w="2500" w:type="dxa"/>
                    <w:shd w:val="clear" w:color="auto" w:fill="auto"/>
                  </w:tcPr>
                  <w:p>
                    <w:pPr>
                      <w:ind w:firstLine="630" w:firstLineChars="300"/>
                    </w:pPr>
                    <w:r>
                      <w:rPr>
                        <w:rFonts w:hint="eastAsia"/>
                      </w:rPr>
                      <w:t>（1）处置或报废</w:t>
                    </w:r>
                  </w:p>
                </w:tc>
              </w:sdtContent>
            </w:sdt>
            <w:tc>
              <w:tcPr>
                <w:tcW w:w="1740" w:type="dxa"/>
                <w:shd w:val="clear" w:color="auto" w:fill="auto"/>
                <w:vAlign w:val="center"/>
              </w:tcPr>
              <w:p>
                <w:pPr>
                  <w:jc w:val="right"/>
                </w:pPr>
                <w:r>
                  <w:t>1,986,565.73</w:t>
                </w:r>
              </w:p>
            </w:tc>
            <w:tc>
              <w:tcPr>
                <w:tcW w:w="1845" w:type="dxa"/>
                <w:shd w:val="clear" w:color="auto" w:fill="auto"/>
                <w:vAlign w:val="center"/>
              </w:tcPr>
              <w:p>
                <w:pPr>
                  <w:jc w:val="right"/>
                </w:pPr>
                <w:r>
                  <w:t>15,552,202.36</w:t>
                </w:r>
              </w:p>
            </w:tc>
            <w:tc>
              <w:tcPr>
                <w:tcW w:w="1217" w:type="dxa"/>
                <w:shd w:val="clear" w:color="auto" w:fill="auto"/>
                <w:vAlign w:val="center"/>
              </w:tcPr>
              <w:p>
                <w:pPr>
                  <w:jc w:val="right"/>
                </w:pPr>
              </w:p>
            </w:tc>
            <w:tc>
              <w:tcPr>
                <w:tcW w:w="1845" w:type="dxa"/>
                <w:shd w:val="clear" w:color="auto" w:fill="auto"/>
                <w:vAlign w:val="center"/>
              </w:tcPr>
              <w:p>
                <w:pPr>
                  <w:jc w:val="right"/>
                </w:pPr>
                <w:r>
                  <w:t>17,538,768.09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3fb9f6c6a0b842188aea461d99c9adab"/>
                <w:id w:val="6774689"/>
                <w:lock w:val="sdtLocked"/>
              </w:sdtPr>
              <w:sdtContent>
                <w:tc>
                  <w:tcPr>
                    <w:tcW w:w="2500" w:type="dxa"/>
                    <w:shd w:val="clear" w:color="auto" w:fill="auto"/>
                  </w:tcPr>
                  <w:p>
                    <w:pPr>
                      <w:ind w:firstLine="420" w:firstLineChars="200"/>
                    </w:pPr>
                    <w:r>
                      <w:rPr>
                        <w:rFonts w:hint="eastAsia"/>
                      </w:rPr>
                      <w:t>4.期末余额</w:t>
                    </w:r>
                  </w:p>
                </w:tc>
              </w:sdtContent>
            </w:sdt>
            <w:tc>
              <w:tcPr>
                <w:tcW w:w="1740" w:type="dxa"/>
                <w:shd w:val="clear" w:color="auto" w:fill="auto"/>
                <w:vAlign w:val="center"/>
              </w:tcPr>
              <w:p>
                <w:pPr>
                  <w:jc w:val="right"/>
                </w:pPr>
                <w:r>
                  <w:t>8,354,903,048.14</w:t>
                </w:r>
              </w:p>
            </w:tc>
            <w:tc>
              <w:tcPr>
                <w:tcW w:w="1845" w:type="dxa"/>
                <w:shd w:val="clear" w:color="auto" w:fill="auto"/>
                <w:vAlign w:val="center"/>
              </w:tcPr>
              <w:p>
                <w:pPr>
                  <w:jc w:val="right"/>
                </w:pPr>
                <w:r>
                  <w:t>10,149,763,240.10</w:t>
                </w:r>
              </w:p>
            </w:tc>
            <w:tc>
              <w:tcPr>
                <w:tcW w:w="1217" w:type="dxa"/>
                <w:shd w:val="clear" w:color="auto" w:fill="auto"/>
                <w:vAlign w:val="center"/>
              </w:tcPr>
              <w:p>
                <w:pPr>
                  <w:jc w:val="right"/>
                </w:pPr>
                <w:r>
                  <w:t>785,847.11</w:t>
                </w:r>
              </w:p>
            </w:tc>
            <w:tc>
              <w:tcPr>
                <w:tcW w:w="1845" w:type="dxa"/>
                <w:shd w:val="clear" w:color="auto" w:fill="auto"/>
                <w:vAlign w:val="center"/>
              </w:tcPr>
              <w:p>
                <w:pPr>
                  <w:jc w:val="right"/>
                </w:pPr>
                <w:r>
                  <w:t>18,505,452,135.35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14f44e7a4341414ca27a4047f9622e44"/>
                <w:id w:val="6774690"/>
                <w:lock w:val="sdtLocked"/>
              </w:sdtPr>
              <w:sdtContent>
                <w:tc>
                  <w:tcPr>
                    <w:tcW w:w="2500" w:type="dxa"/>
                    <w:shd w:val="clear" w:color="auto" w:fill="auto"/>
                  </w:tcPr>
                  <w:p>
                    <w:r>
                      <w:rPr>
                        <w:rFonts w:hint="eastAsia"/>
                      </w:rPr>
                      <w:t>二、累计折旧</w:t>
                    </w:r>
                  </w:p>
                </w:tc>
              </w:sdtContent>
            </w:sdt>
            <w:tc>
              <w:tcPr>
                <w:tcW w:w="1740" w:type="dxa"/>
                <w:shd w:val="clear" w:color="auto" w:fill="auto"/>
                <w:vAlign w:val="center"/>
              </w:tcPr>
              <w:p>
                <w:pPr>
                  <w:jc w:val="center"/>
                </w:pPr>
                <w:r>
                  <w:t> </w:t>
                </w:r>
              </w:p>
            </w:tc>
            <w:tc>
              <w:tcPr>
                <w:tcW w:w="1845" w:type="dxa"/>
                <w:shd w:val="clear" w:color="auto" w:fill="auto"/>
                <w:vAlign w:val="center"/>
              </w:tcPr>
              <w:p>
                <w:pPr>
                  <w:jc w:val="center"/>
                </w:pPr>
                <w:r>
                  <w:t> </w:t>
                </w:r>
              </w:p>
            </w:tc>
            <w:tc>
              <w:tcPr>
                <w:tcW w:w="1217" w:type="dxa"/>
                <w:shd w:val="clear" w:color="auto" w:fill="auto"/>
                <w:vAlign w:val="center"/>
              </w:tcPr>
              <w:p>
                <w:pPr>
                  <w:jc w:val="center"/>
                </w:pPr>
                <w:r>
                  <w:t> </w:t>
                </w:r>
              </w:p>
            </w:tc>
            <w:tc>
              <w:tcPr>
                <w:tcW w:w="1845" w:type="dxa"/>
                <w:shd w:val="clear" w:color="auto" w:fill="auto"/>
                <w:vAlign w:val="center"/>
              </w:tcPr>
              <w:p>
                <w:pPr>
                  <w:jc w:val="center"/>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bdfb76068a2a4a95ab0a3bcf1b094bf2"/>
                <w:id w:val="6774691"/>
                <w:lock w:val="sdtLocked"/>
              </w:sdtPr>
              <w:sdtContent>
                <w:tc>
                  <w:tcPr>
                    <w:tcW w:w="2500" w:type="dxa"/>
                    <w:shd w:val="clear" w:color="auto" w:fill="auto"/>
                  </w:tcPr>
                  <w:p>
                    <w:pPr>
                      <w:ind w:firstLine="420" w:firstLineChars="200"/>
                    </w:pPr>
                    <w:r>
                      <w:t>1.</w:t>
                    </w:r>
                    <w:r>
                      <w:rPr>
                        <w:rFonts w:hint="eastAsia"/>
                      </w:rPr>
                      <w:t>期初余额</w:t>
                    </w:r>
                  </w:p>
                </w:tc>
              </w:sdtContent>
            </w:sdt>
            <w:tc>
              <w:tcPr>
                <w:tcW w:w="1740" w:type="dxa"/>
                <w:shd w:val="clear" w:color="auto" w:fill="auto"/>
                <w:vAlign w:val="center"/>
              </w:tcPr>
              <w:p>
                <w:pPr>
                  <w:jc w:val="right"/>
                </w:pPr>
                <w:r>
                  <w:t>2,357,120,081.48</w:t>
                </w:r>
              </w:p>
            </w:tc>
            <w:tc>
              <w:tcPr>
                <w:tcW w:w="1845" w:type="dxa"/>
                <w:shd w:val="clear" w:color="auto" w:fill="auto"/>
                <w:vAlign w:val="center"/>
              </w:tcPr>
              <w:p>
                <w:pPr>
                  <w:jc w:val="right"/>
                </w:pPr>
                <w:r>
                  <w:t>5,496,344,148.45</w:t>
                </w:r>
              </w:p>
            </w:tc>
            <w:tc>
              <w:tcPr>
                <w:tcW w:w="1217" w:type="dxa"/>
                <w:shd w:val="clear" w:color="auto" w:fill="auto"/>
                <w:vAlign w:val="center"/>
              </w:tcPr>
              <w:p>
                <w:pPr>
                  <w:jc w:val="right"/>
                </w:pPr>
                <w:r>
                  <w:t>397,236.64</w:t>
                </w:r>
              </w:p>
            </w:tc>
            <w:tc>
              <w:tcPr>
                <w:tcW w:w="1845" w:type="dxa"/>
                <w:shd w:val="clear" w:color="auto" w:fill="auto"/>
                <w:vAlign w:val="center"/>
              </w:tcPr>
              <w:p>
                <w:pPr>
                  <w:jc w:val="right"/>
                </w:pPr>
                <w:r>
                  <w:t>7,853,861,466.57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ac9d6720c4e84ec2b82637a9bc7e4a54"/>
                <w:id w:val="6774692"/>
                <w:lock w:val="sdtLocked"/>
              </w:sdtPr>
              <w:sdtContent>
                <w:tc>
                  <w:tcPr>
                    <w:tcW w:w="2500" w:type="dxa"/>
                    <w:shd w:val="clear" w:color="auto" w:fill="auto"/>
                  </w:tcPr>
                  <w:p>
                    <w:pPr>
                      <w:ind w:firstLine="420" w:firstLineChars="200"/>
                    </w:pPr>
                    <w:r>
                      <w:t>2.</w:t>
                    </w:r>
                    <w:r>
                      <w:rPr>
                        <w:rFonts w:hint="eastAsia"/>
                      </w:rPr>
                      <w:t>本期增加金额</w:t>
                    </w:r>
                  </w:p>
                </w:tc>
              </w:sdtContent>
            </w:sdt>
            <w:tc>
              <w:tcPr>
                <w:tcW w:w="1740" w:type="dxa"/>
                <w:shd w:val="clear" w:color="auto" w:fill="auto"/>
                <w:vAlign w:val="center"/>
              </w:tcPr>
              <w:p>
                <w:pPr>
                  <w:jc w:val="right"/>
                </w:pPr>
                <w:r>
                  <w:t>237,971,576.95</w:t>
                </w:r>
              </w:p>
            </w:tc>
            <w:tc>
              <w:tcPr>
                <w:tcW w:w="1845" w:type="dxa"/>
                <w:shd w:val="clear" w:color="auto" w:fill="auto"/>
                <w:vAlign w:val="center"/>
              </w:tcPr>
              <w:p>
                <w:pPr>
                  <w:jc w:val="right"/>
                </w:pPr>
                <w:r>
                  <w:t>650,544,617.60</w:t>
                </w:r>
              </w:p>
            </w:tc>
            <w:tc>
              <w:tcPr>
                <w:tcW w:w="1217" w:type="dxa"/>
                <w:shd w:val="clear" w:color="auto" w:fill="auto"/>
                <w:vAlign w:val="center"/>
              </w:tcPr>
              <w:p>
                <w:pPr>
                  <w:jc w:val="right"/>
                </w:pPr>
                <w:r>
                  <w:t>203,389.74</w:t>
                </w:r>
              </w:p>
            </w:tc>
            <w:tc>
              <w:tcPr>
                <w:tcW w:w="1845" w:type="dxa"/>
                <w:shd w:val="clear" w:color="auto" w:fill="auto"/>
                <w:vAlign w:val="center"/>
              </w:tcPr>
              <w:p>
                <w:pPr>
                  <w:jc w:val="right"/>
                </w:pPr>
                <w:r>
                  <w:t>888,719,584.29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4b899f8229be463181a7e6a6c1cb2337"/>
                <w:id w:val="6774693"/>
                <w:lock w:val="sdtLocked"/>
              </w:sdtPr>
              <w:sdtContent>
                <w:tc>
                  <w:tcPr>
                    <w:tcW w:w="2500" w:type="dxa"/>
                    <w:shd w:val="clear" w:color="auto" w:fill="auto"/>
                  </w:tcPr>
                  <w:p>
                    <w:pPr>
                      <w:ind w:firstLine="630" w:firstLineChars="300"/>
                    </w:pPr>
                    <w:r>
                      <w:rPr>
                        <w:rFonts w:hint="eastAsia"/>
                      </w:rPr>
                      <w:t>（1）计提</w:t>
                    </w:r>
                  </w:p>
                </w:tc>
              </w:sdtContent>
            </w:sdt>
            <w:tc>
              <w:tcPr>
                <w:tcW w:w="1740" w:type="dxa"/>
                <w:shd w:val="clear" w:color="auto" w:fill="auto"/>
                <w:vAlign w:val="center"/>
              </w:tcPr>
              <w:p>
                <w:pPr>
                  <w:jc w:val="right"/>
                </w:pPr>
                <w:r>
                  <w:t>237,971,576.95</w:t>
                </w:r>
              </w:p>
            </w:tc>
            <w:tc>
              <w:tcPr>
                <w:tcW w:w="1845" w:type="dxa"/>
                <w:shd w:val="clear" w:color="auto" w:fill="auto"/>
                <w:vAlign w:val="center"/>
              </w:tcPr>
              <w:p>
                <w:pPr>
                  <w:jc w:val="right"/>
                </w:pPr>
                <w:r>
                  <w:t>650,544,617.60</w:t>
                </w:r>
              </w:p>
            </w:tc>
            <w:tc>
              <w:tcPr>
                <w:tcW w:w="1217" w:type="dxa"/>
                <w:shd w:val="clear" w:color="auto" w:fill="auto"/>
                <w:vAlign w:val="center"/>
              </w:tcPr>
              <w:p>
                <w:pPr>
                  <w:jc w:val="right"/>
                </w:pPr>
                <w:r>
                  <w:t>203,389.74</w:t>
                </w:r>
              </w:p>
            </w:tc>
            <w:tc>
              <w:tcPr>
                <w:tcW w:w="1845" w:type="dxa"/>
                <w:shd w:val="clear" w:color="auto" w:fill="auto"/>
                <w:vAlign w:val="center"/>
              </w:tcPr>
              <w:p>
                <w:pPr>
                  <w:jc w:val="right"/>
                </w:pPr>
                <w:r>
                  <w:t>888,719,584.29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1a8a0c2973de4a7c99ed0dd69c4a85fa"/>
                <w:id w:val="6774694"/>
                <w:lock w:val="sdtLocked"/>
              </w:sdtPr>
              <w:sdtContent>
                <w:tc>
                  <w:tcPr>
                    <w:tcW w:w="2500" w:type="dxa"/>
                    <w:shd w:val="clear" w:color="auto" w:fill="auto"/>
                  </w:tcPr>
                  <w:p>
                    <w:pPr>
                      <w:ind w:firstLine="420" w:firstLineChars="200"/>
                    </w:pPr>
                    <w:r>
                      <w:rPr>
                        <w:rFonts w:hint="eastAsia"/>
                      </w:rPr>
                      <w:t>3.本期减少金额</w:t>
                    </w:r>
                  </w:p>
                </w:tc>
              </w:sdtContent>
            </w:sdt>
            <w:tc>
              <w:tcPr>
                <w:tcW w:w="1740" w:type="dxa"/>
                <w:shd w:val="clear" w:color="auto" w:fill="auto"/>
                <w:vAlign w:val="center"/>
              </w:tcPr>
              <w:p>
                <w:pPr>
                  <w:jc w:val="right"/>
                </w:pPr>
                <w:r>
                  <w:t>1,590,033.73</w:t>
                </w:r>
              </w:p>
            </w:tc>
            <w:tc>
              <w:tcPr>
                <w:tcW w:w="1845" w:type="dxa"/>
                <w:shd w:val="clear" w:color="auto" w:fill="auto"/>
                <w:vAlign w:val="center"/>
              </w:tcPr>
              <w:p>
                <w:pPr>
                  <w:jc w:val="right"/>
                </w:pPr>
                <w:r>
                  <w:t>10,587,509.60</w:t>
                </w:r>
              </w:p>
            </w:tc>
            <w:tc>
              <w:tcPr>
                <w:tcW w:w="1217" w:type="dxa"/>
                <w:shd w:val="clear" w:color="auto" w:fill="auto"/>
                <w:vAlign w:val="center"/>
              </w:tcPr>
              <w:p>
                <w:pPr>
                  <w:jc w:val="right"/>
                </w:pPr>
              </w:p>
            </w:tc>
            <w:tc>
              <w:tcPr>
                <w:tcW w:w="1845" w:type="dxa"/>
                <w:shd w:val="clear" w:color="auto" w:fill="auto"/>
                <w:vAlign w:val="center"/>
              </w:tcPr>
              <w:p>
                <w:pPr>
                  <w:jc w:val="right"/>
                </w:pPr>
                <w:r>
                  <w:t>12,177,543.33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051549d56ef94d0f864893f6bcd12368"/>
                <w:id w:val="6774695"/>
                <w:lock w:val="sdtLocked"/>
              </w:sdtPr>
              <w:sdtContent>
                <w:tc>
                  <w:tcPr>
                    <w:tcW w:w="2500" w:type="dxa"/>
                    <w:shd w:val="clear" w:color="auto" w:fill="auto"/>
                  </w:tcPr>
                  <w:p>
                    <w:pPr>
                      <w:ind w:firstLine="630" w:firstLineChars="300"/>
                    </w:pPr>
                    <w:r>
                      <w:rPr>
                        <w:rFonts w:hint="eastAsia"/>
                      </w:rPr>
                      <w:t>（1）处置或报废</w:t>
                    </w:r>
                  </w:p>
                </w:tc>
              </w:sdtContent>
            </w:sdt>
            <w:tc>
              <w:tcPr>
                <w:tcW w:w="1740" w:type="dxa"/>
                <w:shd w:val="clear" w:color="auto" w:fill="auto"/>
                <w:vAlign w:val="center"/>
              </w:tcPr>
              <w:p>
                <w:pPr>
                  <w:jc w:val="right"/>
                </w:pPr>
                <w:r>
                  <w:t>1,590,033.73</w:t>
                </w:r>
              </w:p>
            </w:tc>
            <w:tc>
              <w:tcPr>
                <w:tcW w:w="1845" w:type="dxa"/>
                <w:shd w:val="clear" w:color="auto" w:fill="auto"/>
                <w:vAlign w:val="center"/>
              </w:tcPr>
              <w:p>
                <w:pPr>
                  <w:jc w:val="right"/>
                </w:pPr>
                <w:r>
                  <w:t>10,587,509.60</w:t>
                </w:r>
              </w:p>
            </w:tc>
            <w:tc>
              <w:tcPr>
                <w:tcW w:w="1217" w:type="dxa"/>
                <w:shd w:val="clear" w:color="auto" w:fill="auto"/>
                <w:vAlign w:val="center"/>
              </w:tcPr>
              <w:p>
                <w:pPr>
                  <w:jc w:val="right"/>
                </w:pPr>
              </w:p>
            </w:tc>
            <w:tc>
              <w:tcPr>
                <w:tcW w:w="1845" w:type="dxa"/>
                <w:shd w:val="clear" w:color="auto" w:fill="auto"/>
                <w:vAlign w:val="center"/>
              </w:tcPr>
              <w:p>
                <w:pPr>
                  <w:jc w:val="right"/>
                </w:pPr>
                <w:r>
                  <w:t>12,177,543.33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461cd300a56d4a1d8e530b3c2f9767bf"/>
                <w:id w:val="6774696"/>
                <w:lock w:val="sdtLocked"/>
              </w:sdtPr>
              <w:sdtContent>
                <w:tc>
                  <w:tcPr>
                    <w:tcW w:w="2500" w:type="dxa"/>
                    <w:shd w:val="clear" w:color="auto" w:fill="auto"/>
                  </w:tcPr>
                  <w:p>
                    <w:pPr>
                      <w:ind w:firstLine="420" w:firstLineChars="200"/>
                    </w:pPr>
                    <w:r>
                      <w:rPr>
                        <w:rFonts w:hint="eastAsia"/>
                      </w:rPr>
                      <w:t>4.期末余额</w:t>
                    </w:r>
                  </w:p>
                </w:tc>
              </w:sdtContent>
            </w:sdt>
            <w:tc>
              <w:tcPr>
                <w:tcW w:w="1740" w:type="dxa"/>
                <w:shd w:val="clear" w:color="auto" w:fill="auto"/>
                <w:vAlign w:val="center"/>
              </w:tcPr>
              <w:p>
                <w:pPr>
                  <w:jc w:val="right"/>
                </w:pPr>
                <w:r>
                  <w:t>2,593,501,624.70</w:t>
                </w:r>
              </w:p>
            </w:tc>
            <w:tc>
              <w:tcPr>
                <w:tcW w:w="1845" w:type="dxa"/>
                <w:shd w:val="clear" w:color="auto" w:fill="auto"/>
                <w:vAlign w:val="center"/>
              </w:tcPr>
              <w:p>
                <w:pPr>
                  <w:jc w:val="right"/>
                </w:pPr>
                <w:r>
                  <w:t>6,136,301,256.45</w:t>
                </w:r>
              </w:p>
            </w:tc>
            <w:tc>
              <w:tcPr>
                <w:tcW w:w="1217" w:type="dxa"/>
                <w:shd w:val="clear" w:color="auto" w:fill="auto"/>
                <w:vAlign w:val="center"/>
              </w:tcPr>
              <w:p>
                <w:pPr>
                  <w:jc w:val="right"/>
                </w:pPr>
                <w:r>
                  <w:t>600,626.38</w:t>
                </w:r>
              </w:p>
            </w:tc>
            <w:tc>
              <w:tcPr>
                <w:tcW w:w="1845" w:type="dxa"/>
                <w:shd w:val="clear" w:color="auto" w:fill="auto"/>
                <w:vAlign w:val="center"/>
              </w:tcPr>
              <w:p>
                <w:pPr>
                  <w:jc w:val="right"/>
                </w:pPr>
                <w:r>
                  <w:t>8,730,403,507.53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b98cd9e8075a44b28b16fc9fd4c3c81f"/>
                <w:id w:val="6774697"/>
                <w:lock w:val="sdtLocked"/>
              </w:sdtPr>
              <w:sdtContent>
                <w:tc>
                  <w:tcPr>
                    <w:tcW w:w="2500" w:type="dxa"/>
                    <w:shd w:val="clear" w:color="auto" w:fill="auto"/>
                  </w:tcPr>
                  <w:p>
                    <w:r>
                      <w:rPr>
                        <w:rFonts w:hint="eastAsia"/>
                      </w:rPr>
                      <w:t>三、减值准备</w:t>
                    </w:r>
                  </w:p>
                </w:tc>
              </w:sdtContent>
            </w:sdt>
            <w:tc>
              <w:tcPr>
                <w:tcW w:w="1740" w:type="dxa"/>
                <w:shd w:val="clear" w:color="auto" w:fill="auto"/>
                <w:vAlign w:val="center"/>
              </w:tcPr>
              <w:p>
                <w:pPr>
                  <w:jc w:val="center"/>
                </w:pPr>
                <w:r>
                  <w:t> </w:t>
                </w:r>
              </w:p>
            </w:tc>
            <w:tc>
              <w:tcPr>
                <w:tcW w:w="1845" w:type="dxa"/>
                <w:shd w:val="clear" w:color="auto" w:fill="auto"/>
                <w:vAlign w:val="center"/>
              </w:tcPr>
              <w:p>
                <w:pPr>
                  <w:jc w:val="center"/>
                </w:pPr>
                <w:r>
                  <w:t> </w:t>
                </w:r>
              </w:p>
            </w:tc>
            <w:tc>
              <w:tcPr>
                <w:tcW w:w="1217" w:type="dxa"/>
                <w:shd w:val="clear" w:color="auto" w:fill="auto"/>
                <w:vAlign w:val="center"/>
              </w:tcPr>
              <w:p>
                <w:pPr>
                  <w:jc w:val="center"/>
                </w:pPr>
                <w:r>
                  <w:t> </w:t>
                </w:r>
              </w:p>
            </w:tc>
            <w:tc>
              <w:tcPr>
                <w:tcW w:w="1845" w:type="dxa"/>
                <w:shd w:val="clear" w:color="auto" w:fill="auto"/>
                <w:vAlign w:val="center"/>
              </w:tcPr>
              <w:p>
                <w:pPr>
                  <w:jc w:val="center"/>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56eded0ad9c34a2dabfd9ced3cc4cb08"/>
                <w:id w:val="6774698"/>
                <w:lock w:val="sdtLocked"/>
              </w:sdtPr>
              <w:sdtContent>
                <w:tc>
                  <w:tcPr>
                    <w:tcW w:w="2500" w:type="dxa"/>
                    <w:shd w:val="clear" w:color="auto" w:fill="auto"/>
                  </w:tcPr>
                  <w:p>
                    <w:pPr>
                      <w:ind w:firstLine="420" w:firstLineChars="200"/>
                    </w:pPr>
                    <w:r>
                      <w:t>1.</w:t>
                    </w:r>
                    <w:r>
                      <w:rPr>
                        <w:rFonts w:hint="eastAsia"/>
                      </w:rPr>
                      <w:t>期初余额</w:t>
                    </w:r>
                  </w:p>
                </w:tc>
              </w:sdtContent>
            </w:sdt>
            <w:tc>
              <w:tcPr>
                <w:tcW w:w="1740" w:type="dxa"/>
                <w:shd w:val="clear" w:color="auto" w:fill="auto"/>
                <w:vAlign w:val="center"/>
              </w:tcPr>
              <w:p>
                <w:pPr>
                  <w:jc w:val="right"/>
                </w:pPr>
              </w:p>
            </w:tc>
            <w:tc>
              <w:tcPr>
                <w:tcW w:w="1845" w:type="dxa"/>
                <w:shd w:val="clear" w:color="auto" w:fill="auto"/>
                <w:vAlign w:val="center"/>
              </w:tcPr>
              <w:p>
                <w:pPr>
                  <w:jc w:val="right"/>
                </w:pPr>
              </w:p>
            </w:tc>
            <w:tc>
              <w:tcPr>
                <w:tcW w:w="1217" w:type="dxa"/>
                <w:shd w:val="clear" w:color="auto" w:fill="auto"/>
                <w:vAlign w:val="center"/>
              </w:tcPr>
              <w:p>
                <w:pPr>
                  <w:jc w:val="right"/>
                </w:pPr>
              </w:p>
            </w:tc>
            <w:tc>
              <w:tcPr>
                <w:tcW w:w="1845" w:type="dxa"/>
                <w:shd w:val="clear" w:color="auto" w:fill="auto"/>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23909e3deca4ed3b3374e1998a20d9d"/>
                <w:id w:val="6774699"/>
                <w:lock w:val="sdtLocked"/>
              </w:sdtPr>
              <w:sdtContent>
                <w:tc>
                  <w:tcPr>
                    <w:tcW w:w="2500" w:type="dxa"/>
                    <w:shd w:val="clear" w:color="auto" w:fill="auto"/>
                  </w:tcPr>
                  <w:p>
                    <w:pPr>
                      <w:ind w:firstLine="420" w:firstLineChars="200"/>
                    </w:pPr>
                    <w:r>
                      <w:t>2.</w:t>
                    </w:r>
                    <w:r>
                      <w:rPr>
                        <w:rFonts w:hint="eastAsia"/>
                      </w:rPr>
                      <w:t>本期增加金额</w:t>
                    </w:r>
                  </w:p>
                </w:tc>
              </w:sdtContent>
            </w:sdt>
            <w:tc>
              <w:tcPr>
                <w:tcW w:w="1740" w:type="dxa"/>
                <w:shd w:val="clear" w:color="auto" w:fill="auto"/>
                <w:vAlign w:val="center"/>
              </w:tcPr>
              <w:p>
                <w:pPr>
                  <w:jc w:val="right"/>
                </w:pPr>
              </w:p>
            </w:tc>
            <w:tc>
              <w:tcPr>
                <w:tcW w:w="1845" w:type="dxa"/>
                <w:shd w:val="clear" w:color="auto" w:fill="auto"/>
                <w:vAlign w:val="center"/>
              </w:tcPr>
              <w:p>
                <w:pPr>
                  <w:jc w:val="right"/>
                </w:pPr>
              </w:p>
            </w:tc>
            <w:tc>
              <w:tcPr>
                <w:tcW w:w="1217" w:type="dxa"/>
                <w:shd w:val="clear" w:color="auto" w:fill="auto"/>
                <w:vAlign w:val="center"/>
              </w:tcPr>
              <w:p>
                <w:pPr>
                  <w:jc w:val="right"/>
                </w:pPr>
              </w:p>
            </w:tc>
            <w:tc>
              <w:tcPr>
                <w:tcW w:w="1845" w:type="dxa"/>
                <w:shd w:val="clear" w:color="auto" w:fill="auto"/>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9d33a6c6b2d4aff8a6ac53a9ce1b167"/>
                <w:id w:val="6774700"/>
                <w:lock w:val="sdtLocked"/>
              </w:sdtPr>
              <w:sdtContent>
                <w:tc>
                  <w:tcPr>
                    <w:tcW w:w="2500" w:type="dxa"/>
                    <w:shd w:val="clear" w:color="auto" w:fill="auto"/>
                  </w:tcPr>
                  <w:p>
                    <w:pPr>
                      <w:ind w:firstLine="630" w:firstLineChars="300"/>
                    </w:pPr>
                    <w:r>
                      <w:rPr>
                        <w:rFonts w:hint="eastAsia"/>
                      </w:rPr>
                      <w:t>（1）计提</w:t>
                    </w:r>
                  </w:p>
                </w:tc>
              </w:sdtContent>
            </w:sdt>
            <w:tc>
              <w:tcPr>
                <w:tcW w:w="1740" w:type="dxa"/>
                <w:shd w:val="clear" w:color="auto" w:fill="auto"/>
                <w:vAlign w:val="center"/>
              </w:tcPr>
              <w:p>
                <w:pPr>
                  <w:jc w:val="right"/>
                </w:pPr>
              </w:p>
            </w:tc>
            <w:tc>
              <w:tcPr>
                <w:tcW w:w="1845" w:type="dxa"/>
                <w:shd w:val="clear" w:color="auto" w:fill="auto"/>
                <w:vAlign w:val="center"/>
              </w:tcPr>
              <w:p>
                <w:pPr>
                  <w:jc w:val="right"/>
                </w:pPr>
              </w:p>
            </w:tc>
            <w:tc>
              <w:tcPr>
                <w:tcW w:w="1217" w:type="dxa"/>
                <w:shd w:val="clear" w:color="auto" w:fill="auto"/>
                <w:vAlign w:val="center"/>
              </w:tcPr>
              <w:p>
                <w:pPr>
                  <w:jc w:val="right"/>
                </w:pPr>
              </w:p>
            </w:tc>
            <w:tc>
              <w:tcPr>
                <w:tcW w:w="1845" w:type="dxa"/>
                <w:shd w:val="clear" w:color="auto" w:fill="auto"/>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773acace40cf4e2b82acb417897e72ef"/>
                <w:id w:val="6774701"/>
                <w:lock w:val="sdtLocked"/>
              </w:sdtPr>
              <w:sdtContent>
                <w:tc>
                  <w:tcPr>
                    <w:tcW w:w="2500" w:type="dxa"/>
                    <w:shd w:val="clear" w:color="auto" w:fill="auto"/>
                  </w:tcPr>
                  <w:p>
                    <w:pPr>
                      <w:ind w:firstLine="420" w:firstLineChars="200"/>
                    </w:pPr>
                    <w:r>
                      <w:rPr>
                        <w:rFonts w:hint="eastAsia"/>
                      </w:rPr>
                      <w:t>3.本期减少金额</w:t>
                    </w:r>
                  </w:p>
                </w:tc>
              </w:sdtContent>
            </w:sdt>
            <w:tc>
              <w:tcPr>
                <w:tcW w:w="1740" w:type="dxa"/>
                <w:shd w:val="clear" w:color="auto" w:fill="auto"/>
                <w:vAlign w:val="center"/>
              </w:tcPr>
              <w:p>
                <w:pPr>
                  <w:jc w:val="right"/>
                </w:pPr>
              </w:p>
            </w:tc>
            <w:tc>
              <w:tcPr>
                <w:tcW w:w="1845" w:type="dxa"/>
                <w:shd w:val="clear" w:color="auto" w:fill="auto"/>
                <w:vAlign w:val="center"/>
              </w:tcPr>
              <w:p>
                <w:pPr>
                  <w:jc w:val="right"/>
                </w:pPr>
              </w:p>
            </w:tc>
            <w:tc>
              <w:tcPr>
                <w:tcW w:w="1217" w:type="dxa"/>
                <w:shd w:val="clear" w:color="auto" w:fill="auto"/>
                <w:vAlign w:val="center"/>
              </w:tcPr>
              <w:p>
                <w:pPr>
                  <w:jc w:val="right"/>
                </w:pPr>
              </w:p>
            </w:tc>
            <w:tc>
              <w:tcPr>
                <w:tcW w:w="1845" w:type="dxa"/>
                <w:shd w:val="clear" w:color="auto" w:fill="auto"/>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be1108cdf7ba464f9f4ecab9aa198103"/>
                <w:id w:val="6774702"/>
                <w:lock w:val="sdtLocked"/>
              </w:sdtPr>
              <w:sdtContent>
                <w:tc>
                  <w:tcPr>
                    <w:tcW w:w="2500" w:type="dxa"/>
                    <w:shd w:val="clear" w:color="auto" w:fill="auto"/>
                  </w:tcPr>
                  <w:p>
                    <w:pPr>
                      <w:ind w:firstLine="630" w:firstLineChars="300"/>
                    </w:pPr>
                    <w:r>
                      <w:rPr>
                        <w:rFonts w:hint="eastAsia"/>
                      </w:rPr>
                      <w:t>（1）处置或报废</w:t>
                    </w:r>
                  </w:p>
                </w:tc>
              </w:sdtContent>
            </w:sdt>
            <w:tc>
              <w:tcPr>
                <w:tcW w:w="1740" w:type="dxa"/>
                <w:shd w:val="clear" w:color="auto" w:fill="auto"/>
                <w:vAlign w:val="center"/>
              </w:tcPr>
              <w:p>
                <w:pPr>
                  <w:jc w:val="right"/>
                </w:pPr>
              </w:p>
            </w:tc>
            <w:tc>
              <w:tcPr>
                <w:tcW w:w="1845" w:type="dxa"/>
                <w:shd w:val="clear" w:color="auto" w:fill="auto"/>
                <w:vAlign w:val="center"/>
              </w:tcPr>
              <w:p>
                <w:pPr>
                  <w:jc w:val="right"/>
                </w:pPr>
              </w:p>
            </w:tc>
            <w:tc>
              <w:tcPr>
                <w:tcW w:w="1217" w:type="dxa"/>
                <w:shd w:val="clear" w:color="auto" w:fill="auto"/>
                <w:vAlign w:val="center"/>
              </w:tcPr>
              <w:p>
                <w:pPr>
                  <w:jc w:val="right"/>
                </w:pPr>
              </w:p>
            </w:tc>
            <w:tc>
              <w:tcPr>
                <w:tcW w:w="1845" w:type="dxa"/>
                <w:shd w:val="clear" w:color="auto" w:fill="auto"/>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5054a8d4a114197af28793eadccad9b"/>
                <w:id w:val="6774703"/>
                <w:lock w:val="sdtLocked"/>
              </w:sdtPr>
              <w:sdtContent>
                <w:tc>
                  <w:tcPr>
                    <w:tcW w:w="2500" w:type="dxa"/>
                    <w:shd w:val="clear" w:color="auto" w:fill="auto"/>
                  </w:tcPr>
                  <w:p>
                    <w:pPr>
                      <w:ind w:firstLine="420" w:firstLineChars="200"/>
                    </w:pPr>
                    <w:r>
                      <w:rPr>
                        <w:rFonts w:hint="eastAsia"/>
                      </w:rPr>
                      <w:t>4.期末余额</w:t>
                    </w:r>
                  </w:p>
                </w:tc>
              </w:sdtContent>
            </w:sdt>
            <w:tc>
              <w:tcPr>
                <w:tcW w:w="1740" w:type="dxa"/>
                <w:shd w:val="clear" w:color="auto" w:fill="auto"/>
                <w:vAlign w:val="center"/>
              </w:tcPr>
              <w:p>
                <w:pPr>
                  <w:jc w:val="right"/>
                </w:pPr>
              </w:p>
            </w:tc>
            <w:tc>
              <w:tcPr>
                <w:tcW w:w="1845" w:type="dxa"/>
                <w:shd w:val="clear" w:color="auto" w:fill="auto"/>
                <w:vAlign w:val="center"/>
              </w:tcPr>
              <w:p>
                <w:pPr>
                  <w:jc w:val="right"/>
                </w:pPr>
              </w:p>
            </w:tc>
            <w:tc>
              <w:tcPr>
                <w:tcW w:w="1217" w:type="dxa"/>
                <w:shd w:val="clear" w:color="auto" w:fill="auto"/>
                <w:vAlign w:val="center"/>
              </w:tcPr>
              <w:p>
                <w:pPr>
                  <w:jc w:val="right"/>
                </w:pPr>
              </w:p>
            </w:tc>
            <w:tc>
              <w:tcPr>
                <w:tcW w:w="1845" w:type="dxa"/>
                <w:shd w:val="clear" w:color="auto" w:fill="auto"/>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1d51c426bd84ffbb9a1a19b00d3b374"/>
                <w:id w:val="6774704"/>
                <w:lock w:val="sdtLocked"/>
              </w:sdtPr>
              <w:sdtContent>
                <w:tc>
                  <w:tcPr>
                    <w:tcW w:w="2500" w:type="dxa"/>
                    <w:shd w:val="clear" w:color="auto" w:fill="auto"/>
                  </w:tcPr>
                  <w:p>
                    <w:r>
                      <w:rPr>
                        <w:rFonts w:hint="eastAsia"/>
                      </w:rPr>
                      <w:t>四、账面价值</w:t>
                    </w:r>
                  </w:p>
                </w:tc>
              </w:sdtContent>
            </w:sdt>
            <w:tc>
              <w:tcPr>
                <w:tcW w:w="1740" w:type="dxa"/>
                <w:shd w:val="clear" w:color="auto" w:fill="auto"/>
                <w:vAlign w:val="center"/>
              </w:tcPr>
              <w:p>
                <w:pPr>
                  <w:jc w:val="center"/>
                </w:pPr>
                <w:r>
                  <w:t> </w:t>
                </w:r>
              </w:p>
            </w:tc>
            <w:tc>
              <w:tcPr>
                <w:tcW w:w="1845" w:type="dxa"/>
                <w:shd w:val="clear" w:color="auto" w:fill="auto"/>
                <w:vAlign w:val="center"/>
              </w:tcPr>
              <w:p>
                <w:pPr>
                  <w:jc w:val="center"/>
                </w:pPr>
                <w:r>
                  <w:t> </w:t>
                </w:r>
              </w:p>
            </w:tc>
            <w:tc>
              <w:tcPr>
                <w:tcW w:w="1217" w:type="dxa"/>
                <w:shd w:val="clear" w:color="auto" w:fill="auto"/>
                <w:vAlign w:val="center"/>
              </w:tcPr>
              <w:p>
                <w:pPr>
                  <w:jc w:val="center"/>
                </w:pPr>
                <w:r>
                  <w:t> </w:t>
                </w:r>
              </w:p>
            </w:tc>
            <w:tc>
              <w:tcPr>
                <w:tcW w:w="1845" w:type="dxa"/>
                <w:shd w:val="clear" w:color="auto" w:fill="auto"/>
                <w:vAlign w:val="center"/>
              </w:tcPr>
              <w:p>
                <w:pPr>
                  <w:jc w:val="center"/>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438ac9fdebc24597a2bc032145166ee7"/>
                <w:id w:val="6774705"/>
                <w:lock w:val="sdtLocked"/>
              </w:sdtPr>
              <w:sdtContent>
                <w:tc>
                  <w:tcPr>
                    <w:tcW w:w="2500" w:type="dxa"/>
                    <w:shd w:val="clear" w:color="auto" w:fill="auto"/>
                  </w:tcPr>
                  <w:p>
                    <w:pPr>
                      <w:ind w:firstLine="420" w:firstLineChars="200"/>
                    </w:pPr>
                    <w:r>
                      <w:rPr>
                        <w:rFonts w:hint="eastAsia"/>
                      </w:rPr>
                      <w:t>1.期末账面价值</w:t>
                    </w:r>
                  </w:p>
                </w:tc>
              </w:sdtContent>
            </w:sdt>
            <w:tc>
              <w:tcPr>
                <w:tcW w:w="1740" w:type="dxa"/>
                <w:shd w:val="clear" w:color="auto" w:fill="auto"/>
                <w:vAlign w:val="center"/>
              </w:tcPr>
              <w:p>
                <w:pPr>
                  <w:jc w:val="right"/>
                </w:pPr>
                <w:r>
                  <w:t>5,761,401,423.44</w:t>
                </w:r>
              </w:p>
            </w:tc>
            <w:tc>
              <w:tcPr>
                <w:tcW w:w="1845" w:type="dxa"/>
                <w:shd w:val="clear" w:color="auto" w:fill="auto"/>
                <w:vAlign w:val="center"/>
              </w:tcPr>
              <w:p>
                <w:pPr>
                  <w:jc w:val="right"/>
                </w:pPr>
                <w:r>
                  <w:t>4,013,461,983.65</w:t>
                </w:r>
              </w:p>
            </w:tc>
            <w:tc>
              <w:tcPr>
                <w:tcW w:w="1217" w:type="dxa"/>
                <w:shd w:val="clear" w:color="auto" w:fill="auto"/>
                <w:vAlign w:val="center"/>
              </w:tcPr>
              <w:p>
                <w:pPr>
                  <w:jc w:val="right"/>
                </w:pPr>
                <w:r>
                  <w:t>185,220.73</w:t>
                </w:r>
              </w:p>
            </w:tc>
            <w:tc>
              <w:tcPr>
                <w:tcW w:w="1845" w:type="dxa"/>
                <w:shd w:val="clear" w:color="auto" w:fill="auto"/>
                <w:vAlign w:val="center"/>
              </w:tcPr>
              <w:p>
                <w:pPr>
                  <w:jc w:val="right"/>
                </w:pPr>
                <w:r>
                  <w:t>9,775,048,627.82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a86278e1e7584f56b206aaea009ce23d"/>
                <w:id w:val="6774706"/>
                <w:lock w:val="sdtLocked"/>
              </w:sdtPr>
              <w:sdtContent>
                <w:tc>
                  <w:tcPr>
                    <w:tcW w:w="2500" w:type="dxa"/>
                    <w:shd w:val="clear" w:color="auto" w:fill="auto"/>
                  </w:tcPr>
                  <w:p>
                    <w:pPr>
                      <w:ind w:firstLine="420" w:firstLineChars="200"/>
                    </w:pPr>
                    <w:r>
                      <w:rPr>
                        <w:rFonts w:hint="eastAsia"/>
                      </w:rPr>
                      <w:t>2.期初账面价值</w:t>
                    </w:r>
                  </w:p>
                </w:tc>
              </w:sdtContent>
            </w:sdt>
            <w:tc>
              <w:tcPr>
                <w:tcW w:w="1740" w:type="dxa"/>
                <w:shd w:val="clear" w:color="auto" w:fill="auto"/>
                <w:vAlign w:val="center"/>
              </w:tcPr>
              <w:p>
                <w:pPr>
                  <w:jc w:val="right"/>
                </w:pPr>
                <w:r>
                  <w:t>5,528,472,414.88</w:t>
                </w:r>
              </w:p>
            </w:tc>
            <w:tc>
              <w:tcPr>
                <w:tcW w:w="1845" w:type="dxa"/>
                <w:shd w:val="clear" w:color="auto" w:fill="auto"/>
                <w:vAlign w:val="center"/>
              </w:tcPr>
              <w:p>
                <w:pPr>
                  <w:jc w:val="right"/>
                </w:pPr>
                <w:r>
                  <w:t>4,560,847,874.51</w:t>
                </w:r>
              </w:p>
            </w:tc>
            <w:tc>
              <w:tcPr>
                <w:tcW w:w="1217" w:type="dxa"/>
                <w:shd w:val="clear" w:color="auto" w:fill="auto"/>
                <w:vAlign w:val="center"/>
              </w:tcPr>
              <w:p>
                <w:pPr>
                  <w:jc w:val="right"/>
                </w:pPr>
                <w:r>
                  <w:t>321,516.45</w:t>
                </w:r>
              </w:p>
            </w:tc>
            <w:tc>
              <w:tcPr>
                <w:tcW w:w="1845" w:type="dxa"/>
                <w:shd w:val="clear" w:color="auto" w:fill="auto"/>
                <w:vAlign w:val="center"/>
              </w:tcPr>
              <w:p>
                <w:pPr>
                  <w:jc w:val="right"/>
                </w:pPr>
                <w:r>
                  <w:t>10,089,641,805.84</w:t>
                </w:r>
              </w:p>
            </w:tc>
          </w:tr>
        </w:tbl>
        <w:p/>
        <w:p>
          <w:pPr>
            <w:rPr>
              <w:szCs w:val="21"/>
            </w:rPr>
          </w:pPr>
        </w:p>
      </w:sdtContent>
    </w:sdt>
    <w:sdt>
      <w:sdtPr>
        <w:rPr>
          <w:rFonts w:hint="eastAsia" w:ascii="宋体" w:hAnsi="宋体" w:cs="宋体"/>
          <w:b w:val="0"/>
          <w:bCs w:val="0"/>
          <w:kern w:val="0"/>
          <w:szCs w:val="21"/>
        </w:rPr>
        <w:alias w:val="模块:暂时闲置的固定资产情况"/>
        <w:tag w:val="_SEC_784fb493affa41d8985f9e8a71213cf9"/>
        <w:id w:val="6774709"/>
        <w:lock w:val="sdtLocked"/>
        <w:placeholder>
          <w:docPart w:val="GBC22222222222222222222222222222"/>
        </w:placeholder>
      </w:sdtPr>
      <w:sdtEndPr>
        <w:rPr>
          <w:rFonts w:hint="default" w:ascii="宋体" w:hAnsi="宋体" w:cstheme="minorBidi"/>
          <w:b w:val="0"/>
          <w:bCs w:val="0"/>
          <w:kern w:val="0"/>
          <w:szCs w:val="21"/>
        </w:rPr>
      </w:sdtEndPr>
      <w:sdtContent>
        <w:p>
          <w:pPr>
            <w:pStyle w:val="5"/>
            <w:numPr>
              <w:ilvl w:val="0"/>
              <w:numId w:val="77"/>
            </w:numPr>
            <w:tabs>
              <w:tab w:val="left" w:pos="588"/>
            </w:tabs>
            <w:rPr>
              <w:rFonts w:ascii="宋体" w:hAnsi="宋体"/>
              <w:kern w:val="0"/>
              <w:szCs w:val="21"/>
            </w:rPr>
          </w:pPr>
          <w:r>
            <w:rPr>
              <w:rFonts w:hint="eastAsia" w:ascii="宋体" w:hAnsi="宋体"/>
              <w:szCs w:val="21"/>
            </w:rPr>
            <w:t>暂时</w:t>
          </w:r>
          <w:r>
            <w:rPr>
              <w:rFonts w:hint="eastAsia" w:ascii="宋体" w:hAnsi="宋体"/>
              <w:kern w:val="0"/>
              <w:szCs w:val="21"/>
            </w:rPr>
            <w:t>闲置的固定资产情况</w:t>
          </w:r>
        </w:p>
        <w:p>
          <w:pPr>
            <w:rPr>
              <w:szCs w:val="21"/>
            </w:rPr>
          </w:pPr>
          <w:sdt>
            <w:sdtPr>
              <w:alias w:val="是否适用：暂时闲置的固定资产情况[双击切换]"/>
              <w:tag w:val="_GBC_2fdfdf37e427442eb50e14c905c59fbe"/>
              <w:id w:val="6774708"/>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cs="宋体"/>
          <w:b w:val="0"/>
          <w:bCs w:val="0"/>
          <w:kern w:val="0"/>
          <w:szCs w:val="21"/>
        </w:rPr>
        <w:alias w:val="模块:通过融资租赁租入的固定资产情况"/>
        <w:tag w:val="_SEC_c3ab5ff0dac4435c868c4dc1a729acc7"/>
        <w:id w:val="6774711"/>
        <w:lock w:val="sdtLocked"/>
        <w:placeholder>
          <w:docPart w:val="GBC22222222222222222222222222222"/>
        </w:placeholder>
      </w:sdtPr>
      <w:sdtEndPr>
        <w:rPr>
          <w:rFonts w:hint="default" w:ascii="宋体" w:hAnsi="宋体" w:cstheme="minorBidi"/>
          <w:b w:val="0"/>
          <w:bCs w:val="0"/>
          <w:kern w:val="2"/>
          <w:szCs w:val="21"/>
        </w:rPr>
      </w:sdtEndPr>
      <w:sdtContent>
        <w:p>
          <w:pPr>
            <w:pStyle w:val="5"/>
            <w:numPr>
              <w:ilvl w:val="0"/>
              <w:numId w:val="77"/>
            </w:numPr>
            <w:tabs>
              <w:tab w:val="left" w:pos="588"/>
            </w:tabs>
            <w:rPr>
              <w:rFonts w:ascii="宋体" w:hAnsi="宋体"/>
              <w:kern w:val="0"/>
              <w:szCs w:val="21"/>
            </w:rPr>
          </w:pPr>
          <w:r>
            <w:rPr>
              <w:rFonts w:hint="eastAsia" w:ascii="宋体" w:hAnsi="宋体"/>
              <w:kern w:val="0"/>
              <w:szCs w:val="21"/>
            </w:rPr>
            <w:t>通过</w:t>
          </w:r>
          <w:r>
            <w:rPr>
              <w:rFonts w:hint="eastAsia" w:ascii="宋体" w:hAnsi="宋体"/>
              <w:szCs w:val="21"/>
            </w:rPr>
            <w:t>融资租赁</w:t>
          </w:r>
          <w:r>
            <w:rPr>
              <w:rFonts w:hint="eastAsia" w:ascii="宋体" w:hAnsi="宋体"/>
              <w:kern w:val="0"/>
              <w:szCs w:val="21"/>
            </w:rPr>
            <w:t>租入的固定资产情况</w:t>
          </w:r>
        </w:p>
        <w:p>
          <w:pPr>
            <w:rPr>
              <w:szCs w:val="21"/>
            </w:rPr>
          </w:pPr>
          <w:sdt>
            <w:sdtPr>
              <w:alias w:val="是否适用：通过融资租赁租入的固定资产情况[双击切换]"/>
              <w:tag w:val="_GBC_d9da2ba422d647b4952839f1b49e1721"/>
              <w:id w:val="677471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cs="宋体"/>
          <w:b w:val="0"/>
          <w:bCs w:val="0"/>
          <w:kern w:val="0"/>
          <w:szCs w:val="21"/>
        </w:rPr>
        <w:alias w:val="模块:通过经营租赁租出的固定资产"/>
        <w:tag w:val="_SEC_1de7436e811c4703bed7fb7f0316bba2"/>
        <w:id w:val="6774713"/>
        <w:lock w:val="sdtLocked"/>
        <w:placeholder>
          <w:docPart w:val="GBC22222222222222222222222222222"/>
        </w:placeholder>
      </w:sdtPr>
      <w:sdtEndPr>
        <w:rPr>
          <w:rFonts w:hint="default" w:ascii="宋体" w:hAnsi="宋体" w:cs="宋体"/>
          <w:b w:val="0"/>
          <w:bCs w:val="0"/>
          <w:color w:val="FF0000"/>
          <w:kern w:val="0"/>
          <w:szCs w:val="21"/>
        </w:rPr>
      </w:sdtEndPr>
      <w:sdtContent>
        <w:p>
          <w:pPr>
            <w:pStyle w:val="5"/>
            <w:numPr>
              <w:ilvl w:val="0"/>
              <w:numId w:val="77"/>
            </w:numPr>
            <w:tabs>
              <w:tab w:val="left" w:pos="588"/>
            </w:tabs>
            <w:rPr>
              <w:rFonts w:ascii="宋体" w:hAnsi="宋体"/>
              <w:kern w:val="0"/>
              <w:szCs w:val="21"/>
            </w:rPr>
          </w:pPr>
          <w:r>
            <w:rPr>
              <w:rFonts w:hint="eastAsia" w:ascii="宋体" w:hAnsi="宋体"/>
              <w:szCs w:val="21"/>
            </w:rPr>
            <w:t>通过</w:t>
          </w:r>
          <w:r>
            <w:rPr>
              <w:rFonts w:hint="eastAsia" w:ascii="宋体" w:hAnsi="宋体"/>
              <w:kern w:val="0"/>
              <w:szCs w:val="21"/>
            </w:rPr>
            <w:t>经营租赁租出的固定资产</w:t>
          </w:r>
        </w:p>
        <w:sdt>
          <w:sdtPr>
            <w:alias w:val="是否适用：通过经营租赁租出的固定资产[双击切换]"/>
            <w:tag w:val="_GBC_c2ddde62aad742b6997b43c9077b5c4b"/>
            <w:id w:val="6774712"/>
            <w:lock w:val="sdtContentLocked"/>
            <w:placeholder>
              <w:docPart w:val="GBC22222222222222222222222222222"/>
            </w:placeholder>
          </w:sdtPr>
          <w:sdtContent>
            <w:p>
              <w:pPr>
                <w:rPr>
                  <w:color w:val="FF0000"/>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未办妥产权证书的固定资产情况"/>
        <w:tag w:val="_SEC_c2e9651d58cd49b88e40954aae3cbf5b"/>
        <w:id w:val="6774722"/>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77"/>
            </w:numPr>
            <w:tabs>
              <w:tab w:val="left" w:pos="588"/>
            </w:tabs>
            <w:rPr>
              <w:rFonts w:ascii="宋体" w:hAnsi="宋体"/>
              <w:kern w:val="0"/>
              <w:szCs w:val="21"/>
            </w:rPr>
          </w:pPr>
          <w:r>
            <w:rPr>
              <w:rFonts w:hint="eastAsia" w:ascii="宋体" w:hAnsi="宋体"/>
              <w:kern w:val="0"/>
              <w:szCs w:val="21"/>
            </w:rPr>
            <w:t>未</w:t>
          </w:r>
          <w:r>
            <w:rPr>
              <w:rFonts w:hint="eastAsia" w:ascii="宋体" w:hAnsi="宋体"/>
              <w:szCs w:val="21"/>
            </w:rPr>
            <w:t>办妥</w:t>
          </w:r>
          <w:r>
            <w:rPr>
              <w:rFonts w:hint="eastAsia" w:ascii="宋体" w:hAnsi="宋体"/>
              <w:kern w:val="0"/>
              <w:szCs w:val="21"/>
            </w:rPr>
            <w:t>产权证书的固定资产情况</w:t>
          </w:r>
        </w:p>
        <w:p>
          <w:sdt>
            <w:sdtPr>
              <w:alias w:val="是否适用：未办妥产权证书的固定资产情况[双击切换]"/>
              <w:tag w:val="_GBC_46625a97c34c4326af56ee4f005058fb"/>
              <w:id w:val="6774714"/>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jc w:val="right"/>
          </w:pPr>
          <w:r>
            <w:rPr>
              <w:rFonts w:hint="eastAsia"/>
            </w:rPr>
            <w:t>单位：</w:t>
          </w:r>
          <w:sdt>
            <w:sdtPr>
              <w:rPr>
                <w:rFonts w:hint="eastAsia"/>
              </w:rPr>
              <w:alias w:val="单位：财务附注：未办妥产权证书的固定资产情况"/>
              <w:tag w:val="_GBC_af0b65f779a444509a345fcc235c4e13"/>
              <w:id w:val="677471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67747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3042"/>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112d13ed7a04a10bce803acc672660e"/>
                <w:id w:val="6774717"/>
                <w:lock w:val="sdtLocked"/>
              </w:sdtPr>
              <w:sdtContent>
                <w:tc>
                  <w:tcPr>
                    <w:tcW w:w="2948" w:type="dxa"/>
                    <w:vAlign w:val="center"/>
                  </w:tcPr>
                  <w:p>
                    <w:pPr>
                      <w:jc w:val="center"/>
                      <w:rPr>
                        <w:szCs w:val="21"/>
                      </w:rPr>
                    </w:pPr>
                    <w:r>
                      <w:rPr>
                        <w:rFonts w:hint="eastAsia"/>
                        <w:szCs w:val="21"/>
                      </w:rPr>
                      <w:t>项目</w:t>
                    </w:r>
                  </w:p>
                </w:tc>
              </w:sdtContent>
            </w:sdt>
            <w:sdt>
              <w:sdtPr>
                <w:tag w:val="_PLD_5fca73223de74724a06b56d07c06e26b"/>
                <w:id w:val="6774718"/>
                <w:lock w:val="sdtLocked"/>
              </w:sdtPr>
              <w:sdtContent>
                <w:tc>
                  <w:tcPr>
                    <w:tcW w:w="3042" w:type="dxa"/>
                    <w:vAlign w:val="center"/>
                  </w:tcPr>
                  <w:p>
                    <w:pPr>
                      <w:jc w:val="center"/>
                      <w:rPr>
                        <w:szCs w:val="21"/>
                      </w:rPr>
                    </w:pPr>
                    <w:r>
                      <w:rPr>
                        <w:rFonts w:hint="eastAsia"/>
                        <w:szCs w:val="21"/>
                      </w:rPr>
                      <w:t>账面价值</w:t>
                    </w:r>
                  </w:p>
                </w:tc>
              </w:sdtContent>
            </w:sdt>
            <w:sdt>
              <w:sdtPr>
                <w:tag w:val="_PLD_0f07869ee4694758ae54754a2afb45dd"/>
                <w:id w:val="6774719"/>
                <w:lock w:val="sdtLocked"/>
              </w:sdtPr>
              <w:sdtContent>
                <w:tc>
                  <w:tcPr>
                    <w:tcW w:w="3059" w:type="dxa"/>
                    <w:vAlign w:val="center"/>
                  </w:tcPr>
                  <w:p>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TUP_9737667686884195a6223f7e0d1c45ed"/>
              <w:id w:val="6774720"/>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48" w:type="dxa"/>
                  </w:tcPr>
                  <w:p>
                    <w:pPr>
                      <w:rPr>
                        <w:szCs w:val="21"/>
                      </w:rPr>
                    </w:pPr>
                    <w:r>
                      <w:t>房屋</w:t>
                    </w:r>
                  </w:p>
                </w:tc>
                <w:tc>
                  <w:tcPr>
                    <w:tcW w:w="3042" w:type="dxa"/>
                  </w:tcPr>
                  <w:p>
                    <w:pPr>
                      <w:jc w:val="right"/>
                      <w:rPr>
                        <w:szCs w:val="21"/>
                      </w:rPr>
                    </w:pPr>
                    <w:r>
                      <w:t>786,670,162.36</w:t>
                    </w:r>
                  </w:p>
                </w:tc>
                <w:tc>
                  <w:tcPr>
                    <w:tcW w:w="3059" w:type="dxa"/>
                  </w:tcPr>
                  <w:p>
                    <w:pPr>
                      <w:rPr>
                        <w:szCs w:val="21"/>
                      </w:rPr>
                    </w:pPr>
                    <w:r>
                      <w:t>办理中</w:t>
                    </w:r>
                  </w:p>
                </w:tc>
              </w:tr>
            </w:sdtContent>
          </w:sdt>
          <w:sdt>
            <w:sdtPr>
              <w:rPr>
                <w:rFonts w:hint="eastAsia"/>
                <w:szCs w:val="21"/>
              </w:rPr>
              <w:alias w:val="未办妥产权证书的固定资产情况明细"/>
              <w:tag w:val="_TUP_9737667686884195a6223f7e0d1c45ed"/>
              <w:id w:val="6774721"/>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8" w:type="dxa"/>
                  </w:tcPr>
                  <w:p>
                    <w:pPr>
                      <w:rPr>
                        <w:szCs w:val="21"/>
                      </w:rPr>
                    </w:pPr>
                    <w:r>
                      <w:t>合计</w:t>
                    </w:r>
                  </w:p>
                </w:tc>
                <w:tc>
                  <w:tcPr>
                    <w:tcW w:w="3042" w:type="dxa"/>
                  </w:tcPr>
                  <w:p>
                    <w:pPr>
                      <w:jc w:val="right"/>
                      <w:rPr>
                        <w:szCs w:val="21"/>
                      </w:rPr>
                    </w:pPr>
                    <w:r>
                      <w:t>786,670,162.36</w:t>
                    </w:r>
                  </w:p>
                </w:tc>
                <w:tc>
                  <w:tcPr>
                    <w:tcW w:w="3059" w:type="dxa"/>
                  </w:tcPr>
                  <w:p>
                    <w:pPr>
                      <w:rPr>
                        <w:szCs w:val="21"/>
                      </w:rPr>
                    </w:pPr>
                    <w:r>
                      <w:t> </w:t>
                    </w:r>
                  </w:p>
                </w:tc>
              </w:tr>
            </w:sdtContent>
          </w:sdt>
        </w:tbl>
        <w:p/>
      </w:sdtContent>
    </w:sdt>
    <w:p>
      <w:pPr>
        <w:tabs>
          <w:tab w:val="right" w:pos="3690"/>
          <w:tab w:val="right" w:pos="5130"/>
          <w:tab w:val="right" w:pos="6030"/>
          <w:tab w:val="right" w:pos="7650"/>
          <w:tab w:val="right" w:pos="9270"/>
        </w:tabs>
        <w:adjustRightInd w:val="0"/>
        <w:snapToGrid w:val="0"/>
        <w:spacing w:line="360" w:lineRule="auto"/>
        <w:rPr>
          <w:iCs/>
          <w:color w:val="FF0000"/>
          <w:szCs w:val="21"/>
          <w:shd w:val="clear" w:color="auto" w:fill="CCFFFF"/>
        </w:rPr>
      </w:pPr>
    </w:p>
    <w:sdt>
      <w:sdtPr>
        <w:rPr>
          <w:rFonts w:hint="eastAsia"/>
          <w:szCs w:val="21"/>
        </w:rPr>
        <w:alias w:val="模块:固定资产说明"/>
        <w:tag w:val="_SEC_7134408257214aea8ca71da966442d44"/>
        <w:id w:val="6774724"/>
        <w:lock w:val="sdtLocked"/>
        <w:placeholder>
          <w:docPart w:val="GBC22222222222222222222222222222"/>
        </w:placeholder>
      </w:sdtPr>
      <w:sdtEndPr>
        <w:rPr>
          <w:rFonts w:hint="default"/>
          <w:szCs w:val="21"/>
        </w:rPr>
      </w:sdtEndPr>
      <w:sdtContent>
        <w:p>
          <w:pPr>
            <w:rPr>
              <w:szCs w:val="21"/>
            </w:rPr>
          </w:pPr>
          <w:r>
            <w:rPr>
              <w:rFonts w:hint="eastAsia"/>
              <w:szCs w:val="21"/>
            </w:rPr>
            <w:t>其他说明：</w:t>
          </w:r>
        </w:p>
        <w:sdt>
          <w:sdtPr>
            <w:rPr>
              <w:szCs w:val="21"/>
            </w:rPr>
            <w:alias w:val="是否适用：固定资产的说明[双击切换]"/>
            <w:tag w:val="_GBC_a7ec4df8fd354d7d9980e0f731a85e12"/>
            <w:id w:val="6774723"/>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color w:val="FF0000"/>
          <w:szCs w:val="21"/>
        </w:rPr>
      </w:pPr>
    </w:p>
    <w:p>
      <w:pPr>
        <w:pStyle w:val="4"/>
        <w:numPr>
          <w:ilvl w:val="0"/>
          <w:numId w:val="66"/>
        </w:numPr>
        <w:tabs>
          <w:tab w:val="left" w:pos="504"/>
        </w:tabs>
        <w:rPr>
          <w:rFonts w:ascii="宋体" w:hAnsi="宋体"/>
          <w:szCs w:val="21"/>
        </w:rPr>
      </w:pPr>
      <w:r>
        <w:rPr>
          <w:rFonts w:hint="eastAsia" w:ascii="宋体" w:hAnsi="宋体"/>
          <w:szCs w:val="21"/>
        </w:rPr>
        <w:t>在建工程</w:t>
      </w:r>
    </w:p>
    <w:sdt>
      <w:sdtPr>
        <w:rPr>
          <w:rFonts w:hint="eastAsia" w:ascii="宋体" w:hAnsi="宋体" w:cs="宋体"/>
          <w:b w:val="0"/>
          <w:bCs w:val="0"/>
          <w:kern w:val="0"/>
          <w:szCs w:val="21"/>
        </w:rPr>
        <w:alias w:val="模块:在建工程情况"/>
        <w:tag w:val="_SEC_a02b3ec882b24e089808f0414c70e5ec"/>
        <w:id w:val="6774743"/>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78"/>
            </w:numPr>
            <w:tabs>
              <w:tab w:val="left" w:pos="588"/>
            </w:tabs>
            <w:rPr>
              <w:rFonts w:ascii="宋体" w:hAnsi="宋体"/>
              <w:szCs w:val="21"/>
            </w:rPr>
          </w:pPr>
          <w:r>
            <w:rPr>
              <w:rFonts w:hint="eastAsia" w:ascii="宋体" w:hAnsi="宋体"/>
              <w:szCs w:val="21"/>
            </w:rPr>
            <w:t>在建工程情况</w:t>
          </w:r>
        </w:p>
        <w:sdt>
          <w:sdtPr>
            <w:alias w:val="是否适用：在建工程情况[双击切换]"/>
            <w:tag w:val="_GBC_3d1e0f4f19d8472c9f5250b0ba025185"/>
            <w:id w:val="677472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在建工程"/>
              <w:tag w:val="_GBC_c20f70bc9d1e4476bd65c1988111664f"/>
              <w:id w:val="67747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67747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0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2269"/>
            <w:gridCol w:w="1275"/>
            <w:gridCol w:w="964"/>
            <w:gridCol w:w="1163"/>
            <w:gridCol w:w="1133"/>
            <w:gridCol w:w="1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64c6d788b0564cf39dd83135bd94fa33"/>
                <w:id w:val="6774728"/>
                <w:lock w:val="sdtLocked"/>
              </w:sdtPr>
              <w:sdtEndPr>
                <w:rPr>
                  <w:sz w:val="18"/>
                  <w:szCs w:val="18"/>
                </w:rPr>
              </w:sdtEndPr>
              <w:sdtContent>
                <w:tc>
                  <w:tcPr>
                    <w:tcW w:w="2269" w:type="dxa"/>
                    <w:vMerge w:val="restart"/>
                    <w:vAlign w:val="center"/>
                  </w:tcPr>
                  <w:p>
                    <w:pPr>
                      <w:jc w:val="center"/>
                      <w:rPr>
                        <w:sz w:val="18"/>
                        <w:szCs w:val="18"/>
                      </w:rPr>
                    </w:pPr>
                    <w:r>
                      <w:rPr>
                        <w:rFonts w:hint="eastAsia"/>
                        <w:sz w:val="18"/>
                        <w:szCs w:val="18"/>
                      </w:rPr>
                      <w:t>项目</w:t>
                    </w:r>
                  </w:p>
                </w:tc>
              </w:sdtContent>
            </w:sdt>
            <w:sdt>
              <w:sdtPr>
                <w:rPr>
                  <w:sz w:val="18"/>
                  <w:szCs w:val="18"/>
                </w:rPr>
                <w:tag w:val="_PLD_0f8aeba685c643d8bbe995cb6221e768"/>
                <w:id w:val="6774729"/>
                <w:lock w:val="sdtLocked"/>
              </w:sdtPr>
              <w:sdtEndPr>
                <w:rPr>
                  <w:sz w:val="18"/>
                  <w:szCs w:val="18"/>
                </w:rPr>
              </w:sdtEndPr>
              <w:sdtContent>
                <w:tc>
                  <w:tcPr>
                    <w:tcW w:w="3402" w:type="dxa"/>
                    <w:gridSpan w:val="3"/>
                    <w:vAlign w:val="center"/>
                  </w:tcPr>
                  <w:p>
                    <w:pPr>
                      <w:jc w:val="center"/>
                      <w:rPr>
                        <w:sz w:val="18"/>
                        <w:szCs w:val="18"/>
                      </w:rPr>
                    </w:pPr>
                    <w:r>
                      <w:rPr>
                        <w:rFonts w:hint="eastAsia"/>
                        <w:sz w:val="18"/>
                        <w:szCs w:val="18"/>
                      </w:rPr>
                      <w:t>期末余额</w:t>
                    </w:r>
                  </w:p>
                </w:tc>
              </w:sdtContent>
            </w:sdt>
            <w:sdt>
              <w:sdtPr>
                <w:rPr>
                  <w:sz w:val="18"/>
                  <w:szCs w:val="18"/>
                </w:rPr>
                <w:tag w:val="_PLD_87e3270219434e9f8494ce0079d505fd"/>
                <w:id w:val="6774730"/>
                <w:lock w:val="sdtLocked"/>
              </w:sdtPr>
              <w:sdtEndPr>
                <w:rPr>
                  <w:sz w:val="18"/>
                  <w:szCs w:val="18"/>
                </w:rPr>
              </w:sdtEndPr>
              <w:sdtContent>
                <w:tc>
                  <w:tcPr>
                    <w:tcW w:w="3334" w:type="dxa"/>
                    <w:gridSpan w:val="3"/>
                    <w:vAlign w:val="center"/>
                  </w:tcPr>
                  <w:p>
                    <w:pPr>
                      <w:jc w:val="center"/>
                      <w:rPr>
                        <w:sz w:val="18"/>
                        <w:szCs w:val="18"/>
                      </w:rPr>
                    </w:pPr>
                    <w:r>
                      <w:rPr>
                        <w:rFonts w:hint="eastAsia"/>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69" w:type="dxa"/>
                <w:vMerge w:val="continue"/>
                <w:vAlign w:val="center"/>
              </w:tcPr>
              <w:p>
                <w:pPr>
                  <w:tabs>
                    <w:tab w:val="left" w:pos="420"/>
                  </w:tabs>
                  <w:ind w:left="420" w:hanging="420"/>
                  <w:jc w:val="center"/>
                  <w:rPr>
                    <w:sz w:val="18"/>
                    <w:szCs w:val="18"/>
                  </w:rPr>
                </w:pPr>
              </w:p>
            </w:tc>
            <w:sdt>
              <w:sdtPr>
                <w:rPr>
                  <w:sz w:val="18"/>
                  <w:szCs w:val="18"/>
                </w:rPr>
                <w:tag w:val="_PLD_38fd2fe6396a41ae994e421a6ad8573a"/>
                <w:id w:val="6774731"/>
                <w:lock w:val="sdtLocked"/>
              </w:sdtPr>
              <w:sdtEndPr>
                <w:rPr>
                  <w:sz w:val="18"/>
                  <w:szCs w:val="18"/>
                </w:rPr>
              </w:sdtEndPr>
              <w:sdtContent>
                <w:tc>
                  <w:tcPr>
                    <w:tcW w:w="1275" w:type="dxa"/>
                    <w:vAlign w:val="center"/>
                  </w:tcPr>
                  <w:p>
                    <w:pPr>
                      <w:tabs>
                        <w:tab w:val="left" w:pos="420"/>
                      </w:tabs>
                      <w:ind w:left="420" w:hanging="420"/>
                      <w:jc w:val="center"/>
                      <w:rPr>
                        <w:sz w:val="18"/>
                        <w:szCs w:val="18"/>
                      </w:rPr>
                    </w:pPr>
                    <w:r>
                      <w:rPr>
                        <w:rFonts w:hint="eastAsia"/>
                        <w:sz w:val="18"/>
                        <w:szCs w:val="18"/>
                      </w:rPr>
                      <w:t>账面余额</w:t>
                    </w:r>
                  </w:p>
                </w:tc>
              </w:sdtContent>
            </w:sdt>
            <w:sdt>
              <w:sdtPr>
                <w:rPr>
                  <w:sz w:val="18"/>
                  <w:szCs w:val="18"/>
                </w:rPr>
                <w:tag w:val="_PLD_efb5f565ae7d43338576e6ba69d207b2"/>
                <w:id w:val="6774732"/>
                <w:lock w:val="sdtLocked"/>
              </w:sdtPr>
              <w:sdtEndPr>
                <w:rPr>
                  <w:sz w:val="18"/>
                  <w:szCs w:val="18"/>
                </w:rPr>
              </w:sdtEndPr>
              <w:sdtContent>
                <w:tc>
                  <w:tcPr>
                    <w:tcW w:w="964" w:type="dxa"/>
                    <w:vAlign w:val="center"/>
                  </w:tcPr>
                  <w:p>
                    <w:pPr>
                      <w:pStyle w:val="28"/>
                      <w:spacing w:line="240" w:lineRule="auto"/>
                      <w:jc w:val="center"/>
                      <w:rPr>
                        <w:sz w:val="18"/>
                        <w:szCs w:val="18"/>
                      </w:rPr>
                    </w:pPr>
                    <w:r>
                      <w:rPr>
                        <w:rFonts w:hint="eastAsia"/>
                        <w:sz w:val="18"/>
                        <w:szCs w:val="18"/>
                      </w:rPr>
                      <w:t>减值准备</w:t>
                    </w:r>
                  </w:p>
                </w:tc>
              </w:sdtContent>
            </w:sdt>
            <w:sdt>
              <w:sdtPr>
                <w:rPr>
                  <w:sz w:val="18"/>
                  <w:szCs w:val="18"/>
                </w:rPr>
                <w:tag w:val="_PLD_74e2fff2faeb4e10b56ba612a8b3b4e8"/>
                <w:id w:val="6774733"/>
                <w:lock w:val="sdtLocked"/>
              </w:sdtPr>
              <w:sdtEndPr>
                <w:rPr>
                  <w:sz w:val="18"/>
                  <w:szCs w:val="18"/>
                </w:rPr>
              </w:sdtEndPr>
              <w:sdtContent>
                <w:tc>
                  <w:tcPr>
                    <w:tcW w:w="1163" w:type="dxa"/>
                    <w:vAlign w:val="center"/>
                  </w:tcPr>
                  <w:p>
                    <w:pPr>
                      <w:pStyle w:val="28"/>
                      <w:spacing w:line="240" w:lineRule="auto"/>
                      <w:jc w:val="center"/>
                      <w:rPr>
                        <w:sz w:val="18"/>
                        <w:szCs w:val="18"/>
                      </w:rPr>
                    </w:pPr>
                    <w:r>
                      <w:rPr>
                        <w:rFonts w:hint="eastAsia"/>
                        <w:sz w:val="18"/>
                        <w:szCs w:val="18"/>
                      </w:rPr>
                      <w:t>账面价值</w:t>
                    </w:r>
                  </w:p>
                </w:tc>
              </w:sdtContent>
            </w:sdt>
            <w:sdt>
              <w:sdtPr>
                <w:rPr>
                  <w:sz w:val="18"/>
                  <w:szCs w:val="18"/>
                </w:rPr>
                <w:tag w:val="_PLD_320b5c6e751a40cb8f8d6cb989669680"/>
                <w:id w:val="6774734"/>
                <w:lock w:val="sdtLocked"/>
              </w:sdtPr>
              <w:sdtEndPr>
                <w:rPr>
                  <w:sz w:val="18"/>
                  <w:szCs w:val="18"/>
                </w:rPr>
              </w:sdtEndPr>
              <w:sdtContent>
                <w:tc>
                  <w:tcPr>
                    <w:tcW w:w="1133" w:type="dxa"/>
                    <w:vAlign w:val="center"/>
                  </w:tcPr>
                  <w:p>
                    <w:pPr>
                      <w:tabs>
                        <w:tab w:val="left" w:pos="420"/>
                      </w:tabs>
                      <w:ind w:left="420" w:hanging="420"/>
                      <w:jc w:val="center"/>
                      <w:rPr>
                        <w:sz w:val="18"/>
                        <w:szCs w:val="18"/>
                      </w:rPr>
                    </w:pPr>
                    <w:r>
                      <w:rPr>
                        <w:rFonts w:hint="eastAsia"/>
                        <w:sz w:val="18"/>
                        <w:szCs w:val="18"/>
                      </w:rPr>
                      <w:t>账面余额</w:t>
                    </w:r>
                  </w:p>
                </w:tc>
              </w:sdtContent>
            </w:sdt>
            <w:sdt>
              <w:sdtPr>
                <w:rPr>
                  <w:sz w:val="18"/>
                  <w:szCs w:val="18"/>
                </w:rPr>
                <w:tag w:val="_PLD_887f924a18a14763b7d38b336e4eca91"/>
                <w:id w:val="6774735"/>
                <w:lock w:val="sdtLocked"/>
              </w:sdtPr>
              <w:sdtEndPr>
                <w:rPr>
                  <w:sz w:val="18"/>
                  <w:szCs w:val="18"/>
                </w:rPr>
              </w:sdtEndPr>
              <w:sdtContent>
                <w:tc>
                  <w:tcPr>
                    <w:tcW w:w="1014" w:type="dxa"/>
                    <w:vAlign w:val="center"/>
                  </w:tcPr>
                  <w:p>
                    <w:pPr>
                      <w:pStyle w:val="28"/>
                      <w:spacing w:line="240" w:lineRule="auto"/>
                      <w:jc w:val="center"/>
                      <w:rPr>
                        <w:sz w:val="18"/>
                        <w:szCs w:val="18"/>
                      </w:rPr>
                    </w:pPr>
                    <w:r>
                      <w:rPr>
                        <w:rFonts w:hint="eastAsia"/>
                        <w:sz w:val="18"/>
                        <w:szCs w:val="18"/>
                      </w:rPr>
                      <w:t>减值准备</w:t>
                    </w:r>
                  </w:p>
                </w:tc>
              </w:sdtContent>
            </w:sdt>
            <w:sdt>
              <w:sdtPr>
                <w:rPr>
                  <w:sz w:val="18"/>
                  <w:szCs w:val="18"/>
                </w:rPr>
                <w:tag w:val="_PLD_56d3163c60044998bf2f3d80a83c26a6"/>
                <w:id w:val="6774736"/>
                <w:lock w:val="sdtLocked"/>
              </w:sdtPr>
              <w:sdtEndPr>
                <w:rPr>
                  <w:sz w:val="18"/>
                  <w:szCs w:val="18"/>
                </w:rPr>
              </w:sdtEndPr>
              <w:sdtContent>
                <w:tc>
                  <w:tcPr>
                    <w:tcW w:w="1187" w:type="dxa"/>
                    <w:vAlign w:val="center"/>
                  </w:tcPr>
                  <w:p>
                    <w:pPr>
                      <w:pStyle w:val="28"/>
                      <w:spacing w:line="240" w:lineRule="auto"/>
                      <w:jc w:val="center"/>
                      <w:rPr>
                        <w:sz w:val="18"/>
                        <w:szCs w:val="18"/>
                      </w:rPr>
                    </w:pPr>
                    <w:r>
                      <w:rPr>
                        <w:rFonts w:hint="eastAsia"/>
                        <w:sz w:val="18"/>
                        <w:szCs w:val="18"/>
                      </w:rPr>
                      <w:t>账面价值</w:t>
                    </w:r>
                  </w:p>
                </w:tc>
              </w:sdtContent>
            </w:sdt>
          </w:tr>
          <w:sdt>
            <w:sdtPr>
              <w:rPr>
                <w:sz w:val="18"/>
                <w:szCs w:val="18"/>
              </w:rPr>
              <w:alias w:val="在建工程情况明细"/>
              <w:tag w:val="_TUP_33657c285bed467db1f9c5ec10046bbf"/>
              <w:id w:val="6774737"/>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69" w:type="dxa"/>
                  </w:tcPr>
                  <w:p>
                    <w:pPr>
                      <w:rPr>
                        <w:sz w:val="18"/>
                        <w:szCs w:val="18"/>
                      </w:rPr>
                    </w:pPr>
                    <w:r>
                      <w:rPr>
                        <w:sz w:val="18"/>
                        <w:szCs w:val="18"/>
                      </w:rPr>
                      <w:t>6号高炉性能恢复改造项目</w:t>
                    </w:r>
                  </w:p>
                </w:tc>
                <w:tc>
                  <w:tcPr>
                    <w:tcW w:w="1275" w:type="dxa"/>
                    <w:vAlign w:val="center"/>
                  </w:tcPr>
                  <w:p>
                    <w:pPr>
                      <w:ind w:right="105"/>
                      <w:jc w:val="right"/>
                      <w:rPr>
                        <w:rFonts w:ascii="Arial Narrow" w:hAnsi="Arial Narrow"/>
                        <w:sz w:val="18"/>
                        <w:szCs w:val="18"/>
                      </w:rPr>
                    </w:pPr>
                    <w:r>
                      <w:rPr>
                        <w:rFonts w:ascii="Arial Narrow" w:hAnsi="Arial Narrow"/>
                        <w:sz w:val="18"/>
                        <w:szCs w:val="18"/>
                      </w:rPr>
                      <w:t>26,458,337.61</w:t>
                    </w:r>
                  </w:p>
                </w:tc>
                <w:tc>
                  <w:tcPr>
                    <w:tcW w:w="964" w:type="dxa"/>
                    <w:vAlign w:val="center"/>
                  </w:tcPr>
                  <w:p>
                    <w:pPr>
                      <w:ind w:right="73"/>
                      <w:jc w:val="right"/>
                      <w:rPr>
                        <w:rFonts w:ascii="Arial Narrow" w:hAnsi="Arial Narrow"/>
                        <w:sz w:val="18"/>
                        <w:szCs w:val="18"/>
                      </w:rPr>
                    </w:pPr>
                  </w:p>
                </w:tc>
                <w:tc>
                  <w:tcPr>
                    <w:tcW w:w="1163" w:type="dxa"/>
                    <w:vAlign w:val="center"/>
                  </w:tcPr>
                  <w:p>
                    <w:pPr>
                      <w:ind w:right="73"/>
                      <w:jc w:val="right"/>
                      <w:rPr>
                        <w:rFonts w:ascii="Arial Narrow" w:hAnsi="Arial Narrow"/>
                        <w:sz w:val="18"/>
                        <w:szCs w:val="18"/>
                      </w:rPr>
                    </w:pPr>
                    <w:r>
                      <w:rPr>
                        <w:rFonts w:ascii="Arial Narrow" w:hAnsi="Arial Narrow"/>
                        <w:sz w:val="18"/>
                        <w:szCs w:val="18"/>
                      </w:rPr>
                      <w:t>26,458,337.61</w:t>
                    </w:r>
                  </w:p>
                </w:tc>
                <w:tc>
                  <w:tcPr>
                    <w:tcW w:w="1133" w:type="dxa"/>
                    <w:vAlign w:val="center"/>
                  </w:tcPr>
                  <w:p>
                    <w:pPr>
                      <w:jc w:val="right"/>
                      <w:rPr>
                        <w:rFonts w:ascii="Arial Narrow" w:hAnsi="Arial Narrow"/>
                        <w:sz w:val="18"/>
                        <w:szCs w:val="18"/>
                      </w:rPr>
                    </w:pPr>
                    <w:r>
                      <w:rPr>
                        <w:rFonts w:ascii="Arial Narrow" w:hAnsi="Arial Narrow"/>
                        <w:sz w:val="18"/>
                        <w:szCs w:val="18"/>
                      </w:rPr>
                      <w:t>534,934.25</w:t>
                    </w:r>
                  </w:p>
                </w:tc>
                <w:tc>
                  <w:tcPr>
                    <w:tcW w:w="1014" w:type="dxa"/>
                    <w:vAlign w:val="center"/>
                  </w:tcPr>
                  <w:p>
                    <w:pPr>
                      <w:jc w:val="right"/>
                      <w:rPr>
                        <w:rFonts w:ascii="Arial Narrow" w:hAnsi="Arial Narrow"/>
                        <w:sz w:val="18"/>
                        <w:szCs w:val="18"/>
                      </w:rPr>
                    </w:pPr>
                  </w:p>
                </w:tc>
                <w:tc>
                  <w:tcPr>
                    <w:tcW w:w="1187" w:type="dxa"/>
                    <w:vAlign w:val="center"/>
                  </w:tcPr>
                  <w:p>
                    <w:pPr>
                      <w:jc w:val="right"/>
                      <w:rPr>
                        <w:rFonts w:ascii="Arial Narrow" w:hAnsi="Arial Narrow"/>
                        <w:sz w:val="18"/>
                        <w:szCs w:val="18"/>
                      </w:rPr>
                    </w:pPr>
                    <w:r>
                      <w:rPr>
                        <w:rFonts w:ascii="Arial Narrow" w:hAnsi="Arial Narrow"/>
                        <w:sz w:val="18"/>
                        <w:szCs w:val="18"/>
                      </w:rPr>
                      <w:t>534,934.25</w:t>
                    </w:r>
                  </w:p>
                </w:tc>
              </w:tr>
            </w:sdtContent>
          </w:sdt>
          <w:sdt>
            <w:sdtPr>
              <w:rPr>
                <w:sz w:val="18"/>
                <w:szCs w:val="18"/>
              </w:rPr>
              <w:alias w:val="在建工程情况明细"/>
              <w:tag w:val="_TUP_33657c285bed467db1f9c5ec10046bbf"/>
              <w:id w:val="6774738"/>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69" w:type="dxa"/>
                  </w:tcPr>
                  <w:p>
                    <w:pPr>
                      <w:rPr>
                        <w:sz w:val="18"/>
                        <w:szCs w:val="18"/>
                      </w:rPr>
                    </w:pPr>
                    <w:r>
                      <w:rPr>
                        <w:sz w:val="18"/>
                        <w:szCs w:val="18"/>
                      </w:rPr>
                      <w:t>2#360m2烧结机节能减排提效技术改造</w:t>
                    </w:r>
                  </w:p>
                </w:tc>
                <w:tc>
                  <w:tcPr>
                    <w:tcW w:w="1275" w:type="dxa"/>
                    <w:vAlign w:val="center"/>
                  </w:tcPr>
                  <w:p>
                    <w:pPr>
                      <w:ind w:right="105"/>
                      <w:jc w:val="right"/>
                      <w:rPr>
                        <w:rFonts w:ascii="Arial Narrow" w:hAnsi="Arial Narrow"/>
                        <w:sz w:val="18"/>
                        <w:szCs w:val="18"/>
                      </w:rPr>
                    </w:pPr>
                    <w:r>
                      <w:rPr>
                        <w:rFonts w:ascii="Arial Narrow" w:hAnsi="Arial Narrow"/>
                        <w:sz w:val="18"/>
                        <w:szCs w:val="18"/>
                      </w:rPr>
                      <w:t>36,099,887.69</w:t>
                    </w:r>
                  </w:p>
                </w:tc>
                <w:tc>
                  <w:tcPr>
                    <w:tcW w:w="964" w:type="dxa"/>
                    <w:vAlign w:val="center"/>
                  </w:tcPr>
                  <w:p>
                    <w:pPr>
                      <w:ind w:right="73"/>
                      <w:jc w:val="right"/>
                      <w:rPr>
                        <w:rFonts w:ascii="Arial Narrow" w:hAnsi="Arial Narrow"/>
                        <w:sz w:val="18"/>
                        <w:szCs w:val="18"/>
                      </w:rPr>
                    </w:pPr>
                  </w:p>
                </w:tc>
                <w:tc>
                  <w:tcPr>
                    <w:tcW w:w="1163" w:type="dxa"/>
                    <w:vAlign w:val="center"/>
                  </w:tcPr>
                  <w:p>
                    <w:pPr>
                      <w:ind w:right="73"/>
                      <w:jc w:val="right"/>
                      <w:rPr>
                        <w:rFonts w:ascii="Arial Narrow" w:hAnsi="Arial Narrow"/>
                        <w:sz w:val="18"/>
                        <w:szCs w:val="18"/>
                      </w:rPr>
                    </w:pPr>
                    <w:r>
                      <w:rPr>
                        <w:rFonts w:ascii="Arial Narrow" w:hAnsi="Arial Narrow"/>
                        <w:sz w:val="18"/>
                        <w:szCs w:val="18"/>
                      </w:rPr>
                      <w:t>36,099,887.69</w:t>
                    </w:r>
                  </w:p>
                </w:tc>
                <w:tc>
                  <w:tcPr>
                    <w:tcW w:w="1133" w:type="dxa"/>
                    <w:vAlign w:val="center"/>
                  </w:tcPr>
                  <w:p>
                    <w:pPr>
                      <w:jc w:val="right"/>
                      <w:rPr>
                        <w:rFonts w:ascii="Arial Narrow" w:hAnsi="Arial Narrow"/>
                        <w:sz w:val="18"/>
                        <w:szCs w:val="18"/>
                      </w:rPr>
                    </w:pPr>
                    <w:r>
                      <w:rPr>
                        <w:rFonts w:ascii="Arial Narrow" w:hAnsi="Arial Narrow"/>
                        <w:sz w:val="18"/>
                        <w:szCs w:val="18"/>
                      </w:rPr>
                      <w:t>16,155,918.62</w:t>
                    </w:r>
                  </w:p>
                </w:tc>
                <w:tc>
                  <w:tcPr>
                    <w:tcW w:w="1014" w:type="dxa"/>
                    <w:vAlign w:val="center"/>
                  </w:tcPr>
                  <w:p>
                    <w:pPr>
                      <w:jc w:val="right"/>
                      <w:rPr>
                        <w:rFonts w:ascii="Arial Narrow" w:hAnsi="Arial Narrow"/>
                        <w:sz w:val="18"/>
                        <w:szCs w:val="18"/>
                      </w:rPr>
                    </w:pPr>
                  </w:p>
                </w:tc>
                <w:tc>
                  <w:tcPr>
                    <w:tcW w:w="1187" w:type="dxa"/>
                    <w:vAlign w:val="center"/>
                  </w:tcPr>
                  <w:p>
                    <w:pPr>
                      <w:jc w:val="right"/>
                      <w:rPr>
                        <w:rFonts w:ascii="Arial Narrow" w:hAnsi="Arial Narrow"/>
                        <w:sz w:val="18"/>
                        <w:szCs w:val="18"/>
                      </w:rPr>
                    </w:pPr>
                    <w:r>
                      <w:rPr>
                        <w:rFonts w:ascii="Arial Narrow" w:hAnsi="Arial Narrow"/>
                        <w:sz w:val="18"/>
                        <w:szCs w:val="18"/>
                      </w:rPr>
                      <w:t>16,155,918.62</w:t>
                    </w:r>
                  </w:p>
                </w:tc>
              </w:tr>
            </w:sdtContent>
          </w:sdt>
          <w:sdt>
            <w:sdtPr>
              <w:rPr>
                <w:sz w:val="18"/>
                <w:szCs w:val="18"/>
              </w:rPr>
              <w:alias w:val="在建工程情况明细"/>
              <w:tag w:val="_TUP_33657c285bed467db1f9c5ec10046bbf"/>
              <w:id w:val="6774739"/>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69" w:type="dxa"/>
                  </w:tcPr>
                  <w:p>
                    <w:pPr>
                      <w:rPr>
                        <w:sz w:val="18"/>
                        <w:szCs w:val="18"/>
                      </w:rPr>
                    </w:pPr>
                    <w:r>
                      <w:rPr>
                        <w:sz w:val="18"/>
                        <w:szCs w:val="18"/>
                      </w:rPr>
                      <w:t>辅材物流水渣输送系统工程</w:t>
                    </w:r>
                  </w:p>
                </w:tc>
                <w:tc>
                  <w:tcPr>
                    <w:tcW w:w="1275" w:type="dxa"/>
                    <w:vAlign w:val="center"/>
                  </w:tcPr>
                  <w:p>
                    <w:pPr>
                      <w:ind w:right="105"/>
                      <w:jc w:val="right"/>
                      <w:rPr>
                        <w:rFonts w:ascii="Arial Narrow" w:hAnsi="Arial Narrow"/>
                        <w:sz w:val="18"/>
                        <w:szCs w:val="18"/>
                      </w:rPr>
                    </w:pPr>
                    <w:r>
                      <w:rPr>
                        <w:rFonts w:ascii="Arial Narrow" w:hAnsi="Arial Narrow"/>
                        <w:sz w:val="18"/>
                        <w:szCs w:val="18"/>
                      </w:rPr>
                      <w:t>49,219,878.81</w:t>
                    </w:r>
                  </w:p>
                </w:tc>
                <w:tc>
                  <w:tcPr>
                    <w:tcW w:w="964" w:type="dxa"/>
                    <w:vAlign w:val="center"/>
                  </w:tcPr>
                  <w:p>
                    <w:pPr>
                      <w:ind w:right="73"/>
                      <w:jc w:val="right"/>
                      <w:rPr>
                        <w:rFonts w:ascii="Arial Narrow" w:hAnsi="Arial Narrow"/>
                        <w:sz w:val="18"/>
                        <w:szCs w:val="18"/>
                      </w:rPr>
                    </w:pPr>
                  </w:p>
                </w:tc>
                <w:tc>
                  <w:tcPr>
                    <w:tcW w:w="1163" w:type="dxa"/>
                    <w:vAlign w:val="center"/>
                  </w:tcPr>
                  <w:p>
                    <w:pPr>
                      <w:ind w:right="73"/>
                      <w:jc w:val="right"/>
                      <w:rPr>
                        <w:rFonts w:ascii="Arial Narrow" w:hAnsi="Arial Narrow"/>
                        <w:sz w:val="18"/>
                        <w:szCs w:val="18"/>
                      </w:rPr>
                    </w:pPr>
                    <w:r>
                      <w:rPr>
                        <w:rFonts w:ascii="Arial Narrow" w:hAnsi="Arial Narrow"/>
                        <w:sz w:val="18"/>
                        <w:szCs w:val="18"/>
                      </w:rPr>
                      <w:t>49,219,878.81</w:t>
                    </w:r>
                  </w:p>
                </w:tc>
                <w:tc>
                  <w:tcPr>
                    <w:tcW w:w="1133" w:type="dxa"/>
                    <w:vAlign w:val="center"/>
                  </w:tcPr>
                  <w:p>
                    <w:pPr>
                      <w:jc w:val="right"/>
                      <w:rPr>
                        <w:rFonts w:ascii="Arial Narrow" w:hAnsi="Arial Narrow"/>
                        <w:sz w:val="18"/>
                        <w:szCs w:val="18"/>
                      </w:rPr>
                    </w:pPr>
                    <w:r>
                      <w:rPr>
                        <w:rFonts w:ascii="Arial Narrow" w:hAnsi="Arial Narrow"/>
                        <w:sz w:val="18"/>
                        <w:szCs w:val="18"/>
                      </w:rPr>
                      <w:t>16,618,768.12</w:t>
                    </w:r>
                  </w:p>
                </w:tc>
                <w:tc>
                  <w:tcPr>
                    <w:tcW w:w="1014" w:type="dxa"/>
                    <w:vAlign w:val="center"/>
                  </w:tcPr>
                  <w:p>
                    <w:pPr>
                      <w:jc w:val="right"/>
                      <w:rPr>
                        <w:rFonts w:ascii="Arial Narrow" w:hAnsi="Arial Narrow"/>
                        <w:sz w:val="18"/>
                        <w:szCs w:val="18"/>
                      </w:rPr>
                    </w:pPr>
                  </w:p>
                </w:tc>
                <w:tc>
                  <w:tcPr>
                    <w:tcW w:w="1187" w:type="dxa"/>
                    <w:vAlign w:val="center"/>
                  </w:tcPr>
                  <w:p>
                    <w:pPr>
                      <w:jc w:val="right"/>
                      <w:rPr>
                        <w:rFonts w:ascii="Arial Narrow" w:hAnsi="Arial Narrow"/>
                        <w:sz w:val="18"/>
                        <w:szCs w:val="18"/>
                      </w:rPr>
                    </w:pPr>
                    <w:r>
                      <w:rPr>
                        <w:rFonts w:ascii="Arial Narrow" w:hAnsi="Arial Narrow"/>
                        <w:sz w:val="18"/>
                        <w:szCs w:val="18"/>
                      </w:rPr>
                      <w:t>16,618,768.12</w:t>
                    </w:r>
                  </w:p>
                </w:tc>
              </w:tr>
            </w:sdtContent>
          </w:sdt>
          <w:sdt>
            <w:sdtPr>
              <w:rPr>
                <w:sz w:val="18"/>
                <w:szCs w:val="18"/>
              </w:rPr>
              <w:alias w:val="在建工程情况明细"/>
              <w:tag w:val="_TUP_33657c285bed467db1f9c5ec10046bbf"/>
              <w:id w:val="6774740"/>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69" w:type="dxa"/>
                  </w:tcPr>
                  <w:p>
                    <w:pPr>
                      <w:rPr>
                        <w:sz w:val="18"/>
                        <w:szCs w:val="18"/>
                      </w:rPr>
                    </w:pPr>
                    <w:r>
                      <w:rPr>
                        <w:sz w:val="18"/>
                        <w:szCs w:val="18"/>
                      </w:rPr>
                      <w:t>矿石物流站工程</w:t>
                    </w:r>
                  </w:p>
                </w:tc>
                <w:tc>
                  <w:tcPr>
                    <w:tcW w:w="1275" w:type="dxa"/>
                    <w:vAlign w:val="center"/>
                  </w:tcPr>
                  <w:p>
                    <w:pPr>
                      <w:ind w:right="105"/>
                      <w:jc w:val="right"/>
                      <w:rPr>
                        <w:rFonts w:ascii="Arial Narrow" w:hAnsi="Arial Narrow"/>
                        <w:sz w:val="18"/>
                        <w:szCs w:val="18"/>
                      </w:rPr>
                    </w:pPr>
                    <w:r>
                      <w:rPr>
                        <w:rFonts w:ascii="Arial Narrow" w:hAnsi="Arial Narrow"/>
                        <w:sz w:val="18"/>
                        <w:szCs w:val="18"/>
                      </w:rPr>
                      <w:t>88,989,982.74</w:t>
                    </w:r>
                  </w:p>
                </w:tc>
                <w:tc>
                  <w:tcPr>
                    <w:tcW w:w="964" w:type="dxa"/>
                    <w:vAlign w:val="center"/>
                  </w:tcPr>
                  <w:p>
                    <w:pPr>
                      <w:ind w:right="73"/>
                      <w:jc w:val="right"/>
                      <w:rPr>
                        <w:rFonts w:ascii="Arial Narrow" w:hAnsi="Arial Narrow"/>
                        <w:sz w:val="18"/>
                        <w:szCs w:val="18"/>
                      </w:rPr>
                    </w:pPr>
                  </w:p>
                </w:tc>
                <w:tc>
                  <w:tcPr>
                    <w:tcW w:w="1163" w:type="dxa"/>
                    <w:vAlign w:val="center"/>
                  </w:tcPr>
                  <w:p>
                    <w:pPr>
                      <w:ind w:right="73"/>
                      <w:jc w:val="right"/>
                      <w:rPr>
                        <w:rFonts w:ascii="Arial Narrow" w:hAnsi="Arial Narrow"/>
                        <w:sz w:val="18"/>
                        <w:szCs w:val="18"/>
                      </w:rPr>
                    </w:pPr>
                    <w:r>
                      <w:rPr>
                        <w:rFonts w:ascii="Arial Narrow" w:hAnsi="Arial Narrow"/>
                        <w:sz w:val="18"/>
                        <w:szCs w:val="18"/>
                      </w:rPr>
                      <w:t>88,989,982.74</w:t>
                    </w:r>
                  </w:p>
                </w:tc>
                <w:tc>
                  <w:tcPr>
                    <w:tcW w:w="1133" w:type="dxa"/>
                    <w:vAlign w:val="center"/>
                  </w:tcPr>
                  <w:p>
                    <w:pPr>
                      <w:jc w:val="right"/>
                      <w:rPr>
                        <w:rFonts w:ascii="Arial Narrow" w:hAnsi="Arial Narrow"/>
                        <w:sz w:val="18"/>
                        <w:szCs w:val="18"/>
                      </w:rPr>
                    </w:pPr>
                    <w:r>
                      <w:rPr>
                        <w:rFonts w:ascii="Arial Narrow" w:hAnsi="Arial Narrow"/>
                        <w:sz w:val="18"/>
                        <w:szCs w:val="18"/>
                      </w:rPr>
                      <w:t>73,133,806.20</w:t>
                    </w:r>
                  </w:p>
                </w:tc>
                <w:tc>
                  <w:tcPr>
                    <w:tcW w:w="1014" w:type="dxa"/>
                    <w:vAlign w:val="center"/>
                  </w:tcPr>
                  <w:p>
                    <w:pPr>
                      <w:jc w:val="right"/>
                      <w:rPr>
                        <w:rFonts w:ascii="Arial Narrow" w:hAnsi="Arial Narrow"/>
                        <w:sz w:val="18"/>
                        <w:szCs w:val="18"/>
                      </w:rPr>
                    </w:pPr>
                  </w:p>
                </w:tc>
                <w:tc>
                  <w:tcPr>
                    <w:tcW w:w="1187" w:type="dxa"/>
                    <w:vAlign w:val="center"/>
                  </w:tcPr>
                  <w:p>
                    <w:pPr>
                      <w:jc w:val="right"/>
                      <w:rPr>
                        <w:rFonts w:ascii="Arial Narrow" w:hAnsi="Arial Narrow"/>
                        <w:sz w:val="18"/>
                        <w:szCs w:val="18"/>
                      </w:rPr>
                    </w:pPr>
                    <w:r>
                      <w:rPr>
                        <w:rFonts w:ascii="Arial Narrow" w:hAnsi="Arial Narrow"/>
                        <w:sz w:val="18"/>
                        <w:szCs w:val="18"/>
                      </w:rPr>
                      <w:t>73,133,806.20</w:t>
                    </w:r>
                  </w:p>
                </w:tc>
              </w:tr>
            </w:sdtContent>
          </w:sdt>
          <w:sdt>
            <w:sdtPr>
              <w:rPr>
                <w:sz w:val="18"/>
                <w:szCs w:val="18"/>
              </w:rPr>
              <w:alias w:val="在建工程情况明细"/>
              <w:tag w:val="_TUP_33657c285bed467db1f9c5ec10046bbf"/>
              <w:id w:val="6774741"/>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269" w:type="dxa"/>
                  </w:tcPr>
                  <w:p>
                    <w:pPr>
                      <w:rPr>
                        <w:sz w:val="18"/>
                        <w:szCs w:val="18"/>
                      </w:rPr>
                    </w:pPr>
                    <w:r>
                      <w:rPr>
                        <w:sz w:val="18"/>
                        <w:szCs w:val="18"/>
                      </w:rPr>
                      <w:t>其他</w:t>
                    </w:r>
                  </w:p>
                </w:tc>
                <w:tc>
                  <w:tcPr>
                    <w:tcW w:w="1275" w:type="dxa"/>
                    <w:vAlign w:val="center"/>
                  </w:tcPr>
                  <w:p>
                    <w:pPr>
                      <w:ind w:right="105"/>
                      <w:jc w:val="right"/>
                      <w:rPr>
                        <w:rFonts w:ascii="Arial Narrow" w:hAnsi="Arial Narrow"/>
                        <w:sz w:val="18"/>
                        <w:szCs w:val="18"/>
                      </w:rPr>
                    </w:pPr>
                    <w:r>
                      <w:rPr>
                        <w:rFonts w:ascii="Arial Narrow" w:hAnsi="Arial Narrow"/>
                        <w:sz w:val="18"/>
                        <w:szCs w:val="18"/>
                      </w:rPr>
                      <w:t>182,105,249.49</w:t>
                    </w:r>
                  </w:p>
                </w:tc>
                <w:tc>
                  <w:tcPr>
                    <w:tcW w:w="964" w:type="dxa"/>
                    <w:vAlign w:val="center"/>
                  </w:tcPr>
                  <w:p>
                    <w:pPr>
                      <w:ind w:right="73"/>
                      <w:jc w:val="right"/>
                      <w:rPr>
                        <w:rFonts w:ascii="Arial Narrow" w:hAnsi="Arial Narrow"/>
                        <w:sz w:val="18"/>
                        <w:szCs w:val="18"/>
                      </w:rPr>
                    </w:pPr>
                    <w:r>
                      <w:rPr>
                        <w:rFonts w:ascii="Arial Narrow" w:hAnsi="Arial Narrow"/>
                        <w:sz w:val="18"/>
                        <w:szCs w:val="18"/>
                      </w:rPr>
                      <w:t>0.00</w:t>
                    </w:r>
                  </w:p>
                </w:tc>
                <w:tc>
                  <w:tcPr>
                    <w:tcW w:w="1163" w:type="dxa"/>
                    <w:vAlign w:val="center"/>
                  </w:tcPr>
                  <w:p>
                    <w:pPr>
                      <w:ind w:right="73"/>
                      <w:jc w:val="right"/>
                      <w:rPr>
                        <w:rFonts w:ascii="Arial Narrow" w:hAnsi="Arial Narrow"/>
                        <w:sz w:val="18"/>
                        <w:szCs w:val="18"/>
                      </w:rPr>
                    </w:pPr>
                    <w:r>
                      <w:rPr>
                        <w:rFonts w:ascii="Arial Narrow" w:hAnsi="Arial Narrow"/>
                        <w:sz w:val="18"/>
                        <w:szCs w:val="18"/>
                      </w:rPr>
                      <w:t>182,105,249.49</w:t>
                    </w:r>
                  </w:p>
                </w:tc>
                <w:tc>
                  <w:tcPr>
                    <w:tcW w:w="1133" w:type="dxa"/>
                    <w:vAlign w:val="center"/>
                  </w:tcPr>
                  <w:p>
                    <w:pPr>
                      <w:jc w:val="right"/>
                      <w:rPr>
                        <w:rFonts w:ascii="Arial Narrow" w:hAnsi="Arial Narrow"/>
                        <w:sz w:val="18"/>
                        <w:szCs w:val="18"/>
                      </w:rPr>
                    </w:pPr>
                    <w:r>
                      <w:rPr>
                        <w:rFonts w:ascii="Arial Narrow" w:hAnsi="Arial Narrow"/>
                        <w:sz w:val="18"/>
                        <w:szCs w:val="18"/>
                      </w:rPr>
                      <w:t>138,200,773.84</w:t>
                    </w:r>
                  </w:p>
                </w:tc>
                <w:tc>
                  <w:tcPr>
                    <w:tcW w:w="1014" w:type="dxa"/>
                    <w:vAlign w:val="center"/>
                  </w:tcPr>
                  <w:p>
                    <w:pPr>
                      <w:jc w:val="right"/>
                      <w:rPr>
                        <w:rFonts w:ascii="Arial Narrow" w:hAnsi="Arial Narrow"/>
                        <w:sz w:val="18"/>
                        <w:szCs w:val="18"/>
                      </w:rPr>
                    </w:pPr>
                  </w:p>
                </w:tc>
                <w:tc>
                  <w:tcPr>
                    <w:tcW w:w="1187" w:type="dxa"/>
                    <w:vAlign w:val="center"/>
                  </w:tcPr>
                  <w:p>
                    <w:pPr>
                      <w:jc w:val="right"/>
                      <w:rPr>
                        <w:rFonts w:ascii="Arial Narrow" w:hAnsi="Arial Narrow"/>
                        <w:sz w:val="18"/>
                        <w:szCs w:val="18"/>
                      </w:rPr>
                    </w:pPr>
                    <w:r>
                      <w:rPr>
                        <w:rFonts w:ascii="Arial Narrow" w:hAnsi="Arial Narrow"/>
                        <w:sz w:val="18"/>
                        <w:szCs w:val="18"/>
                      </w:rPr>
                      <w:t>138,200,773.84</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2783a6d4bf3f487b8ca957822667216c"/>
                <w:id w:val="6774742"/>
                <w:lock w:val="sdtLocked"/>
              </w:sdtPr>
              <w:sdtEndPr>
                <w:rPr>
                  <w:sz w:val="18"/>
                  <w:szCs w:val="18"/>
                </w:rPr>
              </w:sdtEndPr>
              <w:sdtContent>
                <w:tc>
                  <w:tcPr>
                    <w:tcW w:w="2269" w:type="dxa"/>
                    <w:vAlign w:val="center"/>
                  </w:tcPr>
                  <w:p>
                    <w:pPr>
                      <w:jc w:val="center"/>
                      <w:rPr>
                        <w:sz w:val="18"/>
                        <w:szCs w:val="18"/>
                      </w:rPr>
                    </w:pPr>
                    <w:r>
                      <w:rPr>
                        <w:rFonts w:hint="eastAsia"/>
                        <w:sz w:val="18"/>
                        <w:szCs w:val="18"/>
                      </w:rPr>
                      <w:t>合计</w:t>
                    </w:r>
                  </w:p>
                </w:tc>
              </w:sdtContent>
            </w:sdt>
            <w:tc>
              <w:tcPr>
                <w:tcW w:w="1275" w:type="dxa"/>
                <w:vAlign w:val="center"/>
              </w:tcPr>
              <w:p>
                <w:pPr>
                  <w:jc w:val="right"/>
                  <w:rPr>
                    <w:rFonts w:ascii="Arial Narrow" w:hAnsi="Arial Narrow"/>
                    <w:sz w:val="18"/>
                    <w:szCs w:val="18"/>
                  </w:rPr>
                </w:pPr>
                <w:r>
                  <w:rPr>
                    <w:rFonts w:ascii="Arial Narrow" w:hAnsi="Arial Narrow"/>
                    <w:sz w:val="18"/>
                    <w:szCs w:val="18"/>
                  </w:rPr>
                  <w:t>382,873,336.34</w:t>
                </w:r>
              </w:p>
            </w:tc>
            <w:tc>
              <w:tcPr>
                <w:tcW w:w="964" w:type="dxa"/>
                <w:vAlign w:val="center"/>
              </w:tcPr>
              <w:p>
                <w:pPr>
                  <w:jc w:val="right"/>
                  <w:rPr>
                    <w:rFonts w:ascii="Arial Narrow" w:hAnsi="Arial Narrow"/>
                    <w:sz w:val="18"/>
                    <w:szCs w:val="18"/>
                  </w:rPr>
                </w:pPr>
              </w:p>
            </w:tc>
            <w:tc>
              <w:tcPr>
                <w:tcW w:w="1163" w:type="dxa"/>
                <w:vAlign w:val="center"/>
              </w:tcPr>
              <w:p>
                <w:pPr>
                  <w:jc w:val="right"/>
                  <w:rPr>
                    <w:rFonts w:ascii="Arial Narrow" w:hAnsi="Arial Narrow"/>
                    <w:sz w:val="18"/>
                    <w:szCs w:val="18"/>
                  </w:rPr>
                </w:pPr>
                <w:r>
                  <w:rPr>
                    <w:rFonts w:ascii="Arial Narrow" w:hAnsi="Arial Narrow"/>
                    <w:sz w:val="18"/>
                    <w:szCs w:val="18"/>
                  </w:rPr>
                  <w:t>382,873,336.34</w:t>
                </w:r>
              </w:p>
            </w:tc>
            <w:tc>
              <w:tcPr>
                <w:tcW w:w="1133" w:type="dxa"/>
                <w:vAlign w:val="center"/>
              </w:tcPr>
              <w:p>
                <w:pPr>
                  <w:jc w:val="right"/>
                  <w:rPr>
                    <w:rFonts w:ascii="Arial Narrow" w:hAnsi="Arial Narrow"/>
                    <w:sz w:val="18"/>
                    <w:szCs w:val="18"/>
                  </w:rPr>
                </w:pPr>
                <w:r>
                  <w:rPr>
                    <w:rFonts w:ascii="Arial Narrow" w:hAnsi="Arial Narrow"/>
                    <w:sz w:val="18"/>
                    <w:szCs w:val="18"/>
                  </w:rPr>
                  <w:t>244,644,201.03</w:t>
                </w:r>
              </w:p>
            </w:tc>
            <w:tc>
              <w:tcPr>
                <w:tcW w:w="1014" w:type="dxa"/>
                <w:vAlign w:val="center"/>
              </w:tcPr>
              <w:p>
                <w:pPr>
                  <w:jc w:val="right"/>
                  <w:rPr>
                    <w:rFonts w:ascii="Arial Narrow" w:hAnsi="Arial Narrow"/>
                    <w:sz w:val="18"/>
                    <w:szCs w:val="18"/>
                  </w:rPr>
                </w:pPr>
              </w:p>
            </w:tc>
            <w:tc>
              <w:tcPr>
                <w:tcW w:w="1187" w:type="dxa"/>
                <w:vAlign w:val="center"/>
              </w:tcPr>
              <w:p>
                <w:pPr>
                  <w:jc w:val="right"/>
                  <w:rPr>
                    <w:rFonts w:ascii="Arial Narrow" w:hAnsi="Arial Narrow"/>
                    <w:sz w:val="18"/>
                    <w:szCs w:val="18"/>
                  </w:rPr>
                </w:pPr>
                <w:r>
                  <w:rPr>
                    <w:rFonts w:ascii="Arial Narrow" w:hAnsi="Arial Narrow"/>
                    <w:sz w:val="18"/>
                    <w:szCs w:val="18"/>
                  </w:rPr>
                  <w:t>244,644,201.03</w:t>
                </w:r>
              </w:p>
            </w:tc>
          </w:tr>
        </w:tbl>
        <w:p/>
      </w:sdtContent>
    </w:sdt>
    <w:p>
      <w:pPr>
        <w:snapToGrid w:val="0"/>
        <w:spacing w:line="240" w:lineRule="atLeast"/>
        <w:ind w:right="-874" w:rightChars="-416"/>
        <w:rPr>
          <w:color w:val="FF0000"/>
          <w:szCs w:val="21"/>
        </w:rPr>
      </w:pPr>
    </w:p>
    <w:sdt>
      <w:sdtPr>
        <w:rPr>
          <w:rFonts w:hint="eastAsia" w:ascii="宋体" w:hAnsi="宋体" w:cs="宋体"/>
          <w:b w:val="0"/>
          <w:bCs w:val="0"/>
          <w:color w:val="000000" w:themeColor="text1"/>
          <w:kern w:val="0"/>
          <w:szCs w:val="21"/>
          <w14:textFill>
            <w14:solidFill>
              <w14:schemeClr w14:val="tx1"/>
            </w14:solidFill>
          </w14:textFill>
        </w:rPr>
        <w:alias w:val="模块:重大在建工程项目变动情况"/>
        <w:tag w:val="_SEC_56f783d4f9274dee9510145d6c965ff7"/>
        <w:id w:val="6774766"/>
        <w:lock w:val="sdtLocked"/>
        <w:placeholder>
          <w:docPart w:val="GBC22222222222222222222222222222"/>
        </w:placeholder>
      </w:sdtPr>
      <w:sdtEndPr>
        <w:rPr>
          <w:rFonts w:hint="default" w:ascii="宋体" w:hAnsi="宋体" w:cstheme="minorBidi"/>
          <w:b w:val="0"/>
          <w:bCs w:val="0"/>
          <w:color w:val="auto"/>
          <w:kern w:val="0"/>
          <w:szCs w:val="21"/>
        </w:rPr>
      </w:sdtEndPr>
      <w:sdtContent>
        <w:p>
          <w:pPr>
            <w:pStyle w:val="5"/>
            <w:numPr>
              <w:ilvl w:val="0"/>
              <w:numId w:val="78"/>
            </w:numPr>
            <w:tabs>
              <w:tab w:val="left" w:pos="588"/>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重要在建工程项目本期变动情况</w:t>
          </w:r>
        </w:p>
        <w:sdt>
          <w:sdtPr>
            <w:alias w:val="是否适用：重要在建工程项目本期变动情况[双击切换]"/>
            <w:tag w:val="_GBC_964f4529e8234c358a8541e8c4754ec8"/>
            <w:id w:val="677474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67747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6774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10631" w:type="dxa"/>
            <w:tblInd w:w="-9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419"/>
            <w:gridCol w:w="1135"/>
            <w:gridCol w:w="991"/>
            <w:gridCol w:w="993"/>
            <w:gridCol w:w="455"/>
            <w:gridCol w:w="540"/>
            <w:gridCol w:w="995"/>
            <w:gridCol w:w="425"/>
            <w:gridCol w:w="563"/>
            <w:gridCol w:w="991"/>
            <w:gridCol w:w="855"/>
            <w:gridCol w:w="708"/>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5"/>
                  <w:szCs w:val="15"/>
                </w:rPr>
                <w:tag w:val="_PLD_0072ffbc51294cefbe17dde844d0e5ed"/>
                <w:id w:val="6774747"/>
                <w:lock w:val="sdtLocked"/>
              </w:sdtPr>
              <w:sdtEndPr>
                <w:rPr>
                  <w:sz w:val="15"/>
                  <w:szCs w:val="15"/>
                </w:rPr>
              </w:sdtEndPr>
              <w:sdtContent>
                <w:tc>
                  <w:tcPr>
                    <w:tcW w:w="1419" w:type="dxa"/>
                    <w:shd w:val="clear" w:color="auto" w:fill="auto"/>
                    <w:vAlign w:val="center"/>
                  </w:tcPr>
                  <w:p>
                    <w:pPr>
                      <w:ind w:right="105"/>
                      <w:jc w:val="center"/>
                      <w:rPr>
                        <w:sz w:val="15"/>
                        <w:szCs w:val="15"/>
                      </w:rPr>
                    </w:pPr>
                    <w:r>
                      <w:rPr>
                        <w:rFonts w:hint="eastAsia"/>
                        <w:sz w:val="15"/>
                        <w:szCs w:val="15"/>
                      </w:rPr>
                      <w:t>项目名称</w:t>
                    </w:r>
                  </w:p>
                </w:tc>
              </w:sdtContent>
            </w:sdt>
            <w:sdt>
              <w:sdtPr>
                <w:rPr>
                  <w:sz w:val="15"/>
                  <w:szCs w:val="15"/>
                </w:rPr>
                <w:tag w:val="_PLD_6349ea6a696f4d27b00b071275a38ea5"/>
                <w:id w:val="6774748"/>
                <w:lock w:val="sdtLocked"/>
              </w:sdtPr>
              <w:sdtEndPr>
                <w:rPr>
                  <w:sz w:val="15"/>
                  <w:szCs w:val="15"/>
                </w:rPr>
              </w:sdtEndPr>
              <w:sdtContent>
                <w:tc>
                  <w:tcPr>
                    <w:tcW w:w="1135" w:type="dxa"/>
                    <w:shd w:val="clear" w:color="auto" w:fill="auto"/>
                    <w:vAlign w:val="center"/>
                  </w:tcPr>
                  <w:p>
                    <w:pPr>
                      <w:ind w:right="105"/>
                      <w:jc w:val="center"/>
                      <w:rPr>
                        <w:sz w:val="15"/>
                        <w:szCs w:val="15"/>
                      </w:rPr>
                    </w:pPr>
                    <w:r>
                      <w:rPr>
                        <w:rFonts w:hint="eastAsia"/>
                        <w:sz w:val="15"/>
                        <w:szCs w:val="15"/>
                      </w:rPr>
                      <w:t>预算数</w:t>
                    </w:r>
                  </w:p>
                </w:tc>
              </w:sdtContent>
            </w:sdt>
            <w:sdt>
              <w:sdtPr>
                <w:rPr>
                  <w:sz w:val="15"/>
                  <w:szCs w:val="15"/>
                </w:rPr>
                <w:tag w:val="_PLD_392420deb7e94f0a8026947a325da4f4"/>
                <w:id w:val="6774749"/>
                <w:lock w:val="sdtLocked"/>
              </w:sdtPr>
              <w:sdtEndPr>
                <w:rPr>
                  <w:sz w:val="15"/>
                  <w:szCs w:val="15"/>
                </w:rPr>
              </w:sdtEndPr>
              <w:sdtContent>
                <w:tc>
                  <w:tcPr>
                    <w:tcW w:w="991" w:type="dxa"/>
                    <w:shd w:val="clear" w:color="auto" w:fill="auto"/>
                    <w:vAlign w:val="center"/>
                  </w:tcPr>
                  <w:p>
                    <w:pPr>
                      <w:ind w:right="105"/>
                      <w:jc w:val="center"/>
                      <w:rPr>
                        <w:sz w:val="15"/>
                        <w:szCs w:val="15"/>
                      </w:rPr>
                    </w:pPr>
                    <w:r>
                      <w:rPr>
                        <w:rFonts w:hint="eastAsia"/>
                        <w:sz w:val="15"/>
                        <w:szCs w:val="15"/>
                      </w:rPr>
                      <w:t>期初</w:t>
                    </w:r>
                  </w:p>
                  <w:p>
                    <w:pPr>
                      <w:ind w:right="105"/>
                      <w:jc w:val="center"/>
                      <w:rPr>
                        <w:sz w:val="15"/>
                        <w:szCs w:val="15"/>
                      </w:rPr>
                    </w:pPr>
                    <w:r>
                      <w:rPr>
                        <w:rFonts w:hint="eastAsia"/>
                        <w:sz w:val="15"/>
                        <w:szCs w:val="15"/>
                      </w:rPr>
                      <w:t>余额</w:t>
                    </w:r>
                  </w:p>
                </w:tc>
              </w:sdtContent>
            </w:sdt>
            <w:sdt>
              <w:sdtPr>
                <w:rPr>
                  <w:sz w:val="15"/>
                  <w:szCs w:val="15"/>
                </w:rPr>
                <w:tag w:val="_PLD_de4faed3465b4da6b8ac35d7e677431c"/>
                <w:id w:val="6774750"/>
                <w:lock w:val="sdtLocked"/>
              </w:sdtPr>
              <w:sdtEndPr>
                <w:rPr>
                  <w:sz w:val="15"/>
                  <w:szCs w:val="15"/>
                </w:rPr>
              </w:sdtEndPr>
              <w:sdtContent>
                <w:tc>
                  <w:tcPr>
                    <w:tcW w:w="993" w:type="dxa"/>
                    <w:shd w:val="clear" w:color="auto" w:fill="auto"/>
                    <w:vAlign w:val="center"/>
                  </w:tcPr>
                  <w:p>
                    <w:pPr>
                      <w:ind w:right="105"/>
                      <w:jc w:val="center"/>
                      <w:rPr>
                        <w:sz w:val="15"/>
                        <w:szCs w:val="15"/>
                      </w:rPr>
                    </w:pPr>
                    <w:r>
                      <w:rPr>
                        <w:rFonts w:hint="eastAsia"/>
                        <w:sz w:val="15"/>
                        <w:szCs w:val="15"/>
                      </w:rPr>
                      <w:t>本期增加金额</w:t>
                    </w:r>
                  </w:p>
                </w:tc>
              </w:sdtContent>
            </w:sdt>
            <w:sdt>
              <w:sdtPr>
                <w:rPr>
                  <w:sz w:val="15"/>
                  <w:szCs w:val="15"/>
                </w:rPr>
                <w:tag w:val="_PLD_51ce4224316b4f4b99a8fb0c8e4500a5"/>
                <w:id w:val="6774751"/>
                <w:lock w:val="sdtLocked"/>
              </w:sdtPr>
              <w:sdtEndPr>
                <w:rPr>
                  <w:sz w:val="15"/>
                  <w:szCs w:val="15"/>
                </w:rPr>
              </w:sdtEndPr>
              <w:sdtContent>
                <w:tc>
                  <w:tcPr>
                    <w:tcW w:w="455" w:type="dxa"/>
                    <w:shd w:val="clear" w:color="auto" w:fill="auto"/>
                    <w:vAlign w:val="center"/>
                  </w:tcPr>
                  <w:p>
                    <w:pPr>
                      <w:ind w:right="73"/>
                      <w:jc w:val="center"/>
                      <w:rPr>
                        <w:sz w:val="15"/>
                        <w:szCs w:val="15"/>
                      </w:rPr>
                    </w:pPr>
                    <w:r>
                      <w:rPr>
                        <w:rFonts w:hint="eastAsia"/>
                        <w:sz w:val="15"/>
                        <w:szCs w:val="15"/>
                      </w:rPr>
                      <w:t>本期转入固定资产金额</w:t>
                    </w:r>
                  </w:p>
                </w:tc>
              </w:sdtContent>
            </w:sdt>
            <w:sdt>
              <w:sdtPr>
                <w:rPr>
                  <w:sz w:val="15"/>
                  <w:szCs w:val="15"/>
                </w:rPr>
                <w:tag w:val="_PLD_d80ffbe10b944f57a31723041ffbcbdf"/>
                <w:id w:val="6774752"/>
                <w:lock w:val="sdtLocked"/>
              </w:sdtPr>
              <w:sdtEndPr>
                <w:rPr>
                  <w:sz w:val="15"/>
                  <w:szCs w:val="15"/>
                </w:rPr>
              </w:sdtEndPr>
              <w:sdtContent>
                <w:tc>
                  <w:tcPr>
                    <w:tcW w:w="540" w:type="dxa"/>
                    <w:shd w:val="clear" w:color="auto" w:fill="auto"/>
                    <w:vAlign w:val="center"/>
                  </w:tcPr>
                  <w:p>
                    <w:pPr>
                      <w:ind w:right="73"/>
                      <w:jc w:val="center"/>
                      <w:rPr>
                        <w:sz w:val="15"/>
                        <w:szCs w:val="15"/>
                      </w:rPr>
                    </w:pPr>
                    <w:r>
                      <w:rPr>
                        <w:rFonts w:hint="eastAsia"/>
                        <w:sz w:val="15"/>
                        <w:szCs w:val="15"/>
                      </w:rPr>
                      <w:t>本期其他减少金额</w:t>
                    </w:r>
                  </w:p>
                </w:tc>
              </w:sdtContent>
            </w:sdt>
            <w:sdt>
              <w:sdtPr>
                <w:rPr>
                  <w:sz w:val="15"/>
                  <w:szCs w:val="15"/>
                </w:rPr>
                <w:tag w:val="_PLD_c8b617c64ad64a03834695d9bc0b8d2f"/>
                <w:id w:val="6774753"/>
                <w:lock w:val="sdtLocked"/>
              </w:sdtPr>
              <w:sdtEndPr>
                <w:rPr>
                  <w:sz w:val="15"/>
                  <w:szCs w:val="15"/>
                </w:rPr>
              </w:sdtEndPr>
              <w:sdtContent>
                <w:tc>
                  <w:tcPr>
                    <w:tcW w:w="995" w:type="dxa"/>
                    <w:vAlign w:val="center"/>
                  </w:tcPr>
                  <w:p>
                    <w:pPr>
                      <w:jc w:val="center"/>
                      <w:rPr>
                        <w:sz w:val="15"/>
                        <w:szCs w:val="15"/>
                      </w:rPr>
                    </w:pPr>
                    <w:r>
                      <w:rPr>
                        <w:rFonts w:hint="eastAsia"/>
                        <w:sz w:val="15"/>
                        <w:szCs w:val="15"/>
                      </w:rPr>
                      <w:t>期末</w:t>
                    </w:r>
                  </w:p>
                  <w:p>
                    <w:pPr>
                      <w:jc w:val="center"/>
                      <w:rPr>
                        <w:sz w:val="15"/>
                        <w:szCs w:val="15"/>
                      </w:rPr>
                    </w:pPr>
                    <w:r>
                      <w:rPr>
                        <w:rFonts w:hint="eastAsia"/>
                        <w:sz w:val="15"/>
                        <w:szCs w:val="15"/>
                      </w:rPr>
                      <w:t>余额</w:t>
                    </w:r>
                  </w:p>
                </w:tc>
              </w:sdtContent>
            </w:sdt>
            <w:sdt>
              <w:sdtPr>
                <w:rPr>
                  <w:sz w:val="15"/>
                  <w:szCs w:val="15"/>
                </w:rPr>
                <w:tag w:val="_PLD_738551d97ef741f093f852402c423e47"/>
                <w:id w:val="6774754"/>
                <w:lock w:val="sdtLocked"/>
              </w:sdtPr>
              <w:sdtEndPr>
                <w:rPr>
                  <w:sz w:val="15"/>
                  <w:szCs w:val="15"/>
                </w:rPr>
              </w:sdtEndPr>
              <w:sdtContent>
                <w:tc>
                  <w:tcPr>
                    <w:tcW w:w="425" w:type="dxa"/>
                    <w:shd w:val="clear" w:color="auto" w:fill="auto"/>
                    <w:vAlign w:val="center"/>
                  </w:tcPr>
                  <w:p>
                    <w:pPr>
                      <w:jc w:val="center"/>
                      <w:rPr>
                        <w:sz w:val="15"/>
                        <w:szCs w:val="15"/>
                      </w:rPr>
                    </w:pPr>
                    <w:r>
                      <w:rPr>
                        <w:rFonts w:hint="eastAsia"/>
                        <w:sz w:val="15"/>
                        <w:szCs w:val="15"/>
                      </w:rPr>
                      <w:t>工程累计投入占预算比例(%)</w:t>
                    </w:r>
                  </w:p>
                </w:tc>
              </w:sdtContent>
            </w:sdt>
            <w:sdt>
              <w:sdtPr>
                <w:rPr>
                  <w:sz w:val="15"/>
                  <w:szCs w:val="15"/>
                </w:rPr>
                <w:tag w:val="_PLD_0f7f749f98e74f33ae9032c17002d136"/>
                <w:id w:val="6774755"/>
                <w:lock w:val="sdtLocked"/>
              </w:sdtPr>
              <w:sdtEndPr>
                <w:rPr>
                  <w:sz w:val="15"/>
                  <w:szCs w:val="15"/>
                </w:rPr>
              </w:sdtEndPr>
              <w:sdtContent>
                <w:tc>
                  <w:tcPr>
                    <w:tcW w:w="563" w:type="dxa"/>
                    <w:shd w:val="clear" w:color="auto" w:fill="auto"/>
                    <w:vAlign w:val="center"/>
                  </w:tcPr>
                  <w:p>
                    <w:pPr>
                      <w:jc w:val="center"/>
                      <w:rPr>
                        <w:sz w:val="15"/>
                        <w:szCs w:val="15"/>
                      </w:rPr>
                    </w:pPr>
                    <w:r>
                      <w:rPr>
                        <w:rFonts w:hint="eastAsia"/>
                        <w:sz w:val="15"/>
                        <w:szCs w:val="15"/>
                      </w:rPr>
                      <w:t>工程进度</w:t>
                    </w:r>
                  </w:p>
                </w:tc>
              </w:sdtContent>
            </w:sdt>
            <w:sdt>
              <w:sdtPr>
                <w:rPr>
                  <w:sz w:val="15"/>
                  <w:szCs w:val="15"/>
                </w:rPr>
                <w:tag w:val="_PLD_0b58d44121d2475586a13d1ce8eaed0a"/>
                <w:id w:val="6774756"/>
                <w:lock w:val="sdtLocked"/>
              </w:sdtPr>
              <w:sdtEndPr>
                <w:rPr>
                  <w:sz w:val="15"/>
                  <w:szCs w:val="15"/>
                </w:rPr>
              </w:sdtEndPr>
              <w:sdtContent>
                <w:tc>
                  <w:tcPr>
                    <w:tcW w:w="991" w:type="dxa"/>
                    <w:shd w:val="clear" w:color="auto" w:fill="auto"/>
                    <w:vAlign w:val="center"/>
                  </w:tcPr>
                  <w:p>
                    <w:pPr>
                      <w:jc w:val="center"/>
                      <w:rPr>
                        <w:sz w:val="15"/>
                        <w:szCs w:val="15"/>
                      </w:rPr>
                    </w:pPr>
                    <w:r>
                      <w:rPr>
                        <w:rFonts w:hint="eastAsia"/>
                        <w:sz w:val="15"/>
                        <w:szCs w:val="15"/>
                      </w:rPr>
                      <w:t>利息资本化累计金额</w:t>
                    </w:r>
                  </w:p>
                </w:tc>
              </w:sdtContent>
            </w:sdt>
            <w:sdt>
              <w:sdtPr>
                <w:rPr>
                  <w:sz w:val="15"/>
                  <w:szCs w:val="15"/>
                </w:rPr>
                <w:tag w:val="_PLD_2250f692e957437687c2cafcae1d7f81"/>
                <w:id w:val="6774757"/>
                <w:lock w:val="sdtLocked"/>
              </w:sdtPr>
              <w:sdtEndPr>
                <w:rPr>
                  <w:sz w:val="15"/>
                  <w:szCs w:val="15"/>
                </w:rPr>
              </w:sdtEndPr>
              <w:sdtContent>
                <w:tc>
                  <w:tcPr>
                    <w:tcW w:w="855" w:type="dxa"/>
                    <w:shd w:val="clear" w:color="auto" w:fill="auto"/>
                    <w:vAlign w:val="center"/>
                  </w:tcPr>
                  <w:p>
                    <w:pPr>
                      <w:jc w:val="center"/>
                      <w:rPr>
                        <w:sz w:val="15"/>
                        <w:szCs w:val="15"/>
                      </w:rPr>
                    </w:pPr>
                    <w:r>
                      <w:rPr>
                        <w:rFonts w:hint="eastAsia"/>
                        <w:sz w:val="15"/>
                        <w:szCs w:val="15"/>
                      </w:rPr>
                      <w:t>其中：本期利息资本化金额</w:t>
                    </w:r>
                  </w:p>
                </w:tc>
              </w:sdtContent>
            </w:sdt>
            <w:sdt>
              <w:sdtPr>
                <w:rPr>
                  <w:sz w:val="15"/>
                  <w:szCs w:val="15"/>
                </w:rPr>
                <w:tag w:val="_PLD_7a9834f354d948e19f071bbf4b5baafe"/>
                <w:id w:val="6774758"/>
                <w:lock w:val="sdtLocked"/>
              </w:sdtPr>
              <w:sdtEndPr>
                <w:rPr>
                  <w:sz w:val="15"/>
                  <w:szCs w:val="15"/>
                </w:rPr>
              </w:sdtEndPr>
              <w:sdtContent>
                <w:tc>
                  <w:tcPr>
                    <w:tcW w:w="708" w:type="dxa"/>
                    <w:shd w:val="clear" w:color="auto" w:fill="auto"/>
                    <w:vAlign w:val="center"/>
                  </w:tcPr>
                  <w:p>
                    <w:pPr>
                      <w:jc w:val="center"/>
                      <w:rPr>
                        <w:sz w:val="15"/>
                        <w:szCs w:val="15"/>
                      </w:rPr>
                    </w:pPr>
                    <w:r>
                      <w:rPr>
                        <w:rFonts w:hint="eastAsia"/>
                        <w:sz w:val="15"/>
                        <w:szCs w:val="15"/>
                      </w:rPr>
                      <w:t>本期利息资本化率(%)</w:t>
                    </w:r>
                  </w:p>
                </w:tc>
              </w:sdtContent>
            </w:sdt>
            <w:sdt>
              <w:sdtPr>
                <w:rPr>
                  <w:sz w:val="15"/>
                  <w:szCs w:val="15"/>
                </w:rPr>
                <w:tag w:val="_PLD_6015e39597424a7ea59d45da3ff56e99"/>
                <w:id w:val="6774759"/>
                <w:lock w:val="sdtLocked"/>
              </w:sdtPr>
              <w:sdtEndPr>
                <w:rPr>
                  <w:sz w:val="15"/>
                  <w:szCs w:val="15"/>
                </w:rPr>
              </w:sdtEndPr>
              <w:sdtContent>
                <w:tc>
                  <w:tcPr>
                    <w:tcW w:w="561" w:type="dxa"/>
                    <w:shd w:val="clear" w:color="auto" w:fill="auto"/>
                    <w:vAlign w:val="center"/>
                  </w:tcPr>
                  <w:p>
                    <w:pPr>
                      <w:jc w:val="center"/>
                      <w:rPr>
                        <w:sz w:val="15"/>
                        <w:szCs w:val="15"/>
                      </w:rPr>
                    </w:pPr>
                    <w:r>
                      <w:rPr>
                        <w:rFonts w:hint="eastAsia"/>
                        <w:sz w:val="15"/>
                        <w:szCs w:val="15"/>
                      </w:rPr>
                      <w:t>资金来源</w:t>
                    </w:r>
                  </w:p>
                </w:tc>
              </w:sdtContent>
            </w:sdt>
          </w:tr>
          <w:sdt>
            <w:sdtPr>
              <w:rPr>
                <w:rFonts w:hint="eastAsia"/>
                <w:sz w:val="15"/>
                <w:szCs w:val="15"/>
              </w:rPr>
              <w:alias w:val="在建工程明细"/>
              <w:tag w:val="_TUP_ddeb799b6fdf45e2b195807d1913c3bb"/>
              <w:id w:val="6774760"/>
              <w:lock w:val="sdtLocked"/>
            </w:sdtPr>
            <w:sdtEndPr>
              <w:rPr>
                <w:rFonts w:hint="default" w:ascii="Arial Narrow" w:hAnsi="Arial Narrow"/>
                <w:color w:val="000000" w:themeColor="text1"/>
                <w:sz w:val="15"/>
                <w:szCs w:val="15"/>
                <w14:textFill>
                  <w14:solidFill>
                    <w14:schemeClr w14:val="tx1"/>
                  </w14:solidFill>
                </w14:textFil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419" w:type="dxa"/>
                    <w:shd w:val="clear" w:color="auto" w:fill="auto"/>
                  </w:tcPr>
                  <w:p>
                    <w:pPr>
                      <w:ind w:right="105"/>
                      <w:rPr>
                        <w:sz w:val="15"/>
                        <w:szCs w:val="15"/>
                      </w:rPr>
                    </w:pPr>
                    <w:r>
                      <w:rPr>
                        <w:sz w:val="15"/>
                        <w:szCs w:val="15"/>
                      </w:rPr>
                      <w:t>2#360m2烧结机节能减排提效技术改造</w:t>
                    </w:r>
                  </w:p>
                </w:tc>
                <w:tc>
                  <w:tcPr>
                    <w:tcW w:w="1135" w:type="dxa"/>
                    <w:shd w:val="clear" w:color="auto" w:fill="auto"/>
                    <w:vAlign w:val="center"/>
                  </w:tcPr>
                  <w:p>
                    <w:pPr>
                      <w:ind w:right="105"/>
                      <w:jc w:val="right"/>
                      <w:rPr>
                        <w:rFonts w:ascii="Arial Narrow" w:hAnsi="Arial Narrow"/>
                        <w:sz w:val="15"/>
                        <w:szCs w:val="15"/>
                      </w:rPr>
                    </w:pPr>
                    <w:r>
                      <w:rPr>
                        <w:rFonts w:ascii="Arial Narrow" w:hAnsi="Arial Narrow"/>
                        <w:sz w:val="15"/>
                        <w:szCs w:val="15"/>
                      </w:rPr>
                      <w:t>45,000,000.00</w:t>
                    </w:r>
                  </w:p>
                </w:tc>
                <w:tc>
                  <w:tcPr>
                    <w:tcW w:w="991" w:type="dxa"/>
                    <w:shd w:val="clear" w:color="auto" w:fill="auto"/>
                    <w:vAlign w:val="center"/>
                  </w:tcPr>
                  <w:p>
                    <w:pPr>
                      <w:jc w:val="right"/>
                      <w:rPr>
                        <w:rFonts w:ascii="Arial Narrow" w:hAnsi="Arial Narrow"/>
                        <w:sz w:val="15"/>
                        <w:szCs w:val="15"/>
                      </w:rPr>
                    </w:pPr>
                    <w:r>
                      <w:rPr>
                        <w:rFonts w:ascii="Arial Narrow" w:hAnsi="Arial Narrow"/>
                        <w:sz w:val="15"/>
                        <w:szCs w:val="15"/>
                      </w:rPr>
                      <w:t>16,155,918.62</w:t>
                    </w:r>
                  </w:p>
                </w:tc>
                <w:tc>
                  <w:tcPr>
                    <w:tcW w:w="993" w:type="dxa"/>
                    <w:shd w:val="clear" w:color="auto" w:fill="auto"/>
                    <w:vAlign w:val="center"/>
                  </w:tcPr>
                  <w:p>
                    <w:pPr>
                      <w:ind w:right="73"/>
                      <w:jc w:val="right"/>
                      <w:rPr>
                        <w:rFonts w:ascii="Arial Narrow" w:hAnsi="Arial Narrow"/>
                        <w:sz w:val="15"/>
                        <w:szCs w:val="15"/>
                      </w:rPr>
                    </w:pPr>
                    <w:r>
                      <w:rPr>
                        <w:rFonts w:ascii="Arial Narrow" w:hAnsi="Arial Narrow"/>
                        <w:sz w:val="15"/>
                        <w:szCs w:val="15"/>
                      </w:rPr>
                      <w:t>19,943,969.07</w:t>
                    </w:r>
                  </w:p>
                </w:tc>
                <w:tc>
                  <w:tcPr>
                    <w:tcW w:w="455" w:type="dxa"/>
                    <w:shd w:val="clear" w:color="auto" w:fill="auto"/>
                    <w:vAlign w:val="center"/>
                  </w:tcPr>
                  <w:p>
                    <w:pPr>
                      <w:ind w:right="73"/>
                      <w:jc w:val="right"/>
                      <w:rPr>
                        <w:rFonts w:ascii="Arial Narrow" w:hAnsi="Arial Narrow"/>
                        <w:sz w:val="15"/>
                        <w:szCs w:val="15"/>
                      </w:rPr>
                    </w:pPr>
                  </w:p>
                </w:tc>
                <w:tc>
                  <w:tcPr>
                    <w:tcW w:w="540" w:type="dxa"/>
                    <w:shd w:val="clear" w:color="auto" w:fill="auto"/>
                    <w:vAlign w:val="center"/>
                  </w:tcPr>
                  <w:p>
                    <w:pPr>
                      <w:jc w:val="right"/>
                      <w:rPr>
                        <w:rFonts w:ascii="Arial Narrow" w:hAnsi="Arial Narrow"/>
                        <w:sz w:val="15"/>
                        <w:szCs w:val="15"/>
                      </w:rPr>
                    </w:pPr>
                  </w:p>
                </w:tc>
                <w:tc>
                  <w:tcPr>
                    <w:tcW w:w="995" w:type="dxa"/>
                    <w:vAlign w:val="center"/>
                  </w:tcPr>
                  <w:p>
                    <w:pPr>
                      <w:jc w:val="right"/>
                      <w:rPr>
                        <w:rFonts w:ascii="Arial Narrow" w:hAnsi="Arial Narrow"/>
                        <w:sz w:val="15"/>
                        <w:szCs w:val="15"/>
                      </w:rPr>
                    </w:pPr>
                    <w:r>
                      <w:rPr>
                        <w:rFonts w:ascii="Arial Narrow" w:hAnsi="Arial Narrow"/>
                        <w:sz w:val="15"/>
                        <w:szCs w:val="15"/>
                      </w:rPr>
                      <w:t>36,099,887.69</w:t>
                    </w:r>
                  </w:p>
                </w:tc>
                <w:tc>
                  <w:tcPr>
                    <w:tcW w:w="425" w:type="dxa"/>
                    <w:shd w:val="clear" w:color="auto" w:fill="auto"/>
                    <w:vAlign w:val="center"/>
                  </w:tcPr>
                  <w:p>
                    <w:pPr>
                      <w:jc w:val="right"/>
                      <w:rPr>
                        <w:rFonts w:ascii="Arial Narrow" w:hAnsi="Arial Narrow"/>
                        <w:sz w:val="15"/>
                        <w:szCs w:val="15"/>
                      </w:rPr>
                    </w:pPr>
                    <w:r>
                      <w:rPr>
                        <w:rFonts w:ascii="Arial Narrow" w:hAnsi="Arial Narrow"/>
                        <w:sz w:val="15"/>
                        <w:szCs w:val="15"/>
                      </w:rPr>
                      <w:t>80</w:t>
                    </w:r>
                  </w:p>
                </w:tc>
                <w:tc>
                  <w:tcPr>
                    <w:tcW w:w="563" w:type="dxa"/>
                    <w:shd w:val="clear" w:color="auto" w:fill="auto"/>
                    <w:vAlign w:val="center"/>
                  </w:tcPr>
                  <w:p>
                    <w:pPr>
                      <w:jc w:val="right"/>
                      <w:rPr>
                        <w:rFonts w:ascii="Arial Narrow" w:hAnsi="Arial Narrow"/>
                        <w:sz w:val="15"/>
                        <w:szCs w:val="15"/>
                      </w:rPr>
                    </w:pPr>
                    <w:r>
                      <w:rPr>
                        <w:rFonts w:ascii="Arial Narrow" w:hAnsi="Arial Narrow"/>
                        <w:sz w:val="15"/>
                        <w:szCs w:val="15"/>
                      </w:rPr>
                      <w:t>85%</w:t>
                    </w:r>
                  </w:p>
                </w:tc>
                <w:tc>
                  <w:tcPr>
                    <w:tcW w:w="991" w:type="dxa"/>
                    <w:shd w:val="clear" w:color="auto" w:fill="auto"/>
                    <w:vAlign w:val="center"/>
                  </w:tcPr>
                  <w:p>
                    <w:pPr>
                      <w:jc w:val="right"/>
                      <w:rPr>
                        <w:rFonts w:ascii="Arial Narrow" w:hAnsi="Arial Narrow"/>
                        <w:sz w:val="15"/>
                        <w:szCs w:val="15"/>
                      </w:rPr>
                    </w:pPr>
                    <w:r>
                      <w:rPr>
                        <w:rFonts w:ascii="Arial Narrow" w:hAnsi="Arial Narrow"/>
                        <w:sz w:val="15"/>
                        <w:szCs w:val="15"/>
                      </w:rPr>
                      <w:t>1,448,921.95</w:t>
                    </w:r>
                  </w:p>
                </w:tc>
                <w:tc>
                  <w:tcPr>
                    <w:tcW w:w="855" w:type="dxa"/>
                    <w:shd w:val="clear" w:color="auto" w:fill="auto"/>
                    <w:vAlign w:val="center"/>
                  </w:tcPr>
                  <w:p>
                    <w:pPr>
                      <w:jc w:val="right"/>
                      <w:rPr>
                        <w:rFonts w:ascii="Arial Narrow" w:hAnsi="Arial Narrow"/>
                        <w:sz w:val="15"/>
                        <w:szCs w:val="15"/>
                      </w:rPr>
                    </w:pPr>
                    <w:r>
                      <w:rPr>
                        <w:rFonts w:ascii="Arial Narrow" w:hAnsi="Arial Narrow"/>
                        <w:sz w:val="15"/>
                        <w:szCs w:val="15"/>
                      </w:rPr>
                      <w:t>1,180,199.77</w:t>
                    </w:r>
                  </w:p>
                </w:tc>
                <w:tc>
                  <w:tcPr>
                    <w:tcW w:w="708" w:type="dxa"/>
                    <w:shd w:val="clear" w:color="auto" w:fill="auto"/>
                    <w:vAlign w:val="center"/>
                  </w:tcPr>
                  <w:p>
                    <w:pPr>
                      <w:jc w:val="right"/>
                      <w:rPr>
                        <w:rFonts w:ascii="Arial Narrow" w:hAnsi="Arial Narrow"/>
                        <w:color w:val="000000" w:themeColor="text1"/>
                        <w:sz w:val="15"/>
                        <w:szCs w:val="15"/>
                        <w14:textFill>
                          <w14:solidFill>
                            <w14:schemeClr w14:val="tx1"/>
                          </w14:solidFill>
                        </w14:textFill>
                      </w:rPr>
                    </w:pPr>
                    <w:r>
                      <w:rPr>
                        <w:rFonts w:hint="eastAsia" w:ascii="Arial Narrow" w:hAnsi="Arial Narrow"/>
                        <w:color w:val="000000" w:themeColor="text1"/>
                        <w:sz w:val="15"/>
                        <w:szCs w:val="15"/>
                        <w14:textFill>
                          <w14:solidFill>
                            <w14:schemeClr w14:val="tx1"/>
                          </w14:solidFill>
                        </w14:textFill>
                      </w:rPr>
                      <w:t>4.77</w:t>
                    </w:r>
                  </w:p>
                </w:tc>
                <w:tc>
                  <w:tcPr>
                    <w:tcW w:w="561" w:type="dxa"/>
                    <w:shd w:val="clear" w:color="auto" w:fill="auto"/>
                    <w:vAlign w:val="center"/>
                  </w:tcPr>
                  <w:p>
                    <w:pPr>
                      <w:jc w:val="right"/>
                      <w:rPr>
                        <w:rFonts w:ascii="Arial Narrow" w:hAnsi="Arial Narrow"/>
                        <w:color w:val="000000" w:themeColor="text1"/>
                        <w:sz w:val="15"/>
                        <w:szCs w:val="15"/>
                        <w14:textFill>
                          <w14:solidFill>
                            <w14:schemeClr w14:val="tx1"/>
                          </w14:solidFill>
                        </w14:textFill>
                      </w:rPr>
                    </w:pPr>
                    <w:r>
                      <w:rPr>
                        <w:rFonts w:ascii="Arial Narrow" w:hAnsi="Arial Narrow"/>
                        <w:color w:val="000000" w:themeColor="text1"/>
                        <w:sz w:val="15"/>
                        <w:szCs w:val="15"/>
                        <w14:textFill>
                          <w14:solidFill>
                            <w14:schemeClr w14:val="tx1"/>
                          </w14:solidFill>
                        </w14:textFill>
                      </w:rPr>
                      <w:t>自筹</w:t>
                    </w:r>
                  </w:p>
                </w:tc>
              </w:tr>
            </w:sdtContent>
          </w:sdt>
          <w:sdt>
            <w:sdtPr>
              <w:rPr>
                <w:rFonts w:hint="eastAsia"/>
                <w:sz w:val="15"/>
                <w:szCs w:val="15"/>
              </w:rPr>
              <w:alias w:val="在建工程明细"/>
              <w:tag w:val="_TUP_ddeb799b6fdf45e2b195807d1913c3bb"/>
              <w:id w:val="6774761"/>
              <w:lock w:val="sdtLocked"/>
            </w:sdtPr>
            <w:sdtEndPr>
              <w:rPr>
                <w:rFonts w:hint="default" w:ascii="Arial Narrow" w:hAnsi="Arial Narrow"/>
                <w:color w:val="000000" w:themeColor="text1"/>
                <w:sz w:val="15"/>
                <w:szCs w:val="15"/>
                <w14:textFill>
                  <w14:solidFill>
                    <w14:schemeClr w14:val="tx1"/>
                  </w14:solidFill>
                </w14:textFil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419" w:type="dxa"/>
                    <w:shd w:val="clear" w:color="auto" w:fill="auto"/>
                  </w:tcPr>
                  <w:p>
                    <w:pPr>
                      <w:ind w:right="105"/>
                      <w:rPr>
                        <w:sz w:val="15"/>
                        <w:szCs w:val="15"/>
                      </w:rPr>
                    </w:pPr>
                    <w:r>
                      <w:rPr>
                        <w:sz w:val="15"/>
                        <w:szCs w:val="15"/>
                      </w:rPr>
                      <w:t>辅材物流水渣输送系统工程</w:t>
                    </w:r>
                  </w:p>
                </w:tc>
                <w:tc>
                  <w:tcPr>
                    <w:tcW w:w="1135" w:type="dxa"/>
                    <w:shd w:val="clear" w:color="auto" w:fill="auto"/>
                    <w:vAlign w:val="center"/>
                  </w:tcPr>
                  <w:p>
                    <w:pPr>
                      <w:ind w:right="105"/>
                      <w:jc w:val="right"/>
                      <w:rPr>
                        <w:rFonts w:ascii="Arial Narrow" w:hAnsi="Arial Narrow"/>
                        <w:sz w:val="15"/>
                        <w:szCs w:val="15"/>
                      </w:rPr>
                    </w:pPr>
                    <w:r>
                      <w:rPr>
                        <w:rFonts w:ascii="Arial Narrow" w:hAnsi="Arial Narrow"/>
                        <w:sz w:val="15"/>
                        <w:szCs w:val="15"/>
                      </w:rPr>
                      <w:t>78,000,000.00</w:t>
                    </w:r>
                  </w:p>
                </w:tc>
                <w:tc>
                  <w:tcPr>
                    <w:tcW w:w="991" w:type="dxa"/>
                    <w:shd w:val="clear" w:color="auto" w:fill="auto"/>
                    <w:vAlign w:val="center"/>
                  </w:tcPr>
                  <w:p>
                    <w:pPr>
                      <w:jc w:val="right"/>
                      <w:rPr>
                        <w:rFonts w:ascii="Arial Narrow" w:hAnsi="Arial Narrow"/>
                        <w:sz w:val="15"/>
                        <w:szCs w:val="15"/>
                      </w:rPr>
                    </w:pPr>
                    <w:r>
                      <w:rPr>
                        <w:rFonts w:ascii="Arial Narrow" w:hAnsi="Arial Narrow"/>
                        <w:sz w:val="15"/>
                        <w:szCs w:val="15"/>
                      </w:rPr>
                      <w:t>16,618,768.12</w:t>
                    </w:r>
                  </w:p>
                </w:tc>
                <w:tc>
                  <w:tcPr>
                    <w:tcW w:w="993" w:type="dxa"/>
                    <w:shd w:val="clear" w:color="auto" w:fill="auto"/>
                    <w:vAlign w:val="center"/>
                  </w:tcPr>
                  <w:p>
                    <w:pPr>
                      <w:ind w:right="73"/>
                      <w:jc w:val="right"/>
                      <w:rPr>
                        <w:rFonts w:ascii="Arial Narrow" w:hAnsi="Arial Narrow"/>
                        <w:sz w:val="15"/>
                        <w:szCs w:val="15"/>
                      </w:rPr>
                    </w:pPr>
                    <w:r>
                      <w:rPr>
                        <w:rFonts w:ascii="Arial Narrow" w:hAnsi="Arial Narrow"/>
                        <w:sz w:val="15"/>
                        <w:szCs w:val="15"/>
                      </w:rPr>
                      <w:t>32,601,110.69</w:t>
                    </w:r>
                  </w:p>
                </w:tc>
                <w:tc>
                  <w:tcPr>
                    <w:tcW w:w="455" w:type="dxa"/>
                    <w:shd w:val="clear" w:color="auto" w:fill="auto"/>
                    <w:vAlign w:val="center"/>
                  </w:tcPr>
                  <w:p>
                    <w:pPr>
                      <w:ind w:right="73"/>
                      <w:jc w:val="right"/>
                      <w:rPr>
                        <w:rFonts w:ascii="Arial Narrow" w:hAnsi="Arial Narrow"/>
                        <w:sz w:val="15"/>
                        <w:szCs w:val="15"/>
                      </w:rPr>
                    </w:pPr>
                  </w:p>
                </w:tc>
                <w:tc>
                  <w:tcPr>
                    <w:tcW w:w="540" w:type="dxa"/>
                    <w:shd w:val="clear" w:color="auto" w:fill="auto"/>
                    <w:vAlign w:val="center"/>
                  </w:tcPr>
                  <w:p>
                    <w:pPr>
                      <w:jc w:val="right"/>
                      <w:rPr>
                        <w:rFonts w:ascii="Arial Narrow" w:hAnsi="Arial Narrow"/>
                        <w:sz w:val="15"/>
                        <w:szCs w:val="15"/>
                      </w:rPr>
                    </w:pPr>
                  </w:p>
                </w:tc>
                <w:tc>
                  <w:tcPr>
                    <w:tcW w:w="995" w:type="dxa"/>
                    <w:vAlign w:val="center"/>
                  </w:tcPr>
                  <w:p>
                    <w:pPr>
                      <w:jc w:val="right"/>
                      <w:rPr>
                        <w:rFonts w:ascii="Arial Narrow" w:hAnsi="Arial Narrow"/>
                        <w:sz w:val="15"/>
                        <w:szCs w:val="15"/>
                      </w:rPr>
                    </w:pPr>
                    <w:r>
                      <w:rPr>
                        <w:rFonts w:ascii="Arial Narrow" w:hAnsi="Arial Narrow"/>
                        <w:sz w:val="15"/>
                        <w:szCs w:val="15"/>
                      </w:rPr>
                      <w:t>49,219,878.81</w:t>
                    </w:r>
                  </w:p>
                </w:tc>
                <w:tc>
                  <w:tcPr>
                    <w:tcW w:w="425" w:type="dxa"/>
                    <w:shd w:val="clear" w:color="auto" w:fill="auto"/>
                    <w:vAlign w:val="center"/>
                  </w:tcPr>
                  <w:p>
                    <w:pPr>
                      <w:jc w:val="right"/>
                      <w:rPr>
                        <w:rFonts w:ascii="Arial Narrow" w:hAnsi="Arial Narrow"/>
                        <w:sz w:val="15"/>
                        <w:szCs w:val="15"/>
                      </w:rPr>
                    </w:pPr>
                    <w:r>
                      <w:rPr>
                        <w:rFonts w:ascii="Arial Narrow" w:hAnsi="Arial Narrow"/>
                        <w:sz w:val="15"/>
                        <w:szCs w:val="15"/>
                      </w:rPr>
                      <w:t>50</w:t>
                    </w:r>
                  </w:p>
                </w:tc>
                <w:tc>
                  <w:tcPr>
                    <w:tcW w:w="563" w:type="dxa"/>
                    <w:shd w:val="clear" w:color="auto" w:fill="auto"/>
                    <w:vAlign w:val="center"/>
                  </w:tcPr>
                  <w:p>
                    <w:pPr>
                      <w:jc w:val="right"/>
                      <w:rPr>
                        <w:rFonts w:ascii="Arial Narrow" w:hAnsi="Arial Narrow"/>
                        <w:sz w:val="15"/>
                        <w:szCs w:val="15"/>
                      </w:rPr>
                    </w:pPr>
                    <w:r>
                      <w:rPr>
                        <w:rFonts w:ascii="Arial Narrow" w:hAnsi="Arial Narrow"/>
                        <w:sz w:val="15"/>
                        <w:szCs w:val="15"/>
                      </w:rPr>
                      <w:t>60%</w:t>
                    </w:r>
                  </w:p>
                </w:tc>
                <w:tc>
                  <w:tcPr>
                    <w:tcW w:w="991" w:type="dxa"/>
                    <w:shd w:val="clear" w:color="auto" w:fill="auto"/>
                    <w:vAlign w:val="center"/>
                  </w:tcPr>
                  <w:p>
                    <w:pPr>
                      <w:jc w:val="right"/>
                      <w:rPr>
                        <w:rFonts w:ascii="Arial Narrow" w:hAnsi="Arial Narrow"/>
                        <w:sz w:val="15"/>
                        <w:szCs w:val="15"/>
                      </w:rPr>
                    </w:pPr>
                    <w:r>
                      <w:rPr>
                        <w:rFonts w:ascii="Arial Narrow" w:hAnsi="Arial Narrow"/>
                        <w:sz w:val="15"/>
                        <w:szCs w:val="15"/>
                      </w:rPr>
                      <w:t>2,075,829.38</w:t>
                    </w:r>
                  </w:p>
                </w:tc>
                <w:tc>
                  <w:tcPr>
                    <w:tcW w:w="855" w:type="dxa"/>
                    <w:shd w:val="clear" w:color="auto" w:fill="auto"/>
                    <w:vAlign w:val="center"/>
                  </w:tcPr>
                  <w:p>
                    <w:pPr>
                      <w:jc w:val="right"/>
                      <w:rPr>
                        <w:rFonts w:ascii="Arial Narrow" w:hAnsi="Arial Narrow"/>
                        <w:sz w:val="15"/>
                        <w:szCs w:val="15"/>
                      </w:rPr>
                    </w:pPr>
                    <w:r>
                      <w:rPr>
                        <w:rFonts w:ascii="Arial Narrow" w:hAnsi="Arial Narrow"/>
                        <w:sz w:val="15"/>
                        <w:szCs w:val="15"/>
                      </w:rPr>
                      <w:t>1,642,861.08</w:t>
                    </w:r>
                  </w:p>
                </w:tc>
                <w:tc>
                  <w:tcPr>
                    <w:tcW w:w="708" w:type="dxa"/>
                    <w:shd w:val="clear" w:color="auto" w:fill="auto"/>
                    <w:vAlign w:val="center"/>
                  </w:tcPr>
                  <w:p>
                    <w:pPr>
                      <w:jc w:val="right"/>
                      <w:rPr>
                        <w:rFonts w:ascii="Arial Narrow" w:hAnsi="Arial Narrow"/>
                        <w:color w:val="000000" w:themeColor="text1"/>
                        <w:sz w:val="15"/>
                        <w:szCs w:val="15"/>
                        <w14:textFill>
                          <w14:solidFill>
                            <w14:schemeClr w14:val="tx1"/>
                          </w14:solidFill>
                        </w14:textFill>
                      </w:rPr>
                    </w:pPr>
                    <w:r>
                      <w:rPr>
                        <w:rFonts w:hint="eastAsia" w:ascii="Arial Narrow" w:hAnsi="Arial Narrow"/>
                        <w:color w:val="000000" w:themeColor="text1"/>
                        <w:sz w:val="15"/>
                        <w:szCs w:val="15"/>
                        <w14:textFill>
                          <w14:solidFill>
                            <w14:schemeClr w14:val="tx1"/>
                          </w14:solidFill>
                        </w14:textFill>
                      </w:rPr>
                      <w:t>4.80</w:t>
                    </w:r>
                  </w:p>
                </w:tc>
                <w:tc>
                  <w:tcPr>
                    <w:tcW w:w="561" w:type="dxa"/>
                    <w:shd w:val="clear" w:color="auto" w:fill="auto"/>
                    <w:vAlign w:val="center"/>
                  </w:tcPr>
                  <w:p>
                    <w:pPr>
                      <w:jc w:val="right"/>
                      <w:rPr>
                        <w:rFonts w:ascii="Arial Narrow" w:hAnsi="Arial Narrow"/>
                        <w:color w:val="000000" w:themeColor="text1"/>
                        <w:sz w:val="15"/>
                        <w:szCs w:val="15"/>
                        <w14:textFill>
                          <w14:solidFill>
                            <w14:schemeClr w14:val="tx1"/>
                          </w14:solidFill>
                        </w14:textFill>
                      </w:rPr>
                    </w:pPr>
                    <w:r>
                      <w:rPr>
                        <w:rFonts w:ascii="Arial Narrow" w:hAnsi="Arial Narrow"/>
                        <w:color w:val="000000" w:themeColor="text1"/>
                        <w:sz w:val="15"/>
                        <w:szCs w:val="15"/>
                        <w14:textFill>
                          <w14:solidFill>
                            <w14:schemeClr w14:val="tx1"/>
                          </w14:solidFill>
                        </w14:textFill>
                      </w:rPr>
                      <w:t>自筹</w:t>
                    </w:r>
                  </w:p>
                </w:tc>
              </w:tr>
            </w:sdtContent>
          </w:sdt>
          <w:sdt>
            <w:sdtPr>
              <w:rPr>
                <w:rFonts w:hint="eastAsia"/>
                <w:sz w:val="15"/>
                <w:szCs w:val="15"/>
              </w:rPr>
              <w:alias w:val="在建工程明细"/>
              <w:tag w:val="_TUP_ddeb799b6fdf45e2b195807d1913c3bb"/>
              <w:id w:val="6774762"/>
              <w:lock w:val="sdtLocked"/>
            </w:sdtPr>
            <w:sdtEndPr>
              <w:rPr>
                <w:rFonts w:hint="default" w:ascii="Arial Narrow" w:hAnsi="Arial Narrow"/>
                <w:color w:val="000000" w:themeColor="text1"/>
                <w:sz w:val="15"/>
                <w:szCs w:val="15"/>
                <w14:textFill>
                  <w14:solidFill>
                    <w14:schemeClr w14:val="tx1"/>
                  </w14:solidFill>
                </w14:textFil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419" w:type="dxa"/>
                    <w:shd w:val="clear" w:color="auto" w:fill="auto"/>
                  </w:tcPr>
                  <w:p>
                    <w:pPr>
                      <w:ind w:right="105"/>
                      <w:rPr>
                        <w:sz w:val="15"/>
                        <w:szCs w:val="15"/>
                      </w:rPr>
                    </w:pPr>
                    <w:r>
                      <w:rPr>
                        <w:sz w:val="15"/>
                        <w:szCs w:val="15"/>
                      </w:rPr>
                      <w:t>矿石物流站工程</w:t>
                    </w:r>
                  </w:p>
                </w:tc>
                <w:tc>
                  <w:tcPr>
                    <w:tcW w:w="1135" w:type="dxa"/>
                    <w:shd w:val="clear" w:color="auto" w:fill="auto"/>
                    <w:vAlign w:val="center"/>
                  </w:tcPr>
                  <w:p>
                    <w:pPr>
                      <w:ind w:right="105"/>
                      <w:jc w:val="right"/>
                      <w:rPr>
                        <w:rFonts w:ascii="Arial Narrow" w:hAnsi="Arial Narrow"/>
                        <w:sz w:val="15"/>
                        <w:szCs w:val="15"/>
                      </w:rPr>
                    </w:pPr>
                    <w:r>
                      <w:rPr>
                        <w:rFonts w:ascii="Arial Narrow" w:hAnsi="Arial Narrow"/>
                        <w:sz w:val="15"/>
                        <w:szCs w:val="15"/>
                      </w:rPr>
                      <w:t>120,000,000.00</w:t>
                    </w:r>
                  </w:p>
                </w:tc>
                <w:tc>
                  <w:tcPr>
                    <w:tcW w:w="991" w:type="dxa"/>
                    <w:shd w:val="clear" w:color="auto" w:fill="auto"/>
                    <w:vAlign w:val="center"/>
                  </w:tcPr>
                  <w:p>
                    <w:pPr>
                      <w:jc w:val="right"/>
                      <w:rPr>
                        <w:rFonts w:ascii="Arial Narrow" w:hAnsi="Arial Narrow"/>
                        <w:sz w:val="15"/>
                        <w:szCs w:val="15"/>
                      </w:rPr>
                    </w:pPr>
                    <w:r>
                      <w:rPr>
                        <w:rFonts w:ascii="Arial Narrow" w:hAnsi="Arial Narrow"/>
                        <w:sz w:val="15"/>
                        <w:szCs w:val="15"/>
                      </w:rPr>
                      <w:t>73,133,806.20</w:t>
                    </w:r>
                  </w:p>
                </w:tc>
                <w:tc>
                  <w:tcPr>
                    <w:tcW w:w="993" w:type="dxa"/>
                    <w:shd w:val="clear" w:color="auto" w:fill="auto"/>
                    <w:vAlign w:val="center"/>
                  </w:tcPr>
                  <w:p>
                    <w:pPr>
                      <w:ind w:right="73"/>
                      <w:jc w:val="right"/>
                      <w:rPr>
                        <w:rFonts w:ascii="Arial Narrow" w:hAnsi="Arial Narrow"/>
                        <w:sz w:val="15"/>
                        <w:szCs w:val="15"/>
                      </w:rPr>
                    </w:pPr>
                    <w:r>
                      <w:rPr>
                        <w:rFonts w:ascii="Arial Narrow" w:hAnsi="Arial Narrow"/>
                        <w:sz w:val="15"/>
                        <w:szCs w:val="15"/>
                      </w:rPr>
                      <w:t>15,856,176.54</w:t>
                    </w:r>
                  </w:p>
                </w:tc>
                <w:tc>
                  <w:tcPr>
                    <w:tcW w:w="455" w:type="dxa"/>
                    <w:shd w:val="clear" w:color="auto" w:fill="auto"/>
                    <w:vAlign w:val="center"/>
                  </w:tcPr>
                  <w:p>
                    <w:pPr>
                      <w:ind w:right="73"/>
                      <w:jc w:val="right"/>
                      <w:rPr>
                        <w:rFonts w:ascii="Arial Narrow" w:hAnsi="Arial Narrow"/>
                        <w:sz w:val="15"/>
                        <w:szCs w:val="15"/>
                      </w:rPr>
                    </w:pPr>
                  </w:p>
                </w:tc>
                <w:tc>
                  <w:tcPr>
                    <w:tcW w:w="540" w:type="dxa"/>
                    <w:shd w:val="clear" w:color="auto" w:fill="auto"/>
                    <w:vAlign w:val="center"/>
                  </w:tcPr>
                  <w:p>
                    <w:pPr>
                      <w:jc w:val="right"/>
                      <w:rPr>
                        <w:rFonts w:ascii="Arial Narrow" w:hAnsi="Arial Narrow"/>
                        <w:sz w:val="15"/>
                        <w:szCs w:val="15"/>
                      </w:rPr>
                    </w:pPr>
                  </w:p>
                </w:tc>
                <w:tc>
                  <w:tcPr>
                    <w:tcW w:w="995" w:type="dxa"/>
                    <w:vAlign w:val="center"/>
                  </w:tcPr>
                  <w:p>
                    <w:pPr>
                      <w:jc w:val="right"/>
                      <w:rPr>
                        <w:rFonts w:ascii="Arial Narrow" w:hAnsi="Arial Narrow"/>
                        <w:sz w:val="15"/>
                        <w:szCs w:val="15"/>
                      </w:rPr>
                    </w:pPr>
                    <w:r>
                      <w:rPr>
                        <w:rFonts w:ascii="Arial Narrow" w:hAnsi="Arial Narrow"/>
                        <w:sz w:val="15"/>
                        <w:szCs w:val="15"/>
                      </w:rPr>
                      <w:t>88,989,982.74</w:t>
                    </w:r>
                  </w:p>
                </w:tc>
                <w:tc>
                  <w:tcPr>
                    <w:tcW w:w="425" w:type="dxa"/>
                    <w:shd w:val="clear" w:color="auto" w:fill="auto"/>
                    <w:vAlign w:val="center"/>
                  </w:tcPr>
                  <w:p>
                    <w:pPr>
                      <w:jc w:val="right"/>
                      <w:rPr>
                        <w:rFonts w:ascii="Arial Narrow" w:hAnsi="Arial Narrow"/>
                        <w:sz w:val="15"/>
                        <w:szCs w:val="15"/>
                      </w:rPr>
                    </w:pPr>
                    <w:r>
                      <w:rPr>
                        <w:rFonts w:ascii="Arial Narrow" w:hAnsi="Arial Narrow"/>
                        <w:sz w:val="15"/>
                        <w:szCs w:val="15"/>
                      </w:rPr>
                      <w:t>80</w:t>
                    </w:r>
                  </w:p>
                </w:tc>
                <w:tc>
                  <w:tcPr>
                    <w:tcW w:w="563" w:type="dxa"/>
                    <w:shd w:val="clear" w:color="auto" w:fill="auto"/>
                    <w:vAlign w:val="center"/>
                  </w:tcPr>
                  <w:p>
                    <w:pPr>
                      <w:jc w:val="right"/>
                      <w:rPr>
                        <w:rFonts w:ascii="Arial Narrow" w:hAnsi="Arial Narrow"/>
                        <w:sz w:val="15"/>
                        <w:szCs w:val="15"/>
                      </w:rPr>
                    </w:pPr>
                    <w:r>
                      <w:rPr>
                        <w:rFonts w:ascii="Arial Narrow" w:hAnsi="Arial Narrow"/>
                        <w:sz w:val="15"/>
                        <w:szCs w:val="15"/>
                      </w:rPr>
                      <w:t>80%</w:t>
                    </w:r>
                  </w:p>
                </w:tc>
                <w:tc>
                  <w:tcPr>
                    <w:tcW w:w="991" w:type="dxa"/>
                    <w:shd w:val="clear" w:color="auto" w:fill="auto"/>
                    <w:vAlign w:val="center"/>
                  </w:tcPr>
                  <w:p>
                    <w:pPr>
                      <w:jc w:val="right"/>
                      <w:rPr>
                        <w:rFonts w:ascii="Arial Narrow" w:hAnsi="Arial Narrow"/>
                        <w:sz w:val="15"/>
                        <w:szCs w:val="15"/>
                      </w:rPr>
                    </w:pPr>
                    <w:r>
                      <w:rPr>
                        <w:rFonts w:ascii="Arial Narrow" w:hAnsi="Arial Narrow"/>
                        <w:sz w:val="15"/>
                        <w:szCs w:val="15"/>
                      </w:rPr>
                      <w:t>4,138,226.65</w:t>
                    </w:r>
                  </w:p>
                </w:tc>
                <w:tc>
                  <w:tcPr>
                    <w:tcW w:w="855" w:type="dxa"/>
                    <w:shd w:val="clear" w:color="auto" w:fill="auto"/>
                    <w:vAlign w:val="center"/>
                  </w:tcPr>
                  <w:p>
                    <w:pPr>
                      <w:jc w:val="right"/>
                      <w:rPr>
                        <w:rFonts w:ascii="Arial Narrow" w:hAnsi="Arial Narrow"/>
                        <w:sz w:val="15"/>
                        <w:szCs w:val="15"/>
                      </w:rPr>
                    </w:pPr>
                    <w:r>
                      <w:rPr>
                        <w:rFonts w:ascii="Arial Narrow" w:hAnsi="Arial Narrow"/>
                        <w:sz w:val="15"/>
                        <w:szCs w:val="15"/>
                      </w:rPr>
                      <w:t>3,403,470.93</w:t>
                    </w:r>
                  </w:p>
                </w:tc>
                <w:tc>
                  <w:tcPr>
                    <w:tcW w:w="708" w:type="dxa"/>
                    <w:shd w:val="clear" w:color="auto" w:fill="auto"/>
                    <w:vAlign w:val="center"/>
                  </w:tcPr>
                  <w:p>
                    <w:pPr>
                      <w:jc w:val="right"/>
                      <w:rPr>
                        <w:rFonts w:ascii="Arial Narrow" w:hAnsi="Arial Narrow"/>
                        <w:color w:val="000000" w:themeColor="text1"/>
                        <w:sz w:val="15"/>
                        <w:szCs w:val="15"/>
                        <w14:textFill>
                          <w14:solidFill>
                            <w14:schemeClr w14:val="tx1"/>
                          </w14:solidFill>
                        </w14:textFill>
                      </w:rPr>
                    </w:pPr>
                    <w:r>
                      <w:rPr>
                        <w:rFonts w:hint="eastAsia" w:ascii="Arial Narrow" w:hAnsi="Arial Narrow"/>
                        <w:color w:val="000000" w:themeColor="text1"/>
                        <w:sz w:val="15"/>
                        <w:szCs w:val="15"/>
                        <w14:textFill>
                          <w14:solidFill>
                            <w14:schemeClr w14:val="tx1"/>
                          </w14:solidFill>
                        </w14:textFill>
                      </w:rPr>
                      <w:t>4.94</w:t>
                    </w:r>
                  </w:p>
                </w:tc>
                <w:tc>
                  <w:tcPr>
                    <w:tcW w:w="561" w:type="dxa"/>
                    <w:shd w:val="clear" w:color="auto" w:fill="auto"/>
                    <w:vAlign w:val="center"/>
                  </w:tcPr>
                  <w:p>
                    <w:pPr>
                      <w:jc w:val="right"/>
                      <w:rPr>
                        <w:rFonts w:ascii="Arial Narrow" w:hAnsi="Arial Narrow"/>
                        <w:color w:val="000000" w:themeColor="text1"/>
                        <w:sz w:val="15"/>
                        <w:szCs w:val="15"/>
                        <w14:textFill>
                          <w14:solidFill>
                            <w14:schemeClr w14:val="tx1"/>
                          </w14:solidFill>
                        </w14:textFill>
                      </w:rPr>
                    </w:pPr>
                    <w:r>
                      <w:rPr>
                        <w:rFonts w:ascii="Arial Narrow" w:hAnsi="Arial Narrow"/>
                        <w:color w:val="000000" w:themeColor="text1"/>
                        <w:sz w:val="15"/>
                        <w:szCs w:val="15"/>
                        <w14:textFill>
                          <w14:solidFill>
                            <w14:schemeClr w14:val="tx1"/>
                          </w14:solidFill>
                        </w14:textFill>
                      </w:rPr>
                      <w:t>自筹</w:t>
                    </w:r>
                  </w:p>
                </w:tc>
              </w:tr>
            </w:sdtContent>
          </w:sdt>
          <w:sdt>
            <w:sdtPr>
              <w:rPr>
                <w:rFonts w:hint="eastAsia"/>
                <w:sz w:val="15"/>
                <w:szCs w:val="15"/>
              </w:rPr>
              <w:alias w:val="在建工程明细"/>
              <w:tag w:val="_TUP_ddeb799b6fdf45e2b195807d1913c3bb"/>
              <w:id w:val="6774763"/>
              <w:lock w:val="sdtLocked"/>
            </w:sdtPr>
            <w:sdtEndPr>
              <w:rPr>
                <w:rFonts w:hint="default" w:ascii="Arial Narrow" w:hAnsi="Arial Narrow"/>
                <w:color w:val="000000" w:themeColor="text1"/>
                <w:sz w:val="15"/>
                <w:szCs w:val="15"/>
                <w14:textFill>
                  <w14:solidFill>
                    <w14:schemeClr w14:val="tx1"/>
                  </w14:solidFill>
                </w14:textFil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419" w:type="dxa"/>
                    <w:shd w:val="clear" w:color="auto" w:fill="auto"/>
                  </w:tcPr>
                  <w:p>
                    <w:pPr>
                      <w:ind w:right="105"/>
                      <w:rPr>
                        <w:sz w:val="15"/>
                        <w:szCs w:val="15"/>
                      </w:rPr>
                    </w:pPr>
                    <w:r>
                      <w:rPr>
                        <w:sz w:val="15"/>
                        <w:szCs w:val="15"/>
                      </w:rPr>
                      <w:t>6号高炉性能恢复改造项目</w:t>
                    </w:r>
                  </w:p>
                </w:tc>
                <w:tc>
                  <w:tcPr>
                    <w:tcW w:w="1135" w:type="dxa"/>
                    <w:shd w:val="clear" w:color="auto" w:fill="auto"/>
                    <w:vAlign w:val="center"/>
                  </w:tcPr>
                  <w:p>
                    <w:pPr>
                      <w:ind w:right="105"/>
                      <w:jc w:val="right"/>
                      <w:rPr>
                        <w:rFonts w:ascii="Arial Narrow" w:hAnsi="Arial Narrow"/>
                        <w:sz w:val="15"/>
                        <w:szCs w:val="15"/>
                      </w:rPr>
                    </w:pPr>
                    <w:r>
                      <w:rPr>
                        <w:rFonts w:ascii="Arial Narrow" w:hAnsi="Arial Narrow"/>
                        <w:sz w:val="15"/>
                        <w:szCs w:val="15"/>
                      </w:rPr>
                      <w:t>20,000,000.00</w:t>
                    </w:r>
                  </w:p>
                </w:tc>
                <w:tc>
                  <w:tcPr>
                    <w:tcW w:w="991" w:type="dxa"/>
                    <w:shd w:val="clear" w:color="auto" w:fill="auto"/>
                    <w:vAlign w:val="center"/>
                  </w:tcPr>
                  <w:p>
                    <w:pPr>
                      <w:jc w:val="right"/>
                      <w:rPr>
                        <w:rFonts w:ascii="Arial Narrow" w:hAnsi="Arial Narrow"/>
                        <w:sz w:val="15"/>
                        <w:szCs w:val="15"/>
                      </w:rPr>
                    </w:pPr>
                    <w:r>
                      <w:rPr>
                        <w:rFonts w:ascii="Arial Narrow" w:hAnsi="Arial Narrow"/>
                        <w:sz w:val="15"/>
                        <w:szCs w:val="15"/>
                      </w:rPr>
                      <w:t>534,934.25</w:t>
                    </w:r>
                  </w:p>
                </w:tc>
                <w:tc>
                  <w:tcPr>
                    <w:tcW w:w="993" w:type="dxa"/>
                    <w:shd w:val="clear" w:color="auto" w:fill="auto"/>
                    <w:vAlign w:val="center"/>
                  </w:tcPr>
                  <w:p>
                    <w:pPr>
                      <w:ind w:right="73"/>
                      <w:jc w:val="right"/>
                      <w:rPr>
                        <w:rFonts w:ascii="Arial Narrow" w:hAnsi="Arial Narrow"/>
                        <w:sz w:val="15"/>
                        <w:szCs w:val="15"/>
                      </w:rPr>
                    </w:pPr>
                    <w:r>
                      <w:rPr>
                        <w:rFonts w:ascii="Arial Narrow" w:hAnsi="Arial Narrow"/>
                        <w:sz w:val="15"/>
                        <w:szCs w:val="15"/>
                      </w:rPr>
                      <w:t>25,923,403.36</w:t>
                    </w:r>
                  </w:p>
                </w:tc>
                <w:tc>
                  <w:tcPr>
                    <w:tcW w:w="455" w:type="dxa"/>
                    <w:shd w:val="clear" w:color="auto" w:fill="auto"/>
                    <w:vAlign w:val="center"/>
                  </w:tcPr>
                  <w:p>
                    <w:pPr>
                      <w:ind w:right="73"/>
                      <w:jc w:val="right"/>
                      <w:rPr>
                        <w:rFonts w:ascii="Arial Narrow" w:hAnsi="Arial Narrow"/>
                        <w:sz w:val="15"/>
                        <w:szCs w:val="15"/>
                      </w:rPr>
                    </w:pPr>
                  </w:p>
                </w:tc>
                <w:tc>
                  <w:tcPr>
                    <w:tcW w:w="540" w:type="dxa"/>
                    <w:shd w:val="clear" w:color="auto" w:fill="auto"/>
                    <w:vAlign w:val="center"/>
                  </w:tcPr>
                  <w:p>
                    <w:pPr>
                      <w:jc w:val="right"/>
                      <w:rPr>
                        <w:rFonts w:ascii="Arial Narrow" w:hAnsi="Arial Narrow"/>
                        <w:sz w:val="15"/>
                        <w:szCs w:val="15"/>
                      </w:rPr>
                    </w:pPr>
                  </w:p>
                </w:tc>
                <w:tc>
                  <w:tcPr>
                    <w:tcW w:w="995" w:type="dxa"/>
                    <w:vAlign w:val="center"/>
                  </w:tcPr>
                  <w:p>
                    <w:pPr>
                      <w:jc w:val="right"/>
                      <w:rPr>
                        <w:rFonts w:ascii="Arial Narrow" w:hAnsi="Arial Narrow"/>
                        <w:sz w:val="15"/>
                        <w:szCs w:val="15"/>
                      </w:rPr>
                    </w:pPr>
                    <w:r>
                      <w:rPr>
                        <w:rFonts w:ascii="Arial Narrow" w:hAnsi="Arial Narrow"/>
                        <w:sz w:val="15"/>
                        <w:szCs w:val="15"/>
                      </w:rPr>
                      <w:t>26,458,337.61</w:t>
                    </w:r>
                  </w:p>
                </w:tc>
                <w:tc>
                  <w:tcPr>
                    <w:tcW w:w="425" w:type="dxa"/>
                    <w:shd w:val="clear" w:color="auto" w:fill="auto"/>
                    <w:vAlign w:val="center"/>
                  </w:tcPr>
                  <w:p>
                    <w:pPr>
                      <w:jc w:val="right"/>
                      <w:rPr>
                        <w:rFonts w:ascii="Arial Narrow" w:hAnsi="Arial Narrow"/>
                        <w:sz w:val="15"/>
                        <w:szCs w:val="15"/>
                      </w:rPr>
                    </w:pPr>
                    <w:r>
                      <w:rPr>
                        <w:rFonts w:ascii="Arial Narrow" w:hAnsi="Arial Narrow"/>
                        <w:sz w:val="15"/>
                        <w:szCs w:val="15"/>
                      </w:rPr>
                      <w:t>85</w:t>
                    </w:r>
                  </w:p>
                </w:tc>
                <w:tc>
                  <w:tcPr>
                    <w:tcW w:w="563" w:type="dxa"/>
                    <w:shd w:val="clear" w:color="auto" w:fill="auto"/>
                    <w:vAlign w:val="center"/>
                  </w:tcPr>
                  <w:p>
                    <w:pPr>
                      <w:jc w:val="right"/>
                      <w:rPr>
                        <w:rFonts w:ascii="Arial Narrow" w:hAnsi="Arial Narrow"/>
                        <w:sz w:val="15"/>
                        <w:szCs w:val="15"/>
                      </w:rPr>
                    </w:pPr>
                    <w:r>
                      <w:rPr>
                        <w:rFonts w:ascii="Arial Narrow" w:hAnsi="Arial Narrow"/>
                        <w:sz w:val="15"/>
                        <w:szCs w:val="15"/>
                      </w:rPr>
                      <w:t>90%</w:t>
                    </w:r>
                  </w:p>
                </w:tc>
                <w:tc>
                  <w:tcPr>
                    <w:tcW w:w="991" w:type="dxa"/>
                    <w:shd w:val="clear" w:color="auto" w:fill="auto"/>
                    <w:vAlign w:val="center"/>
                  </w:tcPr>
                  <w:p>
                    <w:pPr>
                      <w:jc w:val="right"/>
                      <w:rPr>
                        <w:rFonts w:ascii="Arial Narrow" w:hAnsi="Arial Narrow"/>
                        <w:sz w:val="15"/>
                        <w:szCs w:val="15"/>
                      </w:rPr>
                    </w:pPr>
                  </w:p>
                </w:tc>
                <w:tc>
                  <w:tcPr>
                    <w:tcW w:w="855" w:type="dxa"/>
                    <w:shd w:val="clear" w:color="auto" w:fill="auto"/>
                    <w:vAlign w:val="center"/>
                  </w:tcPr>
                  <w:p>
                    <w:pPr>
                      <w:jc w:val="right"/>
                      <w:rPr>
                        <w:rFonts w:ascii="Arial Narrow" w:hAnsi="Arial Narrow"/>
                        <w:sz w:val="15"/>
                        <w:szCs w:val="15"/>
                      </w:rPr>
                    </w:pPr>
                  </w:p>
                </w:tc>
                <w:tc>
                  <w:tcPr>
                    <w:tcW w:w="708" w:type="dxa"/>
                    <w:shd w:val="clear" w:color="auto" w:fill="auto"/>
                    <w:vAlign w:val="center"/>
                  </w:tcPr>
                  <w:p>
                    <w:pPr>
                      <w:jc w:val="right"/>
                      <w:rPr>
                        <w:rFonts w:ascii="Arial Narrow" w:hAnsi="Arial Narrow"/>
                        <w:color w:val="000000" w:themeColor="text1"/>
                        <w:sz w:val="15"/>
                        <w:szCs w:val="15"/>
                        <w14:textFill>
                          <w14:solidFill>
                            <w14:schemeClr w14:val="tx1"/>
                          </w14:solidFill>
                        </w14:textFill>
                      </w:rPr>
                    </w:pPr>
                  </w:p>
                </w:tc>
                <w:tc>
                  <w:tcPr>
                    <w:tcW w:w="561" w:type="dxa"/>
                    <w:shd w:val="clear" w:color="auto" w:fill="auto"/>
                    <w:vAlign w:val="center"/>
                  </w:tcPr>
                  <w:p>
                    <w:pPr>
                      <w:jc w:val="right"/>
                      <w:rPr>
                        <w:rFonts w:ascii="Arial Narrow" w:hAnsi="Arial Narrow"/>
                        <w:color w:val="000000" w:themeColor="text1"/>
                        <w:sz w:val="15"/>
                        <w:szCs w:val="15"/>
                        <w14:textFill>
                          <w14:solidFill>
                            <w14:schemeClr w14:val="tx1"/>
                          </w14:solidFill>
                        </w14:textFill>
                      </w:rPr>
                    </w:pPr>
                    <w:r>
                      <w:rPr>
                        <w:rFonts w:ascii="Arial Narrow" w:hAnsi="Arial Narrow"/>
                        <w:color w:val="000000" w:themeColor="text1"/>
                        <w:sz w:val="15"/>
                        <w:szCs w:val="15"/>
                        <w14:textFill>
                          <w14:solidFill>
                            <w14:schemeClr w14:val="tx1"/>
                          </w14:solidFill>
                        </w14:textFill>
                      </w:rPr>
                      <w:t>自筹</w:t>
                    </w:r>
                  </w:p>
                </w:tc>
              </w:tr>
            </w:sdtContent>
          </w:sdt>
          <w:sdt>
            <w:sdtPr>
              <w:rPr>
                <w:rFonts w:hint="eastAsia"/>
                <w:sz w:val="15"/>
                <w:szCs w:val="15"/>
              </w:rPr>
              <w:alias w:val="在建工程明细"/>
              <w:tag w:val="_TUP_ddeb799b6fdf45e2b195807d1913c3bb"/>
              <w:id w:val="6774764"/>
              <w:lock w:val="sdtLocked"/>
            </w:sdtPr>
            <w:sdtEndPr>
              <w:rPr>
                <w:rFonts w:hint="default" w:ascii="Arial Narrow" w:hAnsi="Arial Narrow"/>
                <w:color w:val="000000" w:themeColor="text1"/>
                <w:sz w:val="15"/>
                <w:szCs w:val="15"/>
                <w14:textFill>
                  <w14:solidFill>
                    <w14:schemeClr w14:val="tx1"/>
                  </w14:solidFill>
                </w14:textFil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419" w:type="dxa"/>
                    <w:shd w:val="clear" w:color="auto" w:fill="auto"/>
                  </w:tcPr>
                  <w:p>
                    <w:pPr>
                      <w:ind w:right="105"/>
                      <w:rPr>
                        <w:sz w:val="15"/>
                        <w:szCs w:val="15"/>
                      </w:rPr>
                    </w:pPr>
                    <w:r>
                      <w:rPr>
                        <w:sz w:val="15"/>
                        <w:szCs w:val="15"/>
                      </w:rPr>
                      <w:t>废水生化处理系统升级改造项目</w:t>
                    </w:r>
                  </w:p>
                </w:tc>
                <w:tc>
                  <w:tcPr>
                    <w:tcW w:w="1135" w:type="dxa"/>
                    <w:shd w:val="clear" w:color="auto" w:fill="auto"/>
                    <w:vAlign w:val="center"/>
                  </w:tcPr>
                  <w:p>
                    <w:pPr>
                      <w:ind w:right="105"/>
                      <w:jc w:val="right"/>
                      <w:rPr>
                        <w:rFonts w:ascii="Arial Narrow" w:hAnsi="Arial Narrow"/>
                        <w:sz w:val="15"/>
                        <w:szCs w:val="15"/>
                      </w:rPr>
                    </w:pPr>
                    <w:r>
                      <w:rPr>
                        <w:rFonts w:ascii="Arial Narrow" w:hAnsi="Arial Narrow"/>
                        <w:sz w:val="15"/>
                        <w:szCs w:val="15"/>
                      </w:rPr>
                      <w:t>32,000,000.00</w:t>
                    </w:r>
                  </w:p>
                </w:tc>
                <w:tc>
                  <w:tcPr>
                    <w:tcW w:w="991" w:type="dxa"/>
                    <w:shd w:val="clear" w:color="auto" w:fill="auto"/>
                    <w:vAlign w:val="center"/>
                  </w:tcPr>
                  <w:p>
                    <w:pPr>
                      <w:jc w:val="right"/>
                      <w:rPr>
                        <w:rFonts w:ascii="Arial Narrow" w:hAnsi="Arial Narrow"/>
                        <w:sz w:val="15"/>
                        <w:szCs w:val="15"/>
                      </w:rPr>
                    </w:pPr>
                  </w:p>
                </w:tc>
                <w:tc>
                  <w:tcPr>
                    <w:tcW w:w="993" w:type="dxa"/>
                    <w:shd w:val="clear" w:color="auto" w:fill="auto"/>
                    <w:vAlign w:val="center"/>
                  </w:tcPr>
                  <w:p>
                    <w:pPr>
                      <w:ind w:right="73"/>
                      <w:jc w:val="right"/>
                      <w:rPr>
                        <w:rFonts w:ascii="Arial Narrow" w:hAnsi="Arial Narrow"/>
                        <w:sz w:val="15"/>
                        <w:szCs w:val="15"/>
                      </w:rPr>
                    </w:pPr>
                    <w:r>
                      <w:rPr>
                        <w:rFonts w:ascii="Arial Narrow" w:hAnsi="Arial Narrow"/>
                        <w:sz w:val="15"/>
                        <w:szCs w:val="15"/>
                      </w:rPr>
                      <w:t>9,861,212.06</w:t>
                    </w:r>
                  </w:p>
                </w:tc>
                <w:tc>
                  <w:tcPr>
                    <w:tcW w:w="455" w:type="dxa"/>
                    <w:shd w:val="clear" w:color="auto" w:fill="auto"/>
                    <w:vAlign w:val="center"/>
                  </w:tcPr>
                  <w:p>
                    <w:pPr>
                      <w:ind w:right="73"/>
                      <w:jc w:val="right"/>
                      <w:rPr>
                        <w:rFonts w:ascii="Arial Narrow" w:hAnsi="Arial Narrow"/>
                        <w:sz w:val="15"/>
                        <w:szCs w:val="15"/>
                      </w:rPr>
                    </w:pPr>
                  </w:p>
                </w:tc>
                <w:tc>
                  <w:tcPr>
                    <w:tcW w:w="540" w:type="dxa"/>
                    <w:shd w:val="clear" w:color="auto" w:fill="auto"/>
                    <w:vAlign w:val="center"/>
                  </w:tcPr>
                  <w:p>
                    <w:pPr>
                      <w:jc w:val="right"/>
                      <w:rPr>
                        <w:rFonts w:ascii="Arial Narrow" w:hAnsi="Arial Narrow"/>
                        <w:sz w:val="15"/>
                        <w:szCs w:val="15"/>
                      </w:rPr>
                    </w:pPr>
                  </w:p>
                </w:tc>
                <w:tc>
                  <w:tcPr>
                    <w:tcW w:w="995" w:type="dxa"/>
                    <w:vAlign w:val="center"/>
                  </w:tcPr>
                  <w:p>
                    <w:pPr>
                      <w:jc w:val="right"/>
                      <w:rPr>
                        <w:rFonts w:ascii="Arial Narrow" w:hAnsi="Arial Narrow"/>
                        <w:sz w:val="15"/>
                        <w:szCs w:val="15"/>
                      </w:rPr>
                    </w:pPr>
                    <w:r>
                      <w:rPr>
                        <w:rFonts w:ascii="Arial Narrow" w:hAnsi="Arial Narrow"/>
                        <w:sz w:val="15"/>
                        <w:szCs w:val="15"/>
                      </w:rPr>
                      <w:t>9,861,212.06</w:t>
                    </w:r>
                  </w:p>
                </w:tc>
                <w:tc>
                  <w:tcPr>
                    <w:tcW w:w="425" w:type="dxa"/>
                    <w:shd w:val="clear" w:color="auto" w:fill="auto"/>
                    <w:vAlign w:val="center"/>
                  </w:tcPr>
                  <w:p>
                    <w:pPr>
                      <w:jc w:val="right"/>
                      <w:rPr>
                        <w:rFonts w:ascii="Arial Narrow" w:hAnsi="Arial Narrow"/>
                        <w:sz w:val="15"/>
                        <w:szCs w:val="15"/>
                      </w:rPr>
                    </w:pPr>
                    <w:r>
                      <w:rPr>
                        <w:rFonts w:ascii="Arial Narrow" w:hAnsi="Arial Narrow"/>
                        <w:sz w:val="15"/>
                        <w:szCs w:val="15"/>
                      </w:rPr>
                      <w:t>40</w:t>
                    </w:r>
                  </w:p>
                </w:tc>
                <w:tc>
                  <w:tcPr>
                    <w:tcW w:w="563" w:type="dxa"/>
                    <w:shd w:val="clear" w:color="auto" w:fill="auto"/>
                    <w:vAlign w:val="center"/>
                  </w:tcPr>
                  <w:p>
                    <w:pPr>
                      <w:jc w:val="right"/>
                      <w:rPr>
                        <w:rFonts w:ascii="Arial Narrow" w:hAnsi="Arial Narrow"/>
                        <w:sz w:val="15"/>
                        <w:szCs w:val="15"/>
                      </w:rPr>
                    </w:pPr>
                    <w:r>
                      <w:rPr>
                        <w:rFonts w:ascii="Arial Narrow" w:hAnsi="Arial Narrow"/>
                        <w:sz w:val="15"/>
                        <w:szCs w:val="15"/>
                      </w:rPr>
                      <w:t>50</w:t>
                    </w:r>
                    <w:r>
                      <w:rPr>
                        <w:rFonts w:hint="eastAsia" w:ascii="Arial Narrow" w:hAnsi="Arial Narrow"/>
                        <w:sz w:val="15"/>
                        <w:szCs w:val="15"/>
                      </w:rPr>
                      <w:t>%</w:t>
                    </w:r>
                  </w:p>
                </w:tc>
                <w:tc>
                  <w:tcPr>
                    <w:tcW w:w="991" w:type="dxa"/>
                    <w:shd w:val="clear" w:color="auto" w:fill="auto"/>
                    <w:vAlign w:val="center"/>
                  </w:tcPr>
                  <w:p>
                    <w:pPr>
                      <w:jc w:val="right"/>
                      <w:rPr>
                        <w:rFonts w:ascii="Arial Narrow" w:hAnsi="Arial Narrow"/>
                        <w:sz w:val="15"/>
                        <w:szCs w:val="15"/>
                      </w:rPr>
                    </w:pPr>
                    <w:r>
                      <w:rPr>
                        <w:rFonts w:ascii="Arial Narrow" w:hAnsi="Arial Narrow"/>
                        <w:sz w:val="15"/>
                        <w:szCs w:val="15"/>
                      </w:rPr>
                      <w:t>304,271.38</w:t>
                    </w:r>
                  </w:p>
                </w:tc>
                <w:tc>
                  <w:tcPr>
                    <w:tcW w:w="855" w:type="dxa"/>
                    <w:shd w:val="clear" w:color="auto" w:fill="auto"/>
                    <w:vAlign w:val="center"/>
                  </w:tcPr>
                  <w:p>
                    <w:pPr>
                      <w:jc w:val="right"/>
                      <w:rPr>
                        <w:rFonts w:ascii="Arial Narrow" w:hAnsi="Arial Narrow"/>
                        <w:sz w:val="15"/>
                        <w:szCs w:val="15"/>
                      </w:rPr>
                    </w:pPr>
                    <w:r>
                      <w:rPr>
                        <w:rFonts w:ascii="Arial Narrow" w:hAnsi="Arial Narrow"/>
                        <w:sz w:val="15"/>
                        <w:szCs w:val="15"/>
                      </w:rPr>
                      <w:t>304,271.38</w:t>
                    </w:r>
                  </w:p>
                </w:tc>
                <w:tc>
                  <w:tcPr>
                    <w:tcW w:w="708" w:type="dxa"/>
                    <w:shd w:val="clear" w:color="auto" w:fill="auto"/>
                    <w:vAlign w:val="center"/>
                  </w:tcPr>
                  <w:p>
                    <w:pPr>
                      <w:jc w:val="right"/>
                      <w:rPr>
                        <w:rFonts w:ascii="Arial Narrow" w:hAnsi="Arial Narrow"/>
                        <w:color w:val="000000" w:themeColor="text1"/>
                        <w:sz w:val="15"/>
                        <w:szCs w:val="15"/>
                        <w14:textFill>
                          <w14:solidFill>
                            <w14:schemeClr w14:val="tx1"/>
                          </w14:solidFill>
                        </w14:textFill>
                      </w:rPr>
                    </w:pPr>
                    <w:r>
                      <w:rPr>
                        <w:rFonts w:hint="eastAsia" w:ascii="Arial Narrow" w:hAnsi="Arial Narrow"/>
                        <w:color w:val="000000" w:themeColor="text1"/>
                        <w:sz w:val="15"/>
                        <w:szCs w:val="15"/>
                        <w14:textFill>
                          <w14:solidFill>
                            <w14:schemeClr w14:val="tx1"/>
                          </w14:solidFill>
                        </w14:textFill>
                      </w:rPr>
                      <w:t>4.56</w:t>
                    </w:r>
                  </w:p>
                </w:tc>
                <w:tc>
                  <w:tcPr>
                    <w:tcW w:w="561" w:type="dxa"/>
                    <w:shd w:val="clear" w:color="auto" w:fill="auto"/>
                    <w:vAlign w:val="center"/>
                  </w:tcPr>
                  <w:p>
                    <w:pPr>
                      <w:jc w:val="right"/>
                      <w:rPr>
                        <w:rFonts w:ascii="Arial Narrow" w:hAnsi="Arial Narrow"/>
                        <w:color w:val="000000" w:themeColor="text1"/>
                        <w:sz w:val="15"/>
                        <w:szCs w:val="15"/>
                        <w14:textFill>
                          <w14:solidFill>
                            <w14:schemeClr w14:val="tx1"/>
                          </w14:solidFill>
                        </w14:textFill>
                      </w:rPr>
                    </w:pPr>
                    <w:r>
                      <w:rPr>
                        <w:rFonts w:ascii="Arial Narrow" w:hAnsi="Arial Narrow"/>
                        <w:color w:val="000000" w:themeColor="text1"/>
                        <w:sz w:val="15"/>
                        <w:szCs w:val="15"/>
                        <w14:textFill>
                          <w14:solidFill>
                            <w14:schemeClr w14:val="tx1"/>
                          </w14:solidFill>
                        </w14:textFill>
                      </w:rPr>
                      <w:t>自筹</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5"/>
                  <w:szCs w:val="15"/>
                </w:rPr>
                <w:tag w:val="_PLD_2216f6ec60d6481d870ef3195ec544aa"/>
                <w:id w:val="6774765"/>
                <w:lock w:val="sdtLocked"/>
              </w:sdtPr>
              <w:sdtEndPr>
                <w:rPr>
                  <w:sz w:val="15"/>
                  <w:szCs w:val="15"/>
                </w:rPr>
              </w:sdtEndPr>
              <w:sdtContent>
                <w:tc>
                  <w:tcPr>
                    <w:tcW w:w="1419" w:type="dxa"/>
                    <w:shd w:val="clear" w:color="auto" w:fill="auto"/>
                    <w:vAlign w:val="center"/>
                  </w:tcPr>
                  <w:p>
                    <w:pPr>
                      <w:ind w:right="105"/>
                      <w:jc w:val="center"/>
                      <w:rPr>
                        <w:sz w:val="15"/>
                        <w:szCs w:val="15"/>
                      </w:rPr>
                    </w:pPr>
                    <w:r>
                      <w:rPr>
                        <w:rFonts w:hint="eastAsia"/>
                        <w:sz w:val="15"/>
                        <w:szCs w:val="15"/>
                      </w:rPr>
                      <w:t>合计</w:t>
                    </w:r>
                  </w:p>
                </w:tc>
              </w:sdtContent>
            </w:sdt>
            <w:tc>
              <w:tcPr>
                <w:tcW w:w="1135" w:type="dxa"/>
                <w:shd w:val="clear" w:color="auto" w:fill="auto"/>
                <w:vAlign w:val="center"/>
              </w:tcPr>
              <w:p>
                <w:pPr>
                  <w:ind w:right="105"/>
                  <w:jc w:val="right"/>
                  <w:rPr>
                    <w:rFonts w:ascii="Arial Narrow" w:hAnsi="Arial Narrow"/>
                    <w:sz w:val="15"/>
                    <w:szCs w:val="15"/>
                  </w:rPr>
                </w:pPr>
                <w:r>
                  <w:rPr>
                    <w:rFonts w:ascii="Arial Narrow" w:hAnsi="Arial Narrow"/>
                    <w:sz w:val="15"/>
                    <w:szCs w:val="15"/>
                  </w:rPr>
                  <w:t>295,000,000.00</w:t>
                </w:r>
              </w:p>
            </w:tc>
            <w:tc>
              <w:tcPr>
                <w:tcW w:w="991" w:type="dxa"/>
                <w:shd w:val="clear" w:color="auto" w:fill="auto"/>
                <w:vAlign w:val="center"/>
              </w:tcPr>
              <w:p>
                <w:pPr>
                  <w:jc w:val="right"/>
                  <w:rPr>
                    <w:rFonts w:ascii="Arial Narrow" w:hAnsi="Arial Narrow"/>
                    <w:sz w:val="15"/>
                    <w:szCs w:val="15"/>
                  </w:rPr>
                </w:pPr>
                <w:r>
                  <w:rPr>
                    <w:rFonts w:ascii="Arial Narrow" w:hAnsi="Arial Narrow"/>
                    <w:sz w:val="15"/>
                    <w:szCs w:val="15"/>
                  </w:rPr>
                  <w:t>106,443,427.19</w:t>
                </w:r>
              </w:p>
            </w:tc>
            <w:tc>
              <w:tcPr>
                <w:tcW w:w="993" w:type="dxa"/>
                <w:shd w:val="clear" w:color="auto" w:fill="auto"/>
                <w:vAlign w:val="center"/>
              </w:tcPr>
              <w:p>
                <w:pPr>
                  <w:ind w:right="73"/>
                  <w:jc w:val="right"/>
                  <w:rPr>
                    <w:rFonts w:ascii="Arial Narrow" w:hAnsi="Arial Narrow"/>
                    <w:sz w:val="15"/>
                    <w:szCs w:val="15"/>
                  </w:rPr>
                </w:pPr>
                <w:r>
                  <w:rPr>
                    <w:rFonts w:ascii="Arial Narrow" w:hAnsi="Arial Narrow"/>
                    <w:sz w:val="15"/>
                    <w:szCs w:val="15"/>
                  </w:rPr>
                  <w:t>104,185,871.72</w:t>
                </w:r>
              </w:p>
            </w:tc>
            <w:tc>
              <w:tcPr>
                <w:tcW w:w="455" w:type="dxa"/>
                <w:shd w:val="clear" w:color="auto" w:fill="auto"/>
                <w:vAlign w:val="center"/>
              </w:tcPr>
              <w:p>
                <w:pPr>
                  <w:ind w:right="73"/>
                  <w:jc w:val="right"/>
                  <w:rPr>
                    <w:rFonts w:ascii="Arial Narrow" w:hAnsi="Arial Narrow"/>
                    <w:sz w:val="15"/>
                    <w:szCs w:val="15"/>
                  </w:rPr>
                </w:pPr>
                <w:r>
                  <w:rPr>
                    <w:rFonts w:ascii="Arial Narrow" w:hAnsi="Arial Narrow"/>
                    <w:sz w:val="15"/>
                    <w:szCs w:val="15"/>
                  </w:rPr>
                  <w:t>-</w:t>
                </w:r>
              </w:p>
            </w:tc>
            <w:tc>
              <w:tcPr>
                <w:tcW w:w="540" w:type="dxa"/>
                <w:shd w:val="clear" w:color="auto" w:fill="auto"/>
                <w:vAlign w:val="center"/>
              </w:tcPr>
              <w:p>
                <w:pPr>
                  <w:jc w:val="right"/>
                  <w:rPr>
                    <w:rFonts w:ascii="Arial Narrow" w:hAnsi="Arial Narrow"/>
                    <w:sz w:val="15"/>
                    <w:szCs w:val="15"/>
                  </w:rPr>
                </w:pPr>
                <w:r>
                  <w:rPr>
                    <w:rFonts w:ascii="Arial Narrow" w:hAnsi="Arial Narrow"/>
                    <w:sz w:val="15"/>
                    <w:szCs w:val="15"/>
                  </w:rPr>
                  <w:t>-</w:t>
                </w:r>
              </w:p>
            </w:tc>
            <w:tc>
              <w:tcPr>
                <w:tcW w:w="995" w:type="dxa"/>
                <w:vAlign w:val="center"/>
              </w:tcPr>
              <w:p>
                <w:pPr>
                  <w:jc w:val="right"/>
                  <w:rPr>
                    <w:rFonts w:ascii="Arial Narrow" w:hAnsi="Arial Narrow"/>
                    <w:sz w:val="15"/>
                    <w:szCs w:val="15"/>
                  </w:rPr>
                </w:pPr>
                <w:r>
                  <w:rPr>
                    <w:rFonts w:ascii="Arial Narrow" w:hAnsi="Arial Narrow"/>
                    <w:sz w:val="15"/>
                    <w:szCs w:val="15"/>
                  </w:rPr>
                  <w:t>210,629,298.91</w:t>
                </w:r>
              </w:p>
            </w:tc>
            <w:tc>
              <w:tcPr>
                <w:tcW w:w="425" w:type="dxa"/>
                <w:shd w:val="clear" w:color="auto" w:fill="auto"/>
                <w:vAlign w:val="center"/>
              </w:tcPr>
              <w:p>
                <w:pPr>
                  <w:ind w:right="174"/>
                  <w:jc w:val="right"/>
                  <w:rPr>
                    <w:rFonts w:ascii="Arial Narrow" w:hAnsi="Arial Narrow"/>
                    <w:sz w:val="15"/>
                    <w:szCs w:val="15"/>
                  </w:rPr>
                </w:pPr>
                <w:r>
                  <w:rPr>
                    <w:rFonts w:ascii="Arial Narrow" w:hAnsi="Arial Narrow"/>
                    <w:sz w:val="15"/>
                    <w:szCs w:val="15"/>
                  </w:rPr>
                  <w:t> </w:t>
                </w:r>
              </w:p>
            </w:tc>
            <w:tc>
              <w:tcPr>
                <w:tcW w:w="563" w:type="dxa"/>
                <w:shd w:val="clear" w:color="auto" w:fill="auto"/>
                <w:vAlign w:val="center"/>
              </w:tcPr>
              <w:p>
                <w:pPr>
                  <w:ind w:right="174"/>
                  <w:jc w:val="right"/>
                  <w:rPr>
                    <w:rFonts w:ascii="Arial Narrow" w:hAnsi="Arial Narrow"/>
                    <w:sz w:val="15"/>
                    <w:szCs w:val="15"/>
                  </w:rPr>
                </w:pPr>
                <w:r>
                  <w:rPr>
                    <w:rFonts w:ascii="Arial Narrow" w:hAnsi="Arial Narrow"/>
                    <w:sz w:val="15"/>
                    <w:szCs w:val="15"/>
                  </w:rPr>
                  <w:t> </w:t>
                </w:r>
              </w:p>
            </w:tc>
            <w:tc>
              <w:tcPr>
                <w:tcW w:w="991" w:type="dxa"/>
                <w:shd w:val="clear" w:color="auto" w:fill="auto"/>
                <w:vAlign w:val="center"/>
              </w:tcPr>
              <w:p>
                <w:pPr>
                  <w:jc w:val="right"/>
                  <w:rPr>
                    <w:rFonts w:ascii="Arial Narrow" w:hAnsi="Arial Narrow"/>
                    <w:sz w:val="15"/>
                    <w:szCs w:val="15"/>
                  </w:rPr>
                </w:pPr>
                <w:r>
                  <w:rPr>
                    <w:rFonts w:ascii="Arial Narrow" w:hAnsi="Arial Narrow"/>
                    <w:sz w:val="15"/>
                    <w:szCs w:val="15"/>
                  </w:rPr>
                  <w:t>7,967,249.36</w:t>
                </w:r>
              </w:p>
            </w:tc>
            <w:tc>
              <w:tcPr>
                <w:tcW w:w="855" w:type="dxa"/>
                <w:shd w:val="clear" w:color="auto" w:fill="auto"/>
                <w:vAlign w:val="center"/>
              </w:tcPr>
              <w:p>
                <w:pPr>
                  <w:jc w:val="right"/>
                  <w:rPr>
                    <w:rFonts w:ascii="Arial Narrow" w:hAnsi="Arial Narrow"/>
                    <w:sz w:val="15"/>
                    <w:szCs w:val="15"/>
                  </w:rPr>
                </w:pPr>
                <w:r>
                  <w:rPr>
                    <w:rFonts w:ascii="Arial Narrow" w:hAnsi="Arial Narrow"/>
                    <w:sz w:val="15"/>
                    <w:szCs w:val="15"/>
                  </w:rPr>
                  <w:t>6,530,803.16</w:t>
                </w:r>
              </w:p>
            </w:tc>
            <w:tc>
              <w:tcPr>
                <w:tcW w:w="708" w:type="dxa"/>
                <w:shd w:val="clear" w:color="auto" w:fill="auto"/>
                <w:vAlign w:val="center"/>
              </w:tcPr>
              <w:p>
                <w:pPr>
                  <w:ind w:right="174"/>
                  <w:jc w:val="right"/>
                  <w:rPr>
                    <w:rFonts w:ascii="Arial Narrow" w:hAnsi="Arial Narrow"/>
                    <w:color w:val="000000" w:themeColor="text1"/>
                    <w:sz w:val="15"/>
                    <w:szCs w:val="15"/>
                    <w14:textFill>
                      <w14:solidFill>
                        <w14:schemeClr w14:val="tx1"/>
                      </w14:solidFill>
                    </w14:textFill>
                  </w:rPr>
                </w:pPr>
                <w:r>
                  <w:rPr>
                    <w:rFonts w:ascii="Arial Narrow" w:hAnsi="Arial Narrow"/>
                    <w:color w:val="000000" w:themeColor="text1"/>
                    <w:sz w:val="15"/>
                    <w:szCs w:val="15"/>
                    <w14:textFill>
                      <w14:solidFill>
                        <w14:schemeClr w14:val="tx1"/>
                      </w14:solidFill>
                    </w14:textFill>
                  </w:rPr>
                  <w:t>　</w:t>
                </w:r>
              </w:p>
            </w:tc>
            <w:tc>
              <w:tcPr>
                <w:tcW w:w="561" w:type="dxa"/>
                <w:shd w:val="clear" w:color="auto" w:fill="auto"/>
                <w:vAlign w:val="center"/>
              </w:tcPr>
              <w:p>
                <w:pPr>
                  <w:ind w:right="174"/>
                  <w:jc w:val="right"/>
                  <w:rPr>
                    <w:rFonts w:ascii="Arial Narrow" w:hAnsi="Arial Narrow"/>
                    <w:color w:val="000000" w:themeColor="text1"/>
                    <w:sz w:val="15"/>
                    <w:szCs w:val="15"/>
                    <w14:textFill>
                      <w14:solidFill>
                        <w14:schemeClr w14:val="tx1"/>
                      </w14:solidFill>
                    </w14:textFill>
                  </w:rPr>
                </w:pPr>
                <w:r>
                  <w:rPr>
                    <w:rFonts w:ascii="Arial Narrow" w:hAnsi="Arial Narrow"/>
                    <w:color w:val="000000" w:themeColor="text1"/>
                    <w:sz w:val="15"/>
                    <w:szCs w:val="15"/>
                    <w14:textFill>
                      <w14:solidFill>
                        <w14:schemeClr w14:val="tx1"/>
                      </w14:solidFill>
                    </w14:textFill>
                  </w:rPr>
                  <w:t>/</w:t>
                </w:r>
              </w:p>
            </w:tc>
          </w:tr>
        </w:tbl>
        <w:p/>
        <w:p>
          <w:pPr>
            <w:snapToGrid w:val="0"/>
            <w:spacing w:line="240" w:lineRule="atLeast"/>
            <w:rPr>
              <w:szCs w:val="21"/>
            </w:rPr>
          </w:pPr>
        </w:p>
      </w:sdtContent>
    </w:sdt>
    <w:sdt>
      <w:sdtPr>
        <w:rPr>
          <w:rFonts w:hint="eastAsia" w:ascii="宋体" w:hAnsi="宋体" w:cs="宋体"/>
          <w:b w:val="0"/>
          <w:bCs w:val="0"/>
          <w:kern w:val="0"/>
          <w:szCs w:val="21"/>
        </w:rPr>
        <w:alias w:val="模块:在建工程减值准备"/>
        <w:tag w:val="_SEC_0ebc618dc5604e8db1776ea7ed9e27ad"/>
        <w:id w:val="6774768"/>
        <w:lock w:val="sdtLocked"/>
        <w:placeholder>
          <w:docPart w:val="GBC22222222222222222222222222222"/>
        </w:placeholder>
      </w:sdtPr>
      <w:sdtEndPr>
        <w:rPr>
          <w:rFonts w:hint="eastAsia" w:asciiTheme="minorHAnsi" w:hAnsiTheme="minorHAnsi" w:cstheme="minorBidi"/>
          <w:b w:val="0"/>
          <w:bCs w:val="0"/>
          <w:kern w:val="2"/>
          <w:szCs w:val="22"/>
        </w:rPr>
      </w:sdtEndPr>
      <w:sdtContent>
        <w:p>
          <w:pPr>
            <w:pStyle w:val="5"/>
            <w:numPr>
              <w:ilvl w:val="0"/>
              <w:numId w:val="78"/>
            </w:numPr>
            <w:tabs>
              <w:tab w:val="left" w:pos="588"/>
            </w:tabs>
            <w:rPr>
              <w:rFonts w:ascii="宋体" w:hAnsi="宋体"/>
              <w:szCs w:val="21"/>
            </w:rPr>
          </w:pPr>
          <w:r>
            <w:rPr>
              <w:rFonts w:hint="eastAsia" w:ascii="宋体" w:hAnsi="宋体"/>
              <w:szCs w:val="21"/>
            </w:rPr>
            <w:t>本期计提在建工程减值准备情况：</w:t>
          </w:r>
        </w:p>
        <w:sdt>
          <w:sdtPr>
            <w:alias w:val="是否适用：本期计提在建工程减值准备情况[双击切换]"/>
            <w:tag w:val="_GBC_f0a78e682a314d34a7b55dd88c219307"/>
            <w:id w:val="677476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在建工程的说明"/>
        <w:tag w:val="_SEC_557cdec50a6747d28443c626668ac476"/>
        <w:id w:val="6774770"/>
        <w:lock w:val="sdtLocked"/>
        <w:placeholder>
          <w:docPart w:val="GBC22222222222222222222222222222"/>
        </w:placeholder>
      </w:sdtPr>
      <w:sdtEndPr>
        <w:rPr>
          <w:rFonts w:hint="default"/>
          <w:szCs w:val="21"/>
        </w:rPr>
      </w:sdtEndPr>
      <w:sdtContent>
        <w:p>
          <w:pPr>
            <w:rPr>
              <w:szCs w:val="21"/>
            </w:rPr>
          </w:pPr>
          <w:r>
            <w:rPr>
              <w:rFonts w:hint="eastAsia"/>
              <w:szCs w:val="21"/>
            </w:rPr>
            <w:t>其他说明</w:t>
          </w:r>
        </w:p>
        <w:sdt>
          <w:sdtPr>
            <w:rPr>
              <w:szCs w:val="21"/>
            </w:rPr>
            <w:alias w:val="是否适用：在建工程的说明[双击切换]"/>
            <w:tag w:val="_GBC_e6220a45d928426882f5c3ad23ff2098"/>
            <w:id w:val="6774769"/>
            <w:lock w:val="sdtContentLocked"/>
            <w:placeholder>
              <w:docPart w:val="GBC22222222222222222222222222222"/>
            </w:placeholder>
          </w:sdtPr>
          <w:sdtEndPr>
            <w:rPr>
              <w:szCs w:val="21"/>
            </w:rPr>
          </w:sdtEndPr>
          <w:sdtContent>
            <w:p>
              <w:pPr>
                <w:rPr>
                  <w:color w:val="FF0000"/>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theme="minorBidi"/>
          <w:b w:val="0"/>
          <w:bCs w:val="0"/>
          <w:kern w:val="0"/>
          <w:szCs w:val="21"/>
        </w:rPr>
        <w:alias w:val="模块:工程物资"/>
        <w:tag w:val="_SEC_57646d76c9b54fbc8b0c285f81791103"/>
        <w:id w:val="6774781"/>
        <w:lock w:val="sdtLocked"/>
        <w:placeholder>
          <w:docPart w:val="GBC22222222222222222222222222222"/>
        </w:placeholder>
      </w:sdtPr>
      <w:sdtEndPr>
        <w:rPr>
          <w:rFonts w:hint="default" w:ascii="宋体" w:hAnsi="宋体" w:cstheme="minorBidi"/>
          <w:b w:val="0"/>
          <w:bCs w:val="0"/>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工程物资</w:t>
          </w:r>
        </w:p>
        <w:sdt>
          <w:sdtPr>
            <w:alias w:val="是否适用：工程物资[双击切换]"/>
            <w:tag w:val="_GBC_91916c11fa864423a1c0e6a4024fdda5"/>
            <w:id w:val="677477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napToGrid w:val="0"/>
            <w:jc w:val="right"/>
            <w:rPr>
              <w:szCs w:val="21"/>
            </w:rPr>
          </w:pPr>
          <w:r>
            <w:rPr>
              <w:rFonts w:hint="eastAsia"/>
              <w:szCs w:val="21"/>
            </w:rPr>
            <w:t>单位：</w:t>
          </w:r>
          <w:sdt>
            <w:sdtPr>
              <w:rPr>
                <w:rFonts w:hint="eastAsia"/>
                <w:szCs w:val="21"/>
              </w:rPr>
              <w:alias w:val="单位：财务附注：工程物资"/>
              <w:tag w:val="_GBC_a40c6cc569784dd2a386bf11c5341d09"/>
              <w:id w:val="67747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工程物资"/>
              <w:tag w:val="_GBC_c2efa10903a54aa7b99e42d262b982db"/>
              <w:id w:val="67747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466"/>
            <w:gridCol w:w="3208"/>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0cfa871461644b9b8e4b0b72f4dd74a3"/>
                <w:id w:val="6774774"/>
                <w:lock w:val="sdtLocked"/>
              </w:sdtPr>
              <w:sdtContent>
                <w:tc>
                  <w:tcPr>
                    <w:tcW w:w="2466" w:type="dxa"/>
                    <w:vAlign w:val="center"/>
                  </w:tcPr>
                  <w:p>
                    <w:pPr>
                      <w:autoSpaceDE w:val="0"/>
                      <w:autoSpaceDN w:val="0"/>
                      <w:adjustRightInd w:val="0"/>
                      <w:snapToGrid w:val="0"/>
                      <w:spacing w:line="240" w:lineRule="atLeast"/>
                      <w:jc w:val="center"/>
                      <w:rPr>
                        <w:szCs w:val="21"/>
                      </w:rPr>
                    </w:pPr>
                    <w:r>
                      <w:rPr>
                        <w:rFonts w:hint="eastAsia"/>
                        <w:szCs w:val="21"/>
                      </w:rPr>
                      <w:t>项目</w:t>
                    </w:r>
                  </w:p>
                </w:tc>
              </w:sdtContent>
            </w:sdt>
            <w:sdt>
              <w:sdtPr>
                <w:tag w:val="_PLD_194738ba26034ba7a36d50bb7f00acd1"/>
                <w:id w:val="6774775"/>
                <w:lock w:val="sdtLocked"/>
              </w:sdtPr>
              <w:sdtContent>
                <w:tc>
                  <w:tcPr>
                    <w:tcW w:w="3208" w:type="dxa"/>
                    <w:vAlign w:val="center"/>
                  </w:tcPr>
                  <w:p>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4ee885b65de945c3b26ea7d47743f650"/>
                <w:id w:val="6774776"/>
                <w:lock w:val="sdtLocked"/>
              </w:sdtPr>
              <w:sdtContent>
                <w:tc>
                  <w:tcPr>
                    <w:tcW w:w="3219" w:type="dxa"/>
                    <w:vAlign w:val="center"/>
                  </w:tcPr>
                  <w:p>
                    <w:pPr>
                      <w:autoSpaceDE w:val="0"/>
                      <w:autoSpaceDN w:val="0"/>
                      <w:adjustRightInd w:val="0"/>
                      <w:snapToGrid w:val="0"/>
                      <w:spacing w:line="240" w:lineRule="atLeast"/>
                      <w:jc w:val="center"/>
                      <w:rPr>
                        <w:szCs w:val="21"/>
                      </w:rPr>
                    </w:pPr>
                    <w:r>
                      <w:rPr>
                        <w:rFonts w:hint="eastAsia"/>
                        <w:szCs w:val="21"/>
                      </w:rPr>
                      <w:t>期初余额</w:t>
                    </w:r>
                  </w:p>
                </w:tc>
              </w:sdtContent>
            </w:sdt>
          </w:tr>
          <w:sdt>
            <w:sdtPr>
              <w:rPr>
                <w:rFonts w:hint="eastAsia"/>
                <w:szCs w:val="21"/>
              </w:rPr>
              <w:alias w:val="工程物资明细"/>
              <w:tag w:val="_TUP_2086aefb8aab4447a4563085f0a9feae"/>
              <w:id w:val="6774777"/>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6" w:type="dxa"/>
                  </w:tcPr>
                  <w:p>
                    <w:pPr>
                      <w:autoSpaceDE w:val="0"/>
                      <w:autoSpaceDN w:val="0"/>
                      <w:adjustRightInd w:val="0"/>
                      <w:snapToGrid w:val="0"/>
                      <w:spacing w:line="240" w:lineRule="atLeast"/>
                      <w:rPr>
                        <w:szCs w:val="21"/>
                      </w:rPr>
                    </w:pPr>
                    <w:r>
                      <w:t>专用材料</w:t>
                    </w:r>
                  </w:p>
                </w:tc>
                <w:tc>
                  <w:tcPr>
                    <w:tcW w:w="3208" w:type="dxa"/>
                  </w:tcPr>
                  <w:p>
                    <w:pPr>
                      <w:jc w:val="right"/>
                      <w:rPr>
                        <w:szCs w:val="21"/>
                      </w:rPr>
                    </w:pPr>
                    <w:r>
                      <w:t>494,605.80</w:t>
                    </w:r>
                  </w:p>
                </w:tc>
                <w:tc>
                  <w:tcPr>
                    <w:tcW w:w="3219" w:type="dxa"/>
                  </w:tcPr>
                  <w:p>
                    <w:pPr>
                      <w:jc w:val="right"/>
                      <w:rPr>
                        <w:szCs w:val="21"/>
                      </w:rPr>
                    </w:pPr>
                    <w:r>
                      <w:t>494,605.80</w:t>
                    </w:r>
                  </w:p>
                </w:tc>
              </w:tr>
            </w:sdtContent>
          </w:sdt>
          <w:sdt>
            <w:sdtPr>
              <w:rPr>
                <w:rFonts w:hint="eastAsia"/>
                <w:szCs w:val="21"/>
              </w:rPr>
              <w:alias w:val="工程物资明细"/>
              <w:tag w:val="_TUP_2086aefb8aab4447a4563085f0a9feae"/>
              <w:id w:val="6774778"/>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6" w:type="dxa"/>
                  </w:tcPr>
                  <w:p>
                    <w:pPr>
                      <w:autoSpaceDE w:val="0"/>
                      <w:autoSpaceDN w:val="0"/>
                      <w:adjustRightInd w:val="0"/>
                      <w:snapToGrid w:val="0"/>
                      <w:spacing w:line="240" w:lineRule="atLeast"/>
                      <w:rPr>
                        <w:szCs w:val="21"/>
                      </w:rPr>
                    </w:pPr>
                    <w:r>
                      <w:t>专用设备</w:t>
                    </w:r>
                  </w:p>
                </w:tc>
                <w:tc>
                  <w:tcPr>
                    <w:tcW w:w="3208" w:type="dxa"/>
                  </w:tcPr>
                  <w:p>
                    <w:pPr>
                      <w:jc w:val="right"/>
                      <w:rPr>
                        <w:szCs w:val="21"/>
                      </w:rPr>
                    </w:pPr>
                    <w:r>
                      <w:t>15,366,639.01</w:t>
                    </w:r>
                  </w:p>
                </w:tc>
                <w:tc>
                  <w:tcPr>
                    <w:tcW w:w="3219" w:type="dxa"/>
                  </w:tcPr>
                  <w:p>
                    <w:pPr>
                      <w:jc w:val="right"/>
                      <w:rPr>
                        <w:szCs w:val="21"/>
                      </w:rPr>
                    </w:pPr>
                    <w:r>
                      <w:t>27,378,723.90</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e7014633c2944339a84c1432ec4c677d"/>
                <w:id w:val="6774779"/>
                <w:lock w:val="sdtLocked"/>
              </w:sdtPr>
              <w:sdtContent>
                <w:tc>
                  <w:tcPr>
                    <w:tcW w:w="2466" w:type="dxa"/>
                    <w:vAlign w:val="center"/>
                  </w:tcPr>
                  <w:p>
                    <w:pPr>
                      <w:autoSpaceDE w:val="0"/>
                      <w:autoSpaceDN w:val="0"/>
                      <w:adjustRightInd w:val="0"/>
                      <w:snapToGrid w:val="0"/>
                      <w:spacing w:line="240" w:lineRule="atLeast"/>
                      <w:jc w:val="center"/>
                      <w:rPr>
                        <w:szCs w:val="21"/>
                      </w:rPr>
                    </w:pPr>
                    <w:r>
                      <w:rPr>
                        <w:rFonts w:hint="eastAsia"/>
                        <w:szCs w:val="21"/>
                      </w:rPr>
                      <w:t>合计</w:t>
                    </w:r>
                  </w:p>
                </w:tc>
              </w:sdtContent>
            </w:sdt>
            <w:tc>
              <w:tcPr>
                <w:tcW w:w="3208" w:type="dxa"/>
              </w:tcPr>
              <w:p>
                <w:pPr>
                  <w:jc w:val="right"/>
                  <w:rPr>
                    <w:szCs w:val="21"/>
                  </w:rPr>
                </w:pPr>
                <w:r>
                  <w:t>15,861,244.81</w:t>
                </w:r>
              </w:p>
            </w:tc>
            <w:tc>
              <w:tcPr>
                <w:tcW w:w="3219" w:type="dxa"/>
              </w:tcPr>
              <w:p>
                <w:pPr>
                  <w:jc w:val="right"/>
                  <w:rPr>
                    <w:szCs w:val="21"/>
                  </w:rPr>
                </w:pPr>
                <w:r>
                  <w:t>27,873,329.70</w:t>
                </w:r>
              </w:p>
            </w:tc>
          </w:tr>
        </w:tbl>
      </w:sdtContent>
    </w:sdt>
    <w:p>
      <w:pPr>
        <w:rPr>
          <w:szCs w:val="21"/>
        </w:rPr>
      </w:pPr>
    </w:p>
    <w:sdt>
      <w:sdtPr>
        <w:rPr>
          <w:rFonts w:hint="eastAsia" w:ascii="宋体" w:hAnsi="宋体" w:cs="宋体"/>
          <w:b w:val="0"/>
          <w:bCs w:val="0"/>
          <w:kern w:val="0"/>
          <w:szCs w:val="21"/>
        </w:rPr>
        <w:alias w:val="模块:固定资产清理"/>
        <w:tag w:val="_SEC_e623ea972f7d45dc8b0c9f9862e5b400"/>
        <w:id w:val="6774783"/>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66"/>
            </w:numPr>
            <w:tabs>
              <w:tab w:val="left" w:pos="504"/>
            </w:tabs>
            <w:rPr>
              <w:rFonts w:ascii="宋体" w:hAnsi="宋体"/>
              <w:szCs w:val="21"/>
            </w:rPr>
          </w:pPr>
          <w:r>
            <w:rPr>
              <w:rFonts w:hint="eastAsia"/>
              <w:szCs w:val="21"/>
            </w:rPr>
            <w:t>固定资产</w:t>
          </w:r>
          <w:r>
            <w:rPr>
              <w:rFonts w:hint="eastAsia" w:ascii="宋体" w:hAnsi="宋体"/>
              <w:szCs w:val="21"/>
            </w:rPr>
            <w:t>清理</w:t>
          </w:r>
        </w:p>
        <w:sdt>
          <w:sdtPr>
            <w:alias w:val="是否适用：固定资产清理[双击切换]"/>
            <w:tag w:val="_GBC_e3c92a1042004e36882d16145109bd0e"/>
            <w:id w:val="677478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生产性生物资产</w:t>
      </w:r>
    </w:p>
    <w:sdt>
      <w:sdtPr>
        <w:rPr>
          <w:rFonts w:hint="eastAsia" w:ascii="宋体" w:hAnsi="宋体" w:cstheme="minorBidi"/>
          <w:b w:val="0"/>
          <w:bCs w:val="0"/>
          <w:kern w:val="0"/>
          <w:szCs w:val="21"/>
        </w:rPr>
        <w:alias w:val="模块:采用成成本计量模式的生产性生物资产"/>
        <w:tag w:val="_SEC_90a77fb9192246418dabc2bc031e38c0"/>
        <w:id w:val="6774785"/>
        <w:lock w:val="sdtLocked"/>
        <w:placeholder>
          <w:docPart w:val="GBC22222222222222222222222222222"/>
        </w:placeholder>
      </w:sdtPr>
      <w:sdtEndPr>
        <w:rPr>
          <w:rFonts w:hint="default" w:ascii="宋体" w:hAnsi="宋体" w:cstheme="minorBidi"/>
          <w:b w:val="0"/>
          <w:bCs w:val="0"/>
          <w:kern w:val="2"/>
          <w:szCs w:val="21"/>
        </w:rPr>
      </w:sdtEndPr>
      <w:sdtContent>
        <w:p>
          <w:pPr>
            <w:pStyle w:val="5"/>
            <w:numPr>
              <w:ilvl w:val="0"/>
              <w:numId w:val="79"/>
            </w:numPr>
            <w:tabs>
              <w:tab w:val="left" w:pos="602"/>
              <w:tab w:val="left" w:pos="798"/>
            </w:tabs>
            <w:rPr>
              <w:rFonts w:ascii="宋体" w:hAnsi="宋体"/>
              <w:kern w:val="0"/>
              <w:szCs w:val="21"/>
            </w:rPr>
          </w:pPr>
          <w:r>
            <w:rPr>
              <w:rFonts w:hint="eastAsia" w:ascii="宋体" w:hAnsi="宋体"/>
              <w:kern w:val="0"/>
              <w:szCs w:val="21"/>
            </w:rPr>
            <w:t>采用成本计量模式的生产性生物资产</w:t>
          </w:r>
        </w:p>
        <w:sdt>
          <w:sdtPr>
            <w:rPr>
              <w:rFonts w:hint="eastAsia"/>
              <w:szCs w:val="21"/>
            </w:rPr>
            <w:alias w:val="是否适用：财务附注：以成本计量的生产性生物资产[双击切换]"/>
            <w:tag w:val="_GBC_925c2a7345d74ba1bae908f2c1695459"/>
            <w:id w:val="6774784"/>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ascii="宋体" w:hAnsi="宋体" w:cstheme="minorBidi"/>
          <w:b w:val="0"/>
          <w:bCs w:val="0"/>
          <w:kern w:val="0"/>
          <w:szCs w:val="21"/>
        </w:rPr>
        <w:alias w:val="模块:采用公允价值计量模式的生产性生物资产"/>
        <w:tag w:val="_SEC_30033325948d42e88d046d357344a3ff"/>
        <w:id w:val="6774787"/>
        <w:lock w:val="sdtLocked"/>
        <w:placeholder>
          <w:docPart w:val="GBC22222222222222222222222222222"/>
        </w:placeholder>
      </w:sdtPr>
      <w:sdtEndPr>
        <w:rPr>
          <w:rFonts w:hint="eastAsia" w:asciiTheme="minorHAnsi" w:hAnsiTheme="minorHAnsi" w:cstheme="minorBidi"/>
          <w:b w:val="0"/>
          <w:bCs w:val="0"/>
          <w:kern w:val="2"/>
          <w:szCs w:val="22"/>
        </w:rPr>
      </w:sdtEndPr>
      <w:sdtContent>
        <w:p>
          <w:pPr>
            <w:pStyle w:val="5"/>
            <w:numPr>
              <w:ilvl w:val="0"/>
              <w:numId w:val="79"/>
            </w:numPr>
            <w:tabs>
              <w:tab w:val="left" w:pos="602"/>
              <w:tab w:val="left" w:pos="798"/>
            </w:tabs>
            <w:rPr>
              <w:rFonts w:ascii="宋体" w:hAnsi="宋体"/>
              <w:kern w:val="0"/>
              <w:szCs w:val="21"/>
            </w:rPr>
          </w:pPr>
          <w:r>
            <w:rPr>
              <w:rFonts w:hint="eastAsia" w:ascii="宋体" w:hAnsi="宋体"/>
              <w:kern w:val="0"/>
              <w:szCs w:val="21"/>
            </w:rPr>
            <w:t>采用公允价值计量模式的生产性生物资产</w:t>
          </w:r>
        </w:p>
        <w:sdt>
          <w:sdtPr>
            <w:rPr>
              <w:szCs w:val="21"/>
            </w:rPr>
            <w:alias w:val="是否适用：财务附注：以公允价值计量的生产性生物资产[双击切换]"/>
            <w:tag w:val="_GBC_9b7a21a74fee4d22abc99ad9ee747e07"/>
            <w:id w:val="6774786"/>
            <w:lock w:val="sdtContentLocked"/>
            <w:placeholder>
              <w:docPart w:val="GBC22222222222222222222222222222"/>
            </w:placeholder>
          </w:sdtPr>
          <w:sdtEndPr>
            <w:rPr>
              <w:szCs w:val="21"/>
            </w:rPr>
          </w:sdtEndPr>
          <w:sdtContent>
            <w:p>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SEC_559ebba506dc45c6ba746173e6e553db"/>
        <w:id w:val="6774789"/>
        <w:lock w:val="sdtLocked"/>
        <w:placeholder>
          <w:docPart w:val="GBC22222222222222222222222222222"/>
        </w:placeholder>
      </w:sdtPr>
      <w:sdtEndPr>
        <w:rPr>
          <w:rFonts w:hint="default"/>
          <w:szCs w:val="21"/>
        </w:rPr>
      </w:sdtEndPr>
      <w:sdtContent>
        <w:p>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6774788"/>
            <w:lock w:val="sdtContentLocked"/>
            <w:placeholder>
              <w:docPart w:val="GBC22222222222222222222222222222"/>
            </w:placeholder>
          </w:sdtPr>
          <w:sdtEndPr>
            <w:rPr>
              <w:szCs w:val="21"/>
            </w:rPr>
          </w:sdtEndPr>
          <w:sdtContent>
            <w:p>
              <w:pPr>
                <w:autoSpaceDE w:val="0"/>
                <w:autoSpaceDN w:val="0"/>
                <w:adjustRightInd w:val="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1"/>
        </w:rPr>
        <w:alias w:val="模块:油气资产"/>
        <w:tag w:val="_SEC_1c42b01146a94d2891a3a0557341368e"/>
        <w:id w:val="6774791"/>
        <w:lock w:val="sdtLocked"/>
        <w:placeholder>
          <w:docPart w:val="GBC22222222222222222222222222222"/>
        </w:placeholder>
      </w:sdtPr>
      <w:sdtEndPr>
        <w:rPr>
          <w:rFonts w:hint="default" w:ascii="宋体" w:hAnsi="宋体" w:cstheme="minorBidi"/>
          <w:b w:val="0"/>
          <w:bCs w:val="0"/>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油气资产</w:t>
          </w:r>
        </w:p>
        <w:sdt>
          <w:sdtPr>
            <w:alias w:val="是否适用：油气资产[双击切换]"/>
            <w:tag w:val="_GBC_a587239cd6ac4d96b99f6fe496e97c34"/>
            <w:id w:val="677479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autoSpaceDE w:val="0"/>
            <w:autoSpaceDN w:val="0"/>
            <w:adjustRightInd w:val="0"/>
            <w:rPr>
              <w:szCs w:val="21"/>
            </w:rPr>
          </w:pPr>
        </w:p>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无形资产</w:t>
      </w:r>
    </w:p>
    <w:sdt>
      <w:sdtPr>
        <w:rPr>
          <w:rFonts w:hint="eastAsia" w:ascii="宋体" w:hAnsi="宋体" w:cs="宋体"/>
          <w:b w:val="0"/>
          <w:bCs w:val="0"/>
          <w:kern w:val="0"/>
          <w:szCs w:val="21"/>
        </w:rPr>
        <w:alias w:val="模块:无形资产情况"/>
        <w:tag w:val="_SEC_dc6f356c9a9a424bba90c1f6f28b2ab0"/>
        <w:id w:val="6774828"/>
        <w:lock w:val="sdtLocked"/>
        <w:placeholder>
          <w:docPart w:val="GBC22222222222222222222222222222"/>
        </w:placeholder>
      </w:sdtPr>
      <w:sdtEndPr>
        <w:rPr>
          <w:rFonts w:hint="default" w:ascii="宋体" w:hAnsi="宋体" w:cs="宋体"/>
          <w:b w:val="0"/>
          <w:bCs w:val="0"/>
          <w:kern w:val="0"/>
          <w:szCs w:val="21"/>
        </w:rPr>
      </w:sdtEndPr>
      <w:sdtContent>
        <w:p>
          <w:pPr>
            <w:pStyle w:val="5"/>
            <w:numPr>
              <w:ilvl w:val="0"/>
              <w:numId w:val="80"/>
            </w:numPr>
            <w:tabs>
              <w:tab w:val="left" w:pos="602"/>
            </w:tabs>
            <w:rPr>
              <w:rFonts w:ascii="宋体" w:hAnsi="宋体"/>
              <w:szCs w:val="21"/>
            </w:rPr>
          </w:pPr>
          <w:r>
            <w:rPr>
              <w:rFonts w:hint="eastAsia" w:ascii="宋体" w:hAnsi="宋体"/>
              <w:szCs w:val="21"/>
            </w:rPr>
            <w:t>无形资产情况</w:t>
          </w:r>
        </w:p>
        <w:sdt>
          <w:sdtPr>
            <w:rPr>
              <w:rFonts w:hint="eastAsia"/>
              <w:szCs w:val="21"/>
            </w:rPr>
            <w:alias w:val="是否适用：无形资产情况[双击切换]"/>
            <w:tag w:val="_GBC_42237c7a99c64602a661c1668bc893bd"/>
            <w:id w:val="6774792"/>
            <w:lock w:val="sdtContentLocked"/>
            <w:placeholder>
              <w:docPart w:val="GBC22222222222222222222222222222"/>
            </w:placeholder>
          </w:sdtPr>
          <w:sdtEndPr>
            <w:rPr>
              <w:rFonts w:hint="eastAsia"/>
              <w:szCs w:val="21"/>
            </w:rPr>
          </w:sdtEndPr>
          <w:sdtContent>
            <w:p>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67747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6774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50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328"/>
            <w:gridCol w:w="1327"/>
            <w:gridCol w:w="1286"/>
            <w:gridCol w:w="158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0d0c5c4c9acf46eaa7c41a19eb731a5c"/>
                <w:id w:val="6774795"/>
                <w:lock w:val="sdtLocked"/>
              </w:sdtPr>
              <w:sdtContent>
                <w:tc>
                  <w:tcPr>
                    <w:tcW w:w="2405" w:type="dxa"/>
                    <w:shd w:val="clear" w:color="auto" w:fill="auto"/>
                    <w:vAlign w:val="center"/>
                  </w:tcPr>
                  <w:p>
                    <w:pPr>
                      <w:jc w:val="center"/>
                      <w:rPr>
                        <w:szCs w:val="21"/>
                      </w:rPr>
                    </w:pPr>
                    <w:r>
                      <w:rPr>
                        <w:rFonts w:hint="eastAsia"/>
                        <w:szCs w:val="21"/>
                      </w:rPr>
                      <w:t>项目</w:t>
                    </w:r>
                  </w:p>
                </w:tc>
              </w:sdtContent>
            </w:sdt>
            <w:sdt>
              <w:sdtPr>
                <w:tag w:val="_PLD_0dfc6d612ce04e4ab91d7f5c675c7954"/>
                <w:id w:val="6774796"/>
                <w:lock w:val="sdtLocked"/>
              </w:sdtPr>
              <w:sdtContent>
                <w:tc>
                  <w:tcPr>
                    <w:tcW w:w="1328" w:type="dxa"/>
                    <w:shd w:val="clear" w:color="auto" w:fill="auto"/>
                    <w:vAlign w:val="center"/>
                  </w:tcPr>
                  <w:p>
                    <w:pPr>
                      <w:jc w:val="center"/>
                      <w:rPr>
                        <w:szCs w:val="21"/>
                      </w:rPr>
                    </w:pPr>
                    <w:r>
                      <w:rPr>
                        <w:rFonts w:hint="eastAsia"/>
                        <w:szCs w:val="21"/>
                      </w:rPr>
                      <w:t>土地使用权</w:t>
                    </w:r>
                  </w:p>
                </w:tc>
              </w:sdtContent>
            </w:sdt>
            <w:sdt>
              <w:sdtPr>
                <w:tag w:val="_PLD_0d5a6bdde1fe4f6d9dcc5cb928d96ee9"/>
                <w:id w:val="6774797"/>
                <w:lock w:val="sdtLocked"/>
              </w:sdtPr>
              <w:sdtContent>
                <w:tc>
                  <w:tcPr>
                    <w:tcW w:w="1327" w:type="dxa"/>
                    <w:shd w:val="clear" w:color="auto" w:fill="auto"/>
                    <w:vAlign w:val="center"/>
                  </w:tcPr>
                  <w:p>
                    <w:pPr>
                      <w:jc w:val="center"/>
                      <w:rPr>
                        <w:szCs w:val="21"/>
                      </w:rPr>
                    </w:pPr>
                    <w:r>
                      <w:rPr>
                        <w:rFonts w:hint="eastAsia"/>
                        <w:szCs w:val="21"/>
                      </w:rPr>
                      <w:t>专利权</w:t>
                    </w:r>
                  </w:p>
                </w:tc>
              </w:sdtContent>
            </w:sdt>
            <w:sdt>
              <w:sdtPr>
                <w:tag w:val="_PLD_c4e41ad8ec594f0dafd60ebc1a7da7ce"/>
                <w:id w:val="6774798"/>
                <w:lock w:val="sdtLocked"/>
              </w:sdtPr>
              <w:sdtContent>
                <w:tc>
                  <w:tcPr>
                    <w:tcW w:w="1286" w:type="dxa"/>
                    <w:shd w:val="clear" w:color="auto" w:fill="auto"/>
                    <w:vAlign w:val="center"/>
                  </w:tcPr>
                  <w:p>
                    <w:pPr>
                      <w:jc w:val="center"/>
                      <w:rPr>
                        <w:szCs w:val="21"/>
                      </w:rPr>
                    </w:pPr>
                    <w:r>
                      <w:rPr>
                        <w:rFonts w:hint="eastAsia"/>
                        <w:szCs w:val="21"/>
                      </w:rPr>
                      <w:t>非专利技术</w:t>
                    </w:r>
                  </w:p>
                </w:tc>
              </w:sdtContent>
            </w:sdt>
            <w:sdt>
              <w:sdtPr>
                <w:rPr>
                  <w:szCs w:val="21"/>
                </w:rPr>
                <w:alias w:val="无形资产明细－项目"/>
                <w:tag w:val="_GBC_1a0001be34594900ba0c5e610a635d50"/>
                <w:id w:val="6774799"/>
                <w:lock w:val="sdtLocked"/>
              </w:sdtPr>
              <w:sdtEndPr>
                <w:rPr>
                  <w:rFonts w:hint="eastAsia"/>
                  <w:szCs w:val="21"/>
                </w:rPr>
              </w:sdtEndPr>
              <w:sdtContent>
                <w:tc>
                  <w:tcPr>
                    <w:tcW w:w="1582" w:type="dxa"/>
                    <w:shd w:val="clear" w:color="auto" w:fill="auto"/>
                    <w:vAlign w:val="center"/>
                  </w:tcPr>
                  <w:p>
                    <w:pPr>
                      <w:jc w:val="center"/>
                      <w:rPr>
                        <w:szCs w:val="21"/>
                      </w:rPr>
                    </w:pPr>
                    <w:r>
                      <w:rPr>
                        <w:rFonts w:hint="eastAsia"/>
                        <w:szCs w:val="21"/>
                      </w:rPr>
                      <w:t>软件</w:t>
                    </w:r>
                  </w:p>
                </w:tc>
              </w:sdtContent>
            </w:sdt>
            <w:sdt>
              <w:sdtPr>
                <w:tag w:val="_PLD_010a173744294c79817b77db863e3438"/>
                <w:id w:val="6774800"/>
                <w:lock w:val="sdtLocked"/>
              </w:sdtPr>
              <w:sdtContent>
                <w:tc>
                  <w:tcPr>
                    <w:tcW w:w="1581" w:type="dxa"/>
                    <w:shd w:val="clear" w:color="auto" w:fill="auto"/>
                    <w:vAlign w:val="center"/>
                  </w:tcPr>
                  <w:p>
                    <w:pPr>
                      <w:jc w:val="center"/>
                      <w:rPr>
                        <w:szCs w:val="21"/>
                      </w:rPr>
                    </w:pPr>
                    <w:r>
                      <w:rPr>
                        <w:szCs w:val="21"/>
                      </w:rPr>
                      <w:t>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d38b2136312a4180852ade61efe6b93c"/>
                <w:id w:val="6774801"/>
                <w:lock w:val="sdtLocked"/>
              </w:sdtPr>
              <w:sdtContent>
                <w:tc>
                  <w:tcPr>
                    <w:tcW w:w="2405" w:type="dxa"/>
                    <w:shd w:val="clear" w:color="auto" w:fill="auto"/>
                    <w:vAlign w:val="center"/>
                  </w:tcPr>
                  <w:p>
                    <w:pPr>
                      <w:rPr>
                        <w:szCs w:val="21"/>
                      </w:rPr>
                    </w:pPr>
                    <w:r>
                      <w:rPr>
                        <w:szCs w:val="21"/>
                      </w:rPr>
                      <w:t>一、</w:t>
                    </w:r>
                    <w:r>
                      <w:rPr>
                        <w:rFonts w:hint="eastAsia"/>
                        <w:szCs w:val="21"/>
                      </w:rPr>
                      <w:t>账面原值</w:t>
                    </w:r>
                  </w:p>
                </w:tc>
              </w:sdtContent>
            </w:sdt>
            <w:tc>
              <w:tcPr>
                <w:tcW w:w="1328" w:type="dxa"/>
                <w:shd w:val="clear" w:color="auto" w:fill="auto"/>
              </w:tcPr>
              <w:p>
                <w:pPr>
                  <w:rPr>
                    <w:szCs w:val="21"/>
                  </w:rPr>
                </w:pPr>
              </w:p>
            </w:tc>
            <w:tc>
              <w:tcPr>
                <w:tcW w:w="1327" w:type="dxa"/>
                <w:shd w:val="clear" w:color="auto" w:fill="auto"/>
              </w:tcPr>
              <w:p>
                <w:pPr>
                  <w:rPr>
                    <w:szCs w:val="21"/>
                  </w:rPr>
                </w:pPr>
              </w:p>
            </w:tc>
            <w:tc>
              <w:tcPr>
                <w:tcW w:w="1286" w:type="dxa"/>
                <w:shd w:val="clear" w:color="auto" w:fill="auto"/>
              </w:tcPr>
              <w:p>
                <w:pPr>
                  <w:rPr>
                    <w:szCs w:val="21"/>
                  </w:rPr>
                </w:pPr>
              </w:p>
            </w:tc>
            <w:tc>
              <w:tcPr>
                <w:tcW w:w="1582" w:type="dxa"/>
                <w:shd w:val="clear" w:color="auto" w:fill="auto"/>
              </w:tcPr>
              <w:p>
                <w:pPr>
                  <w:rPr>
                    <w:szCs w:val="21"/>
                  </w:rPr>
                </w:pPr>
              </w:p>
            </w:tc>
            <w:tc>
              <w:tcPr>
                <w:tcW w:w="1581" w:type="dxa"/>
                <w:shd w:val="clear" w:color="auto" w:fill="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c5adbbf7566848428d517f50646b04c1"/>
                <w:id w:val="6774802"/>
                <w:lock w:val="sdtLocked"/>
              </w:sdtPr>
              <w:sdtContent>
                <w:tc>
                  <w:tcPr>
                    <w:tcW w:w="2405" w:type="dxa"/>
                    <w:shd w:val="clear" w:color="auto" w:fill="auto"/>
                    <w:vAlign w:val="center"/>
                  </w:tcPr>
                  <w:p>
                    <w:pPr>
                      <w:rPr>
                        <w:szCs w:val="21"/>
                      </w:rPr>
                    </w:pPr>
                    <w:r>
                      <w:rPr>
                        <w:szCs w:val="21"/>
                      </w:rPr>
                      <w:t xml:space="preserve">    1.</w:t>
                    </w:r>
                    <w:r>
                      <w:rPr>
                        <w:rFonts w:hint="eastAsia"/>
                        <w:szCs w:val="21"/>
                      </w:rPr>
                      <w:t>期</w:t>
                    </w:r>
                    <w:r>
                      <w:rPr>
                        <w:szCs w:val="21"/>
                      </w:rPr>
                      <w:t>初余额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tcPr>
              <w:p>
                <w:pPr>
                  <w:jc w:val="right"/>
                  <w:rPr>
                    <w:szCs w:val="21"/>
                  </w:rPr>
                </w:pPr>
              </w:p>
            </w:tc>
            <w:tc>
              <w:tcPr>
                <w:tcW w:w="1581"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0b446630b07f4e06a5d143f4d4a21911"/>
                <w:id w:val="6774803"/>
                <w:lock w:val="sdtLocked"/>
              </w:sdtPr>
              <w:sdtContent>
                <w:tc>
                  <w:tcPr>
                    <w:tcW w:w="2405" w:type="dxa"/>
                    <w:shd w:val="clear" w:color="auto" w:fill="auto"/>
                    <w:vAlign w:val="center"/>
                  </w:tcPr>
                  <w:p>
                    <w:pPr>
                      <w:ind w:firstLine="420" w:firstLineChars="200"/>
                      <w:rPr>
                        <w:szCs w:val="21"/>
                      </w:rPr>
                    </w:pPr>
                    <w:r>
                      <w:rPr>
                        <w:szCs w:val="21"/>
                      </w:rPr>
                      <w:t>2.本期增加</w:t>
                    </w:r>
                    <w:r>
                      <w:rPr>
                        <w:rFonts w:hint="eastAsia"/>
                        <w:szCs w:val="21"/>
                      </w:rPr>
                      <w:t>金额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r>
                  <w:t>12,720,991.81</w:t>
                </w:r>
              </w:p>
            </w:tc>
            <w:tc>
              <w:tcPr>
                <w:tcW w:w="1581" w:type="dxa"/>
                <w:shd w:val="clear" w:color="auto" w:fill="auto"/>
                <w:vAlign w:val="center"/>
              </w:tcPr>
              <w:p>
                <w:pPr>
                  <w:jc w:val="right"/>
                  <w:rPr>
                    <w:szCs w:val="21"/>
                  </w:rPr>
                </w:pPr>
                <w:r>
                  <w:t>12,720,991.81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add88995250b4c76b28f71f8876082c0"/>
                <w:id w:val="6774804"/>
                <w:lock w:val="sdtLocked"/>
              </w:sdtPr>
              <w:sdtContent>
                <w:tc>
                  <w:tcPr>
                    <w:tcW w:w="2405" w:type="dxa"/>
                    <w:shd w:val="clear" w:color="auto" w:fill="auto"/>
                    <w:vAlign w:val="center"/>
                  </w:tcPr>
                  <w:p>
                    <w:pPr>
                      <w:ind w:firstLine="630" w:firstLineChars="300"/>
                      <w:rPr>
                        <w:szCs w:val="21"/>
                      </w:rPr>
                    </w:pPr>
                    <w:r>
                      <w:rPr>
                        <w:szCs w:val="21"/>
                      </w:rPr>
                      <w:t>(1)</w:t>
                    </w:r>
                    <w:r>
                      <w:rPr>
                        <w:rFonts w:hint="eastAsia"/>
                        <w:szCs w:val="21"/>
                      </w:rPr>
                      <w:t>购置</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r>
                  <w:t>12,720,991.81</w:t>
                </w:r>
              </w:p>
            </w:tc>
            <w:tc>
              <w:tcPr>
                <w:tcW w:w="1581" w:type="dxa"/>
                <w:shd w:val="clear" w:color="auto" w:fill="auto"/>
                <w:vAlign w:val="center"/>
              </w:tcPr>
              <w:p>
                <w:pPr>
                  <w:jc w:val="right"/>
                  <w:rPr>
                    <w:szCs w:val="21"/>
                  </w:rPr>
                </w:pPr>
                <w:r>
                  <w:t>12,720,991.81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c066ab7eb447440385f68a3f33860975"/>
                <w:id w:val="6774805"/>
                <w:lock w:val="sdtLocked"/>
              </w:sdtPr>
              <w:sdtContent>
                <w:tc>
                  <w:tcPr>
                    <w:tcW w:w="2405" w:type="dxa"/>
                    <w:shd w:val="clear" w:color="auto" w:fill="auto"/>
                    <w:vAlign w:val="center"/>
                  </w:tcPr>
                  <w:p>
                    <w:pPr>
                      <w:ind w:firstLine="630" w:firstLineChars="300"/>
                      <w:rPr>
                        <w:szCs w:val="21"/>
                      </w:rPr>
                    </w:pPr>
                    <w:r>
                      <w:rPr>
                        <w:rFonts w:hint="eastAsia"/>
                        <w:szCs w:val="21"/>
                      </w:rPr>
                      <w:t>(</w:t>
                    </w:r>
                    <w:r>
                      <w:rPr>
                        <w:szCs w:val="21"/>
                      </w:rPr>
                      <w:t>2)</w:t>
                    </w:r>
                    <w:r>
                      <w:rPr>
                        <w:rFonts w:hint="eastAsia"/>
                        <w:szCs w:val="21"/>
                      </w:rPr>
                      <w:t>内部研发</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303e6907290e43d49520d2c4d3577b0b"/>
                <w:id w:val="6774806"/>
                <w:lock w:val="sdtLocked"/>
              </w:sdtPr>
              <w:sdtContent>
                <w:tc>
                  <w:tcPr>
                    <w:tcW w:w="2405" w:type="dxa"/>
                    <w:shd w:val="clear" w:color="auto" w:fill="auto"/>
                  </w:tcPr>
                  <w:p>
                    <w:pPr>
                      <w:ind w:firstLine="630" w:firstLineChars="300"/>
                      <w:rPr>
                        <w:szCs w:val="21"/>
                      </w:rPr>
                    </w:pPr>
                    <w:r>
                      <w:rPr>
                        <w:rFonts w:hint="eastAsia"/>
                        <w:szCs w:val="21"/>
                      </w:rPr>
                      <w:t>(</w:t>
                    </w:r>
                    <w:r>
                      <w:rPr>
                        <w:szCs w:val="21"/>
                      </w:rPr>
                      <w:t>3</w:t>
                    </w:r>
                    <w:r>
                      <w:rPr>
                        <w:rFonts w:hint="eastAsia"/>
                        <w:szCs w:val="21"/>
                      </w:rPr>
                      <w:t>)企</w:t>
                    </w:r>
                    <w:r>
                      <w:rPr>
                        <w:szCs w:val="21"/>
                      </w:rPr>
                      <w:t>业合并增加</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ef6de8d106a344419ba63c194a180aab"/>
                <w:id w:val="6774807"/>
                <w:lock w:val="sdtLocked"/>
              </w:sdtPr>
              <w:sdtContent>
                <w:tc>
                  <w:tcPr>
                    <w:tcW w:w="2405" w:type="dxa"/>
                    <w:shd w:val="clear" w:color="auto" w:fill="auto"/>
                    <w:vAlign w:val="center"/>
                  </w:tcPr>
                  <w:p>
                    <w:pPr>
                      <w:rPr>
                        <w:szCs w:val="21"/>
                      </w:rPr>
                    </w:pPr>
                    <w:r>
                      <w:rPr>
                        <w:szCs w:val="21"/>
                      </w:rPr>
                      <w:t xml:space="preserve">    3.本期减少</w:t>
                    </w:r>
                    <w:r>
                      <w:rPr>
                        <w:rFonts w:hint="eastAsia"/>
                        <w:szCs w:val="21"/>
                      </w:rPr>
                      <w:t>金额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a2dde99d637c467abd414e8ab49b893b"/>
                <w:id w:val="6774808"/>
                <w:lock w:val="sdtLocked"/>
              </w:sdtPr>
              <w:sdtContent>
                <w:tc>
                  <w:tcPr>
                    <w:tcW w:w="2405" w:type="dxa"/>
                    <w:shd w:val="clear" w:color="auto" w:fill="auto"/>
                    <w:vAlign w:val="center"/>
                  </w:tcPr>
                  <w:p>
                    <w:pPr>
                      <w:ind w:firstLine="630" w:firstLineChars="300"/>
                      <w:rPr>
                        <w:szCs w:val="21"/>
                      </w:rPr>
                    </w:pPr>
                    <w:r>
                      <w:rPr>
                        <w:szCs w:val="21"/>
                      </w:rPr>
                      <w:t>(</w:t>
                    </w:r>
                    <w:r>
                      <w:rPr>
                        <w:rFonts w:hint="eastAsia"/>
                        <w:szCs w:val="21"/>
                      </w:rPr>
                      <w:t>1</w:t>
                    </w:r>
                    <w:r>
                      <w:rPr>
                        <w:szCs w:val="21"/>
                      </w:rPr>
                      <w:t>)</w:t>
                    </w:r>
                    <w:r>
                      <w:rPr>
                        <w:rFonts w:hint="eastAsia"/>
                        <w:szCs w:val="21"/>
                      </w:rPr>
                      <w:t>处置</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03745bff079541e1ababba4ad6de075d"/>
                <w:id w:val="6774809"/>
                <w:lock w:val="sdtLocked"/>
              </w:sdtPr>
              <w:sdtContent>
                <w:tc>
                  <w:tcPr>
                    <w:tcW w:w="2405" w:type="dxa"/>
                    <w:shd w:val="clear" w:color="auto" w:fill="auto"/>
                    <w:vAlign w:val="center"/>
                  </w:tcPr>
                  <w:p>
                    <w:pPr>
                      <w:rPr>
                        <w:szCs w:val="21"/>
                      </w:rPr>
                    </w:pPr>
                    <w:r>
                      <w:rPr>
                        <w:szCs w:val="21"/>
                      </w:rPr>
                      <w:t xml:space="preserve">   4.期末余额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r>
                  <w:t>12,720,991.81</w:t>
                </w:r>
              </w:p>
            </w:tc>
            <w:tc>
              <w:tcPr>
                <w:tcW w:w="1581" w:type="dxa"/>
                <w:shd w:val="clear" w:color="auto" w:fill="auto"/>
                <w:vAlign w:val="center"/>
              </w:tcPr>
              <w:p>
                <w:pPr>
                  <w:jc w:val="right"/>
                  <w:rPr>
                    <w:szCs w:val="21"/>
                  </w:rPr>
                </w:pPr>
                <w:r>
                  <w:t>12,720,991.81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31b6b6971eff48bf893163f2b1779469"/>
                <w:id w:val="6774810"/>
                <w:lock w:val="sdtLocked"/>
              </w:sdtPr>
              <w:sdtContent>
                <w:tc>
                  <w:tcPr>
                    <w:tcW w:w="2405" w:type="dxa"/>
                    <w:shd w:val="clear" w:color="auto" w:fill="auto"/>
                    <w:vAlign w:val="center"/>
                  </w:tcPr>
                  <w:p>
                    <w:pPr>
                      <w:rPr>
                        <w:szCs w:val="21"/>
                      </w:rPr>
                    </w:pPr>
                    <w:r>
                      <w:rPr>
                        <w:szCs w:val="21"/>
                      </w:rPr>
                      <w:t>二、累计</w:t>
                    </w:r>
                    <w:r>
                      <w:rPr>
                        <w:rFonts w:hint="eastAsia"/>
                        <w:szCs w:val="21"/>
                      </w:rPr>
                      <w:t>摊销</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r>
                  <w:t> </w:t>
                </w:r>
              </w:p>
            </w:tc>
            <w:tc>
              <w:tcPr>
                <w:tcW w:w="1581" w:type="dxa"/>
                <w:shd w:val="clear" w:color="auto" w:fill="auto"/>
                <w:vAlign w:val="center"/>
              </w:tcPr>
              <w:p>
                <w:pPr>
                  <w:jc w:val="right"/>
                  <w:rPr>
                    <w:szCs w:val="21"/>
                  </w:rPr>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192ef7a489984acd8b494007033b87de"/>
                <w:id w:val="6774811"/>
                <w:lock w:val="sdtLocked"/>
              </w:sdtPr>
              <w:sdtContent>
                <w:tc>
                  <w:tcPr>
                    <w:tcW w:w="2405" w:type="dxa"/>
                    <w:shd w:val="clear" w:color="auto" w:fill="auto"/>
                    <w:vAlign w:val="center"/>
                  </w:tcPr>
                  <w:p>
                    <w:pPr>
                      <w:ind w:firstLine="420" w:firstLineChars="200"/>
                      <w:rPr>
                        <w:szCs w:val="21"/>
                      </w:rPr>
                    </w:pPr>
                    <w:r>
                      <w:rPr>
                        <w:rFonts w:hint="eastAsia"/>
                        <w:szCs w:val="21"/>
                      </w:rPr>
                      <w:t>1.期</w:t>
                    </w:r>
                    <w:r>
                      <w:rPr>
                        <w:szCs w:val="21"/>
                      </w:rPr>
                      <w:t>初余额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d9b2c881fa5c4e37827a5af57760bac7"/>
                <w:id w:val="6774812"/>
                <w:lock w:val="sdtLocked"/>
              </w:sdtPr>
              <w:sdtContent>
                <w:tc>
                  <w:tcPr>
                    <w:tcW w:w="2405" w:type="dxa"/>
                    <w:shd w:val="clear" w:color="auto" w:fill="auto"/>
                    <w:vAlign w:val="center"/>
                  </w:tcPr>
                  <w:p>
                    <w:pPr>
                      <w:ind w:firstLine="420" w:firstLineChars="200"/>
                      <w:rPr>
                        <w:szCs w:val="21"/>
                      </w:rPr>
                    </w:pPr>
                    <w:r>
                      <w:rPr>
                        <w:szCs w:val="21"/>
                      </w:rPr>
                      <w:t>2.本期增加</w:t>
                    </w:r>
                    <w:r>
                      <w:rPr>
                        <w:rFonts w:hint="eastAsia"/>
                        <w:szCs w:val="21"/>
                      </w:rPr>
                      <w:t>金额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r>
                  <w:t>1,475,782.43</w:t>
                </w:r>
              </w:p>
            </w:tc>
            <w:tc>
              <w:tcPr>
                <w:tcW w:w="1581" w:type="dxa"/>
                <w:shd w:val="clear" w:color="auto" w:fill="auto"/>
                <w:vAlign w:val="center"/>
              </w:tcPr>
              <w:p>
                <w:pPr>
                  <w:jc w:val="right"/>
                  <w:rPr>
                    <w:szCs w:val="21"/>
                  </w:rPr>
                </w:pPr>
                <w:r>
                  <w:t>1,475,782.43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cc7d668427664f6aa25782750d371885"/>
                <w:id w:val="6774813"/>
                <w:lock w:val="sdtLocked"/>
              </w:sdtPr>
              <w:sdtContent>
                <w:tc>
                  <w:tcPr>
                    <w:tcW w:w="2405" w:type="dxa"/>
                    <w:shd w:val="clear" w:color="auto" w:fill="auto"/>
                    <w:vAlign w:val="center"/>
                  </w:tcPr>
                  <w:p>
                    <w:pPr>
                      <w:ind w:firstLine="630" w:firstLineChars="300"/>
                      <w:rPr>
                        <w:szCs w:val="21"/>
                      </w:rPr>
                    </w:pPr>
                    <w:r>
                      <w:rPr>
                        <w:rFonts w:hint="eastAsia"/>
                        <w:szCs w:val="21"/>
                      </w:rPr>
                      <w:t>（1）</w:t>
                    </w:r>
                    <w:r>
                      <w:rPr>
                        <w:szCs w:val="21"/>
                      </w:rPr>
                      <w:t>计提</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r>
                  <w:t>1,475,782.43</w:t>
                </w:r>
              </w:p>
            </w:tc>
            <w:tc>
              <w:tcPr>
                <w:tcW w:w="1581" w:type="dxa"/>
                <w:shd w:val="clear" w:color="auto" w:fill="auto"/>
                <w:vAlign w:val="center"/>
              </w:tcPr>
              <w:p>
                <w:pPr>
                  <w:jc w:val="right"/>
                  <w:rPr>
                    <w:szCs w:val="21"/>
                  </w:rPr>
                </w:pPr>
                <w:r>
                  <w:t>1,475,782.43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8e892aff304549108ee89d7a36074102"/>
                <w:id w:val="6774814"/>
                <w:lock w:val="sdtLocked"/>
              </w:sdtPr>
              <w:sdtContent>
                <w:tc>
                  <w:tcPr>
                    <w:tcW w:w="2405" w:type="dxa"/>
                    <w:shd w:val="clear" w:color="auto" w:fill="auto"/>
                    <w:vAlign w:val="center"/>
                  </w:tcPr>
                  <w:p>
                    <w:pPr>
                      <w:ind w:firstLine="420" w:firstLineChars="200"/>
                      <w:rPr>
                        <w:szCs w:val="21"/>
                      </w:rPr>
                    </w:pPr>
                    <w:r>
                      <w:rPr>
                        <w:rFonts w:hint="eastAsia"/>
                        <w:szCs w:val="21"/>
                      </w:rPr>
                      <w:t>3.</w:t>
                    </w:r>
                    <w:r>
                      <w:rPr>
                        <w:szCs w:val="21"/>
                      </w:rPr>
                      <w:t>本期减少</w:t>
                    </w:r>
                    <w:r>
                      <w:rPr>
                        <w:rFonts w:hint="eastAsia"/>
                        <w:szCs w:val="21"/>
                      </w:rPr>
                      <w:t>金额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f8ab01d348a04c4d883a00519ee0501a"/>
                <w:id w:val="6774815"/>
                <w:lock w:val="sdtLocked"/>
              </w:sdtPr>
              <w:sdtContent>
                <w:tc>
                  <w:tcPr>
                    <w:tcW w:w="2405" w:type="dxa"/>
                    <w:shd w:val="clear" w:color="auto" w:fill="auto"/>
                    <w:vAlign w:val="center"/>
                  </w:tcPr>
                  <w:p>
                    <w:pPr>
                      <w:ind w:firstLine="630" w:firstLineChars="300"/>
                      <w:rPr>
                        <w:szCs w:val="21"/>
                      </w:rPr>
                    </w:pPr>
                    <w:r>
                      <w:rPr>
                        <w:szCs w:val="21"/>
                      </w:rPr>
                      <w:t xml:space="preserve"> (</w:t>
                    </w:r>
                    <w:r>
                      <w:rPr>
                        <w:rFonts w:hint="eastAsia"/>
                        <w:szCs w:val="21"/>
                      </w:rPr>
                      <w:t>1</w:t>
                    </w:r>
                    <w:r>
                      <w:rPr>
                        <w:szCs w:val="21"/>
                      </w:rPr>
                      <w:t>)</w:t>
                    </w:r>
                    <w:r>
                      <w:rPr>
                        <w:rFonts w:hint="eastAsia"/>
                        <w:szCs w:val="21"/>
                      </w:rPr>
                      <w:t>处置</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00974608625b4b68972908d459d17711"/>
                <w:id w:val="6774816"/>
                <w:lock w:val="sdtLocked"/>
              </w:sdtPr>
              <w:sdtContent>
                <w:tc>
                  <w:tcPr>
                    <w:tcW w:w="2405" w:type="dxa"/>
                    <w:shd w:val="clear" w:color="auto" w:fill="auto"/>
                    <w:vAlign w:val="center"/>
                  </w:tcPr>
                  <w:p>
                    <w:pPr>
                      <w:ind w:firstLine="420" w:firstLineChars="200"/>
                      <w:rPr>
                        <w:szCs w:val="21"/>
                      </w:rPr>
                    </w:pPr>
                    <w:r>
                      <w:rPr>
                        <w:rFonts w:hint="eastAsia"/>
                        <w:szCs w:val="21"/>
                      </w:rPr>
                      <w:t>4.</w:t>
                    </w:r>
                    <w:r>
                      <w:rPr>
                        <w:szCs w:val="21"/>
                      </w:rPr>
                      <w:t>期末余额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r>
                  <w:t>1,475,782.43</w:t>
                </w:r>
              </w:p>
            </w:tc>
            <w:tc>
              <w:tcPr>
                <w:tcW w:w="1581" w:type="dxa"/>
                <w:shd w:val="clear" w:color="auto" w:fill="auto"/>
                <w:vAlign w:val="center"/>
              </w:tcPr>
              <w:p>
                <w:pPr>
                  <w:jc w:val="right"/>
                  <w:rPr>
                    <w:szCs w:val="21"/>
                  </w:rPr>
                </w:pPr>
                <w:r>
                  <w:t>1,475,782.43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f7d5f180eba449a29a01985d504a8cad"/>
                <w:id w:val="6774817"/>
                <w:lock w:val="sdtLocked"/>
              </w:sdtPr>
              <w:sdtContent>
                <w:tc>
                  <w:tcPr>
                    <w:tcW w:w="2405" w:type="dxa"/>
                    <w:shd w:val="clear" w:color="auto" w:fill="auto"/>
                    <w:vAlign w:val="center"/>
                  </w:tcPr>
                  <w:p>
                    <w:pPr>
                      <w:rPr>
                        <w:szCs w:val="21"/>
                      </w:rPr>
                    </w:pPr>
                    <w:r>
                      <w:rPr>
                        <w:szCs w:val="21"/>
                      </w:rPr>
                      <w:t>三、减值准备</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r>
                  <w:t> </w:t>
                </w:r>
              </w:p>
            </w:tc>
            <w:tc>
              <w:tcPr>
                <w:tcW w:w="1581" w:type="dxa"/>
                <w:shd w:val="clear" w:color="auto" w:fill="auto"/>
                <w:vAlign w:val="center"/>
              </w:tcPr>
              <w:p>
                <w:pPr>
                  <w:jc w:val="right"/>
                  <w:rPr>
                    <w:szCs w:val="21"/>
                  </w:rPr>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d456d6b4542546f2b64c57daa1b24f6c"/>
                <w:id w:val="6774818"/>
                <w:lock w:val="sdtLocked"/>
              </w:sdtPr>
              <w:sdtContent>
                <w:tc>
                  <w:tcPr>
                    <w:tcW w:w="2405" w:type="dxa"/>
                    <w:shd w:val="clear" w:color="auto" w:fill="auto"/>
                    <w:vAlign w:val="center"/>
                  </w:tcPr>
                  <w:p>
                    <w:pPr>
                      <w:ind w:firstLine="420" w:firstLineChars="200"/>
                      <w:rPr>
                        <w:szCs w:val="21"/>
                      </w:rPr>
                    </w:pPr>
                    <w:r>
                      <w:rPr>
                        <w:rFonts w:hint="eastAsia"/>
                        <w:szCs w:val="21"/>
                      </w:rPr>
                      <w:t>1.期</w:t>
                    </w:r>
                    <w:r>
                      <w:rPr>
                        <w:szCs w:val="21"/>
                      </w:rPr>
                      <w:t>初余额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e2857e7aebd8427e95c78e58c21c30a8"/>
                <w:id w:val="6774819"/>
                <w:lock w:val="sdtLocked"/>
              </w:sdtPr>
              <w:sdtContent>
                <w:tc>
                  <w:tcPr>
                    <w:tcW w:w="2405" w:type="dxa"/>
                    <w:shd w:val="clear" w:color="auto" w:fill="auto"/>
                    <w:vAlign w:val="center"/>
                  </w:tcPr>
                  <w:p>
                    <w:pPr>
                      <w:ind w:firstLine="420" w:firstLineChars="200"/>
                      <w:rPr>
                        <w:szCs w:val="21"/>
                      </w:rPr>
                    </w:pPr>
                    <w:r>
                      <w:rPr>
                        <w:szCs w:val="21"/>
                      </w:rPr>
                      <w:t>2.本期增加</w:t>
                    </w:r>
                    <w:r>
                      <w:rPr>
                        <w:rFonts w:hint="eastAsia"/>
                        <w:szCs w:val="21"/>
                      </w:rPr>
                      <w:t>金额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7e845556cb2643f09ea62762907b48f4"/>
                <w:id w:val="6774820"/>
                <w:lock w:val="sdtLocked"/>
              </w:sdtPr>
              <w:sdtContent>
                <w:tc>
                  <w:tcPr>
                    <w:tcW w:w="2405" w:type="dxa"/>
                    <w:shd w:val="clear" w:color="auto" w:fill="auto"/>
                    <w:vAlign w:val="center"/>
                  </w:tcPr>
                  <w:p>
                    <w:pPr>
                      <w:ind w:firstLine="630" w:firstLineChars="300"/>
                      <w:rPr>
                        <w:szCs w:val="21"/>
                      </w:rPr>
                    </w:pPr>
                    <w:r>
                      <w:rPr>
                        <w:rFonts w:hint="eastAsia"/>
                        <w:szCs w:val="21"/>
                      </w:rPr>
                      <w:t>（1）</w:t>
                    </w:r>
                    <w:r>
                      <w:rPr>
                        <w:szCs w:val="21"/>
                      </w:rPr>
                      <w:t>计提</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82ae87c72cfb4360abe17ac07d374fa6"/>
                <w:id w:val="6774821"/>
                <w:lock w:val="sdtLocked"/>
              </w:sdtPr>
              <w:sdtContent>
                <w:tc>
                  <w:tcPr>
                    <w:tcW w:w="2405" w:type="dxa"/>
                    <w:shd w:val="clear" w:color="auto" w:fill="auto"/>
                    <w:vAlign w:val="center"/>
                  </w:tcPr>
                  <w:p>
                    <w:pPr>
                      <w:ind w:firstLine="420" w:firstLineChars="200"/>
                      <w:rPr>
                        <w:szCs w:val="21"/>
                      </w:rPr>
                    </w:pPr>
                    <w:r>
                      <w:rPr>
                        <w:rFonts w:hint="eastAsia"/>
                        <w:szCs w:val="21"/>
                      </w:rPr>
                      <w:t>3.</w:t>
                    </w:r>
                    <w:r>
                      <w:rPr>
                        <w:szCs w:val="21"/>
                      </w:rPr>
                      <w:t>本期减少</w:t>
                    </w:r>
                    <w:r>
                      <w:rPr>
                        <w:rFonts w:hint="eastAsia"/>
                        <w:szCs w:val="21"/>
                      </w:rPr>
                      <w:t>金额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4281f362df094494bb5ac71abc4524c7"/>
                <w:id w:val="6774822"/>
                <w:lock w:val="sdtLocked"/>
              </w:sdtPr>
              <w:sdtContent>
                <w:tc>
                  <w:tcPr>
                    <w:tcW w:w="2405" w:type="dxa"/>
                    <w:shd w:val="clear" w:color="auto" w:fill="auto"/>
                    <w:vAlign w:val="center"/>
                  </w:tcPr>
                  <w:p>
                    <w:pPr>
                      <w:ind w:firstLine="630" w:firstLineChars="300"/>
                      <w:rPr>
                        <w:szCs w:val="21"/>
                      </w:rPr>
                    </w:pPr>
                    <w:r>
                      <w:rPr>
                        <w:szCs w:val="21"/>
                      </w:rPr>
                      <w:t>(</w:t>
                    </w:r>
                    <w:r>
                      <w:rPr>
                        <w:rFonts w:hint="eastAsia"/>
                        <w:szCs w:val="21"/>
                      </w:rPr>
                      <w:t>1</w:t>
                    </w:r>
                    <w:r>
                      <w:rPr>
                        <w:szCs w:val="21"/>
                      </w:rPr>
                      <w:t>)</w:t>
                    </w:r>
                    <w:r>
                      <w:rPr>
                        <w:rFonts w:hint="eastAsia"/>
                        <w:szCs w:val="21"/>
                      </w:rPr>
                      <w:t>处置</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9428ef0f2bd34dc7821d00833f5252c1"/>
                <w:id w:val="6774823"/>
                <w:lock w:val="sdtLocked"/>
              </w:sdtPr>
              <w:sdtContent>
                <w:tc>
                  <w:tcPr>
                    <w:tcW w:w="2405" w:type="dxa"/>
                    <w:shd w:val="clear" w:color="auto" w:fill="auto"/>
                    <w:vAlign w:val="center"/>
                  </w:tcPr>
                  <w:p>
                    <w:pPr>
                      <w:ind w:firstLine="420" w:firstLineChars="200"/>
                      <w:rPr>
                        <w:szCs w:val="21"/>
                      </w:rPr>
                    </w:pPr>
                    <w:r>
                      <w:rPr>
                        <w:rFonts w:hint="eastAsia"/>
                        <w:szCs w:val="21"/>
                      </w:rPr>
                      <w:t>4.</w:t>
                    </w:r>
                    <w:r>
                      <w:rPr>
                        <w:szCs w:val="21"/>
                      </w:rPr>
                      <w:t>期末余额</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p>
            </w:tc>
            <w:tc>
              <w:tcPr>
                <w:tcW w:w="1581" w:type="dxa"/>
                <w:shd w:val="clear" w:color="auto" w:fill="auto"/>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4b0672b3afec475f9c6133950914fc81"/>
                <w:id w:val="6774824"/>
                <w:lock w:val="sdtLocked"/>
              </w:sdtPr>
              <w:sdtContent>
                <w:tc>
                  <w:tcPr>
                    <w:tcW w:w="2405" w:type="dxa"/>
                    <w:shd w:val="clear" w:color="auto" w:fill="auto"/>
                    <w:vAlign w:val="center"/>
                  </w:tcPr>
                  <w:p>
                    <w:pPr>
                      <w:rPr>
                        <w:szCs w:val="21"/>
                      </w:rPr>
                    </w:pPr>
                    <w:r>
                      <w:rPr>
                        <w:szCs w:val="21"/>
                      </w:rPr>
                      <w:t>四、账面价值</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r>
                  <w:t> </w:t>
                </w:r>
              </w:p>
            </w:tc>
            <w:tc>
              <w:tcPr>
                <w:tcW w:w="1581" w:type="dxa"/>
                <w:shd w:val="clear" w:color="auto" w:fill="auto"/>
                <w:vAlign w:val="center"/>
              </w:tcPr>
              <w:p>
                <w:pPr>
                  <w:jc w:val="right"/>
                  <w:rPr>
                    <w:szCs w:val="21"/>
                  </w:rPr>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1fc70ce7dba842249c5899f16f4ea2f4"/>
                <w:id w:val="6774825"/>
                <w:lock w:val="sdtLocked"/>
              </w:sdtPr>
              <w:sdtContent>
                <w:tc>
                  <w:tcPr>
                    <w:tcW w:w="2405" w:type="dxa"/>
                    <w:shd w:val="clear" w:color="auto" w:fill="auto"/>
                    <w:vAlign w:val="center"/>
                  </w:tcPr>
                  <w:p>
                    <w:pPr>
                      <w:rPr>
                        <w:szCs w:val="21"/>
                      </w:rPr>
                    </w:pPr>
                    <w:r>
                      <w:rPr>
                        <w:szCs w:val="21"/>
                      </w:rPr>
                      <w:t xml:space="preserve">    1.期末账面价值</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vAlign w:val="center"/>
              </w:tcPr>
              <w:p>
                <w:pPr>
                  <w:jc w:val="right"/>
                  <w:rPr>
                    <w:szCs w:val="21"/>
                  </w:rPr>
                </w:pPr>
                <w:r>
                  <w:t>11,245,209.38</w:t>
                </w:r>
              </w:p>
            </w:tc>
            <w:tc>
              <w:tcPr>
                <w:tcW w:w="1581" w:type="dxa"/>
                <w:shd w:val="clear" w:color="auto" w:fill="auto"/>
                <w:vAlign w:val="center"/>
              </w:tcPr>
              <w:p>
                <w:pPr>
                  <w:jc w:val="right"/>
                  <w:rPr>
                    <w:szCs w:val="21"/>
                  </w:rPr>
                </w:pPr>
                <w:r>
                  <w:t>11,245,209.38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b71bc5d491a34e85a1ce292ad355233a"/>
                <w:id w:val="6774826"/>
                <w:lock w:val="sdtLocked"/>
              </w:sdtPr>
              <w:sdtContent>
                <w:tc>
                  <w:tcPr>
                    <w:tcW w:w="2405" w:type="dxa"/>
                    <w:shd w:val="clear" w:color="auto" w:fill="auto"/>
                    <w:vAlign w:val="center"/>
                  </w:tcPr>
                  <w:p>
                    <w:pPr>
                      <w:rPr>
                        <w:szCs w:val="21"/>
                      </w:rPr>
                    </w:pPr>
                    <w:r>
                      <w:rPr>
                        <w:szCs w:val="21"/>
                      </w:rPr>
                      <w:t xml:space="preserve">    2.</w:t>
                    </w:r>
                    <w:r>
                      <w:rPr>
                        <w:rFonts w:hint="eastAsia"/>
                        <w:szCs w:val="21"/>
                      </w:rPr>
                      <w:t>期初</w:t>
                    </w:r>
                    <w:r>
                      <w:rPr>
                        <w:szCs w:val="21"/>
                      </w:rPr>
                      <w:t>账面价值</w:t>
                    </w:r>
                  </w:p>
                </w:tc>
              </w:sdtContent>
            </w:sdt>
            <w:tc>
              <w:tcPr>
                <w:tcW w:w="1328" w:type="dxa"/>
                <w:shd w:val="clear" w:color="auto" w:fill="auto"/>
              </w:tcPr>
              <w:p>
                <w:pPr>
                  <w:jc w:val="right"/>
                  <w:rPr>
                    <w:szCs w:val="21"/>
                  </w:rPr>
                </w:pPr>
              </w:p>
            </w:tc>
            <w:tc>
              <w:tcPr>
                <w:tcW w:w="1327" w:type="dxa"/>
                <w:shd w:val="clear" w:color="auto" w:fill="auto"/>
              </w:tcPr>
              <w:p>
                <w:pPr>
                  <w:jc w:val="right"/>
                  <w:rPr>
                    <w:szCs w:val="21"/>
                  </w:rPr>
                </w:pPr>
              </w:p>
            </w:tc>
            <w:tc>
              <w:tcPr>
                <w:tcW w:w="1286" w:type="dxa"/>
                <w:shd w:val="clear" w:color="auto" w:fill="auto"/>
              </w:tcPr>
              <w:p>
                <w:pPr>
                  <w:jc w:val="right"/>
                  <w:rPr>
                    <w:szCs w:val="21"/>
                  </w:rPr>
                </w:pPr>
              </w:p>
            </w:tc>
            <w:tc>
              <w:tcPr>
                <w:tcW w:w="1582" w:type="dxa"/>
                <w:shd w:val="clear" w:color="auto" w:fill="auto"/>
              </w:tcPr>
              <w:p>
                <w:pPr>
                  <w:jc w:val="right"/>
                  <w:rPr>
                    <w:szCs w:val="21"/>
                  </w:rPr>
                </w:pPr>
              </w:p>
            </w:tc>
            <w:tc>
              <w:tcPr>
                <w:tcW w:w="1581" w:type="dxa"/>
                <w:shd w:val="clear" w:color="auto" w:fill="auto"/>
              </w:tcPr>
              <w:p>
                <w:pPr>
                  <w:jc w:val="right"/>
                  <w:rPr>
                    <w:szCs w:val="21"/>
                  </w:rPr>
                </w:pPr>
              </w:p>
            </w:tc>
          </w:tr>
        </w:tbl>
        <w:p/>
        <w:p>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a5caf6c87458439c8916b866a1bdf523"/>
              <w:id w:val="6774827"/>
              <w:lock w:val="sdtLocked"/>
              <w:placeholder>
                <w:docPart w:val="GBC22222222222222222222222222222"/>
              </w:placeholder>
            </w:sdtPr>
            <w:sdtEndPr>
              <w:rPr>
                <w:szCs w:val="21"/>
              </w:rPr>
            </w:sdtEndPr>
            <w:sdtContent>
              <w:r>
                <w:rPr>
                  <w:rFonts w:hint="eastAsia"/>
                  <w:szCs w:val="21"/>
                </w:rPr>
                <w:t>0％</w:t>
              </w:r>
            </w:sdtContent>
          </w:sdt>
        </w:p>
        <w:p>
          <w:pPr>
            <w:snapToGrid w:val="0"/>
            <w:spacing w:line="240" w:lineRule="atLeast"/>
            <w:rPr>
              <w:szCs w:val="21"/>
            </w:rPr>
          </w:pPr>
        </w:p>
      </w:sdtContent>
    </w:sdt>
    <w:sdt>
      <w:sdtPr>
        <w:rPr>
          <w:rFonts w:hint="eastAsia" w:ascii="宋体" w:hAnsi="宋体" w:cs="宋体"/>
          <w:b w:val="0"/>
          <w:bCs w:val="0"/>
          <w:kern w:val="0"/>
          <w:szCs w:val="21"/>
        </w:rPr>
        <w:alias w:val="模块:未办妥产权证书的土地使用权情况："/>
        <w:tag w:val="_SEC_1b15a58332a3426ebeab40769f9c3df1"/>
        <w:id w:val="6774830"/>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80"/>
            </w:numPr>
            <w:tabs>
              <w:tab w:val="left" w:pos="602"/>
            </w:tabs>
            <w:rPr>
              <w:szCs w:val="21"/>
            </w:rPr>
          </w:pPr>
          <w:r>
            <w:rPr>
              <w:rFonts w:hint="eastAsia"/>
              <w:szCs w:val="21"/>
            </w:rPr>
            <w:t>未办妥产权证书的土地使用权情况：</w:t>
          </w:r>
        </w:p>
        <w:p>
          <w:pPr>
            <w:rPr>
              <w:szCs w:val="21"/>
            </w:rPr>
          </w:pPr>
          <w:sdt>
            <w:sdtPr>
              <w:alias w:val="是否适用：未办妥产权证书的土地使用权情况[双击切换]"/>
              <w:tag w:val="_GBC_62bb02d09b844cb69dfe16466ac211c9"/>
              <w:id w:val="6774829"/>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szCs w:val="21"/>
        </w:rPr>
        <w:alias w:val="模块:无形资产说明"/>
        <w:tag w:val="_SEC_eb6a679b93d847e9a41997ee579c0c0b"/>
        <w:id w:val="6774832"/>
        <w:lock w:val="sdtLocked"/>
        <w:placeholder>
          <w:docPart w:val="GBC22222222222222222222222222222"/>
        </w:placeholder>
      </w:sdtPr>
      <w:sdtEndPr>
        <w:rPr>
          <w:szCs w:val="21"/>
        </w:rPr>
      </w:sdtEndPr>
      <w:sdtContent>
        <w:p>
          <w:pPr>
            <w:rPr>
              <w:szCs w:val="21"/>
            </w:rPr>
          </w:pPr>
          <w:r>
            <w:rPr>
              <w:rFonts w:hint="eastAsia"/>
              <w:szCs w:val="21"/>
            </w:rPr>
            <w:t>其他说明：</w:t>
          </w:r>
        </w:p>
        <w:sdt>
          <w:sdtPr>
            <w:rPr>
              <w:szCs w:val="21"/>
            </w:rPr>
            <w:alias w:val="是否适用：无形资产的说明[双击切换]"/>
            <w:tag w:val="_GBC_ff92654365f04f7ba71b01dd8af2f696"/>
            <w:id w:val="6774831"/>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snapToGrid w:val="0"/>
            <w:spacing w:line="240" w:lineRule="atLeast"/>
            <w:rPr>
              <w:szCs w:val="21"/>
            </w:rPr>
          </w:pPr>
        </w:p>
      </w:sdtContent>
    </w:sdt>
    <w:sdt>
      <w:sdtPr>
        <w:rPr>
          <w:rFonts w:hint="eastAsia" w:ascii="宋体" w:hAnsi="宋体" w:cs="宋体"/>
          <w:b w:val="0"/>
          <w:bCs w:val="0"/>
          <w:kern w:val="0"/>
          <w:szCs w:val="21"/>
        </w:rPr>
        <w:alias w:val="模块:公司开发项目支出"/>
        <w:tag w:val="_SEC_cf72b8a1a8b94a6db030e4d63349f86b"/>
        <w:id w:val="6774834"/>
        <w:lock w:val="sdtLocked"/>
        <w:placeholder>
          <w:docPart w:val="GBC22222222222222222222222222222"/>
        </w:placeholder>
      </w:sdtPr>
      <w:sdtEndPr>
        <w:rPr>
          <w:rFonts w:hint="default" w:ascii="宋体" w:hAnsi="宋体" w:cstheme="minorBidi"/>
          <w:b w:val="0"/>
          <w:bCs w:val="0"/>
          <w:kern w:val="2"/>
          <w:szCs w:val="21"/>
        </w:rPr>
      </w:sdtEndPr>
      <w:sdtContent>
        <w:p>
          <w:pPr>
            <w:pStyle w:val="4"/>
            <w:numPr>
              <w:ilvl w:val="0"/>
              <w:numId w:val="66"/>
            </w:numPr>
            <w:tabs>
              <w:tab w:val="left" w:pos="504"/>
            </w:tabs>
            <w:rPr>
              <w:rFonts w:ascii="宋体" w:hAnsi="宋体"/>
              <w:kern w:val="0"/>
              <w:szCs w:val="21"/>
            </w:rPr>
          </w:pPr>
          <w:r>
            <w:rPr>
              <w:rFonts w:hint="eastAsia" w:ascii="宋体" w:hAnsi="宋体"/>
              <w:szCs w:val="21"/>
            </w:rPr>
            <w:t>开发</w:t>
          </w:r>
          <w:r>
            <w:rPr>
              <w:rFonts w:hint="eastAsia" w:ascii="宋体" w:hAnsi="宋体"/>
              <w:kern w:val="0"/>
              <w:szCs w:val="21"/>
            </w:rPr>
            <w:t>支出</w:t>
          </w:r>
        </w:p>
        <w:sdt>
          <w:sdtPr>
            <w:alias w:val="是否适用：开发支出[双击切换]"/>
            <w:tag w:val="_GBC_ba9b0ed4b3c84b5a929932077b5d61e7"/>
            <w:id w:val="677483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napToGrid w:val="0"/>
            <w:spacing w:line="240" w:lineRule="atLeast"/>
            <w:rPr>
              <w:szCs w:val="21"/>
            </w:rPr>
          </w:pPr>
        </w:p>
      </w:sdtContent>
    </w:sdt>
    <w:p>
      <w:pPr>
        <w:snapToGrid w:val="0"/>
        <w:spacing w:line="240" w:lineRule="atLeast"/>
        <w:rPr>
          <w:szCs w:val="21"/>
        </w:rPr>
      </w:pPr>
    </w:p>
    <w:sdt>
      <w:sdtPr>
        <w:rPr>
          <w:rFonts w:hint="eastAsia" w:ascii="宋体" w:hAnsi="宋体" w:cs="宋体"/>
          <w:b w:val="0"/>
          <w:bCs w:val="0"/>
          <w:kern w:val="0"/>
          <w:szCs w:val="21"/>
        </w:rPr>
        <w:alias w:val="模块:商誉"/>
        <w:tag w:val="_SEC_c1b37e49b4784cd69e2bf4154039a71f"/>
        <w:id w:val="6774839"/>
        <w:lock w:val="sdtLocked"/>
        <w:placeholder>
          <w:docPart w:val="GBC22222222222222222222222222222"/>
        </w:placeholder>
      </w:sdtPr>
      <w:sdtEndPr>
        <w:rPr>
          <w:rFonts w:hint="eastAsia" w:ascii="宋体" w:hAnsi="宋体" w:cstheme="minorBidi"/>
          <w:b w:val="0"/>
          <w:bCs w:val="0"/>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商誉</w:t>
          </w:r>
        </w:p>
        <w:p>
          <w:pPr>
            <w:pStyle w:val="5"/>
            <w:numPr>
              <w:ilvl w:val="0"/>
              <w:numId w:val="81"/>
            </w:numPr>
            <w:tabs>
              <w:tab w:val="left" w:pos="588"/>
            </w:tabs>
          </w:pPr>
          <w:r>
            <w:rPr>
              <w:rFonts w:hint="eastAsia"/>
            </w:rPr>
            <w:t>商誉账面原值</w:t>
          </w:r>
        </w:p>
        <w:sdt>
          <w:sdtPr>
            <w:alias w:val="是否适用：商誉账面原值[双击切换]"/>
            <w:tag w:val="_GBC_ef393f0687ab4747a43cd96895a18dcb"/>
            <w:id w:val="6774835"/>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5"/>
            <w:numPr>
              <w:ilvl w:val="0"/>
              <w:numId w:val="81"/>
            </w:numPr>
            <w:tabs>
              <w:tab w:val="left" w:pos="588"/>
            </w:tabs>
          </w:pPr>
          <w:r>
            <w:rPr>
              <w:rFonts w:hint="eastAsia"/>
            </w:rPr>
            <w:t>商誉减值准备</w:t>
          </w:r>
        </w:p>
        <w:sdt>
          <w:sdtPr>
            <w:alias w:val="是否适用：商誉减值准备[双击切换]"/>
            <w:tag w:val="_GBC_6da4c3df55cf453f9753bb7045db7e9c"/>
            <w:id w:val="677483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
            <w:rPr>
              <w:rFonts w:hint="eastAsia"/>
            </w:rPr>
            <w:t>说明商誉减值测试过程、参数及商誉减值损失的确认方法</w:t>
          </w:r>
        </w:p>
        <w:sdt>
          <w:sdtPr>
            <w:alias w:val="是否适用：说明商誉减值测试过程、参数及商誉减值损失的确认方法[双击切换]"/>
            <w:tag w:val="_GBC_538215f0e019491d8a00405b6ad9554f"/>
            <w:id w:val="6774837"/>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p>
          <w:r>
            <w:rPr>
              <w:rFonts w:hint="eastAsia"/>
            </w:rPr>
            <w:t>其他说明</w:t>
          </w:r>
        </w:p>
        <w:sdt>
          <w:sdtPr>
            <w:alias w:val="是否适用：商誉其他需要说明的事项[双击切换]"/>
            <w:tag w:val="_GBC_99f8ebd0cb464294bea4051ad19cf581"/>
            <w:id w:val="6774838"/>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长期待摊费用"/>
        <w:tag w:val="_SEC_a4ccbe4057b4410cb2b998d6b11165cd"/>
        <w:id w:val="6774841"/>
        <w:lock w:val="sdtLocked"/>
        <w:placeholder>
          <w:docPart w:val="GBC22222222222222222222222222222"/>
        </w:placeholder>
      </w:sdtPr>
      <w:sdtEndPr>
        <w:rPr>
          <w:rFonts w:hint="default" w:ascii="宋体" w:hAnsi="宋体" w:cstheme="minorBidi"/>
          <w:b w:val="0"/>
          <w:bCs w:val="0"/>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长期待摊费用</w:t>
          </w:r>
        </w:p>
        <w:sdt>
          <w:sdtPr>
            <w:alias w:val="是否适用：长期待摊费用[双击切换]"/>
            <w:tag w:val="_GBC_cbcb541b65cd4be6b93f357c0fdd9f09"/>
            <w:id w:val="677484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递延所得税资产/ 递延所得税负债</w:t>
      </w:r>
    </w:p>
    <w:sdt>
      <w:sdtPr>
        <w:rPr>
          <w:rFonts w:hint="eastAsia" w:ascii="宋体" w:hAnsi="宋体" w:cs="宋体"/>
          <w:b w:val="0"/>
          <w:bCs w:val="0"/>
          <w:kern w:val="0"/>
          <w:szCs w:val="21"/>
        </w:rPr>
        <w:alias w:val="模块:递延所得税资产和递延所得税负债不以抵销后的净额列示"/>
        <w:tag w:val="_SEC_c648f0f0efdc4d4c85ff3f48a55f50ee"/>
        <w:id w:val="6774883"/>
        <w:lock w:val="sdtLocked"/>
        <w:placeholder>
          <w:docPart w:val="GBC22222222222222222222222222222"/>
        </w:placeholder>
      </w:sdtPr>
      <w:sdtEndPr>
        <w:rPr>
          <w:rFonts w:hint="eastAsia" w:ascii="宋体" w:hAnsi="宋体" w:cstheme="minorBidi"/>
          <w:b w:val="0"/>
          <w:bCs w:val="0"/>
          <w:kern w:val="2"/>
          <w:szCs w:val="21"/>
        </w:rPr>
      </w:sdtEndPr>
      <w:sdtContent>
        <w:p>
          <w:pPr>
            <w:pStyle w:val="5"/>
            <w:numPr>
              <w:ilvl w:val="0"/>
              <w:numId w:val="82"/>
            </w:numPr>
            <w:tabs>
              <w:tab w:val="left" w:pos="588"/>
              <w:tab w:val="left" w:pos="616"/>
            </w:tabs>
          </w:pPr>
          <w:bookmarkStart w:id="71" w:name="_Toc215903151"/>
          <w:r>
            <w:rPr>
              <w:rFonts w:hint="eastAsia"/>
            </w:rPr>
            <w:t>未经抵销的递延所得税资产</w:t>
          </w:r>
        </w:p>
        <w:sdt>
          <w:sdtPr>
            <w:alias w:val="是否适用：未经抵销的递延所得税资产[双击切换]"/>
            <w:tag w:val="_GBC_ba4415ee4af24efe852073192d94c115"/>
            <w:id w:val="677484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67748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bookmarkEnd w:id="71"/>
          <w:sdt>
            <w:sdtPr>
              <w:rPr>
                <w:rFonts w:hint="eastAsia"/>
                <w:szCs w:val="21"/>
              </w:rPr>
              <w:alias w:val="币种：财务附注：已确认的递延所得税资产和递延所得税负债"/>
              <w:tag w:val="_GBC_33d1ac52f1ce463294fce1044445d46f"/>
              <w:id w:val="67748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1686"/>
            <w:gridCol w:w="1598"/>
            <w:gridCol w:w="168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e006c9e7b70844cd8ef6f2cbb5161589"/>
                <w:id w:val="6774845"/>
                <w:lock w:val="sdtLocked"/>
              </w:sdtPr>
              <w:sdtContent>
                <w:tc>
                  <w:tcPr>
                    <w:tcW w:w="2395" w:type="dxa"/>
                    <w:vMerge w:val="restart"/>
                    <w:shd w:val="clear" w:color="auto" w:fill="auto"/>
                    <w:vAlign w:val="center"/>
                  </w:tcPr>
                  <w:p>
                    <w:pPr>
                      <w:jc w:val="center"/>
                      <w:rPr>
                        <w:szCs w:val="21"/>
                      </w:rPr>
                    </w:pPr>
                    <w:r>
                      <w:rPr>
                        <w:rFonts w:hint="eastAsia"/>
                        <w:szCs w:val="21"/>
                      </w:rPr>
                      <w:t>项目</w:t>
                    </w:r>
                  </w:p>
                </w:tc>
              </w:sdtContent>
            </w:sdt>
            <w:sdt>
              <w:sdtPr>
                <w:tag w:val="_PLD_9380d941020241f39819205f4df8c355"/>
                <w:id w:val="6774846"/>
                <w:lock w:val="sdtLocked"/>
              </w:sdtPr>
              <w:sdtContent>
                <w:tc>
                  <w:tcPr>
                    <w:tcW w:w="3284" w:type="dxa"/>
                    <w:gridSpan w:val="2"/>
                    <w:shd w:val="clear" w:color="auto" w:fill="auto"/>
                    <w:vAlign w:val="center"/>
                  </w:tcPr>
                  <w:p>
                    <w:pPr>
                      <w:jc w:val="center"/>
                      <w:rPr>
                        <w:szCs w:val="21"/>
                      </w:rPr>
                    </w:pPr>
                    <w:r>
                      <w:rPr>
                        <w:rFonts w:hint="eastAsia"/>
                        <w:szCs w:val="21"/>
                      </w:rPr>
                      <w:t>期末余额</w:t>
                    </w:r>
                  </w:p>
                </w:tc>
              </w:sdtContent>
            </w:sdt>
            <w:sdt>
              <w:sdtPr>
                <w:tag w:val="_PLD_40d587838e534f37a8f9a9e7e2020671"/>
                <w:id w:val="6774847"/>
                <w:lock w:val="sdtLocked"/>
              </w:sdtPr>
              <w:sdtContent>
                <w:tc>
                  <w:tcPr>
                    <w:tcW w:w="3372" w:type="dxa"/>
                    <w:gridSpan w:val="2"/>
                    <w:shd w:val="clear" w:color="auto" w:fill="auto"/>
                    <w:vAlign w:val="center"/>
                  </w:tcPr>
                  <w:p>
                    <w:pPr>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95" w:type="dxa"/>
                <w:vMerge w:val="continue"/>
                <w:shd w:val="clear" w:color="auto" w:fill="auto"/>
                <w:vAlign w:val="center"/>
              </w:tcPr>
              <w:p>
                <w:pPr>
                  <w:jc w:val="center"/>
                  <w:rPr>
                    <w:b/>
                    <w:szCs w:val="21"/>
                  </w:rPr>
                </w:pPr>
              </w:p>
            </w:tc>
            <w:sdt>
              <w:sdtPr>
                <w:tag w:val="_PLD_c239006a5e6040d58bedd94ab36e9784"/>
                <w:id w:val="6774848"/>
                <w:lock w:val="sdtLocked"/>
              </w:sdtPr>
              <w:sdtContent>
                <w:tc>
                  <w:tcPr>
                    <w:tcW w:w="1686" w:type="dxa"/>
                    <w:shd w:val="clear" w:color="auto" w:fill="auto"/>
                    <w:vAlign w:val="center"/>
                  </w:tcPr>
                  <w:p>
                    <w:pPr>
                      <w:jc w:val="center"/>
                      <w:rPr>
                        <w:szCs w:val="21"/>
                      </w:rPr>
                    </w:pPr>
                    <w:r>
                      <w:rPr>
                        <w:rFonts w:hint="eastAsia"/>
                        <w:szCs w:val="21"/>
                      </w:rPr>
                      <w:t>可抵扣暂时性差异</w:t>
                    </w:r>
                  </w:p>
                </w:tc>
              </w:sdtContent>
            </w:sdt>
            <w:sdt>
              <w:sdtPr>
                <w:tag w:val="_PLD_1559717fc58743e19a1e868ac528fbc0"/>
                <w:id w:val="6774849"/>
                <w:lock w:val="sdtLocked"/>
              </w:sdtPr>
              <w:sdtContent>
                <w:tc>
                  <w:tcPr>
                    <w:tcW w:w="1598" w:type="dxa"/>
                    <w:shd w:val="clear" w:color="auto" w:fill="auto"/>
                    <w:vAlign w:val="center"/>
                  </w:tcPr>
                  <w:p>
                    <w:pPr>
                      <w:jc w:val="center"/>
                      <w:rPr>
                        <w:szCs w:val="21"/>
                      </w:rPr>
                    </w:pPr>
                    <w:r>
                      <w:rPr>
                        <w:rFonts w:hint="eastAsia"/>
                        <w:szCs w:val="21"/>
                      </w:rPr>
                      <w:t>递延所得税</w:t>
                    </w:r>
                  </w:p>
                  <w:p>
                    <w:pPr>
                      <w:jc w:val="center"/>
                      <w:rPr>
                        <w:szCs w:val="21"/>
                      </w:rPr>
                    </w:pPr>
                    <w:r>
                      <w:rPr>
                        <w:rFonts w:hint="eastAsia"/>
                        <w:szCs w:val="21"/>
                      </w:rPr>
                      <w:t>资产</w:t>
                    </w:r>
                  </w:p>
                </w:tc>
              </w:sdtContent>
            </w:sdt>
            <w:sdt>
              <w:sdtPr>
                <w:tag w:val="_PLD_de171afb73ff474dbccc47c2cec6d4f1"/>
                <w:id w:val="6774850"/>
                <w:lock w:val="sdtLocked"/>
              </w:sdtPr>
              <w:sdtContent>
                <w:tc>
                  <w:tcPr>
                    <w:tcW w:w="1686" w:type="dxa"/>
                    <w:shd w:val="clear" w:color="auto" w:fill="auto"/>
                    <w:vAlign w:val="center"/>
                  </w:tcPr>
                  <w:p>
                    <w:pPr>
                      <w:jc w:val="center"/>
                      <w:rPr>
                        <w:szCs w:val="21"/>
                      </w:rPr>
                    </w:pPr>
                    <w:r>
                      <w:rPr>
                        <w:rFonts w:hint="eastAsia"/>
                        <w:szCs w:val="21"/>
                      </w:rPr>
                      <w:t>可抵扣暂时性差异</w:t>
                    </w:r>
                  </w:p>
                </w:tc>
              </w:sdtContent>
            </w:sdt>
            <w:sdt>
              <w:sdtPr>
                <w:tag w:val="_PLD_bafc90864e7347e5bb50ec31a5dffe05"/>
                <w:id w:val="6774851"/>
                <w:lock w:val="sdtLocked"/>
              </w:sdtPr>
              <w:sdtContent>
                <w:tc>
                  <w:tcPr>
                    <w:tcW w:w="1686" w:type="dxa"/>
                    <w:shd w:val="clear" w:color="auto" w:fill="auto"/>
                    <w:vAlign w:val="center"/>
                  </w:tcPr>
                  <w:p>
                    <w:pPr>
                      <w:jc w:val="center"/>
                      <w:rPr>
                        <w:szCs w:val="21"/>
                      </w:rPr>
                    </w:pPr>
                    <w:r>
                      <w:rPr>
                        <w:rFonts w:hint="eastAsia"/>
                        <w:szCs w:val="21"/>
                      </w:rPr>
                      <w:t>递延所得税</w:t>
                    </w:r>
                  </w:p>
                  <w:p>
                    <w:pPr>
                      <w:jc w:val="center"/>
                      <w:rPr>
                        <w:szCs w:val="21"/>
                      </w:rPr>
                    </w:pPr>
                    <w:r>
                      <w:rPr>
                        <w:rFonts w:hint="eastAsia"/>
                        <w:szCs w:val="21"/>
                      </w:rPr>
                      <w:t>资产</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a9dd5d10d8174be9a4f6ad53ac178647"/>
                <w:id w:val="6774852"/>
                <w:lock w:val="sdtLocked"/>
              </w:sdtPr>
              <w:sdtContent>
                <w:tc>
                  <w:tcPr>
                    <w:tcW w:w="2395" w:type="dxa"/>
                    <w:shd w:val="clear" w:color="auto" w:fill="auto"/>
                    <w:vAlign w:val="center"/>
                  </w:tcPr>
                  <w:p>
                    <w:pPr>
                      <w:ind w:firstLine="210" w:firstLineChars="100"/>
                      <w:rPr>
                        <w:szCs w:val="21"/>
                      </w:rPr>
                    </w:pPr>
                    <w:r>
                      <w:rPr>
                        <w:rFonts w:hint="eastAsia"/>
                        <w:szCs w:val="21"/>
                      </w:rPr>
                      <w:t>资产减值准备</w:t>
                    </w:r>
                  </w:p>
                </w:tc>
              </w:sdtContent>
            </w:sdt>
            <w:tc>
              <w:tcPr>
                <w:tcW w:w="1686" w:type="dxa"/>
                <w:shd w:val="clear" w:color="auto" w:fill="auto"/>
              </w:tcPr>
              <w:p>
                <w:pPr>
                  <w:jc w:val="right"/>
                  <w:rPr>
                    <w:szCs w:val="21"/>
                  </w:rPr>
                </w:pPr>
                <w:r>
                  <w:t>41,444,675.30</w:t>
                </w:r>
              </w:p>
            </w:tc>
            <w:tc>
              <w:tcPr>
                <w:tcW w:w="1598" w:type="dxa"/>
                <w:shd w:val="clear" w:color="auto" w:fill="auto"/>
              </w:tcPr>
              <w:p>
                <w:pPr>
                  <w:jc w:val="right"/>
                  <w:rPr>
                    <w:szCs w:val="21"/>
                  </w:rPr>
                </w:pPr>
                <w:r>
                  <w:t>6,216,701.30</w:t>
                </w:r>
              </w:p>
            </w:tc>
            <w:tc>
              <w:tcPr>
                <w:tcW w:w="1686" w:type="dxa"/>
                <w:shd w:val="clear" w:color="auto" w:fill="auto"/>
              </w:tcPr>
              <w:p>
                <w:pPr>
                  <w:jc w:val="right"/>
                  <w:rPr>
                    <w:szCs w:val="21"/>
                  </w:rPr>
                </w:pPr>
                <w:r>
                  <w:t>46,998,187.96</w:t>
                </w:r>
              </w:p>
            </w:tc>
            <w:tc>
              <w:tcPr>
                <w:tcW w:w="1686" w:type="dxa"/>
                <w:shd w:val="clear" w:color="auto" w:fill="auto"/>
              </w:tcPr>
              <w:p>
                <w:pPr>
                  <w:jc w:val="right"/>
                  <w:rPr>
                    <w:szCs w:val="21"/>
                  </w:rPr>
                </w:pPr>
                <w:r>
                  <w:t>7,049,728.19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d888a9019bdb4ec39459c5bfe650b183"/>
                <w:id w:val="6774853"/>
                <w:lock w:val="sdtLocked"/>
              </w:sdtPr>
              <w:sdtContent>
                <w:tc>
                  <w:tcPr>
                    <w:tcW w:w="2395" w:type="dxa"/>
                    <w:shd w:val="clear" w:color="auto" w:fill="auto"/>
                    <w:vAlign w:val="center"/>
                  </w:tcPr>
                  <w:p>
                    <w:pPr>
                      <w:ind w:firstLine="210" w:firstLineChars="100"/>
                      <w:rPr>
                        <w:szCs w:val="21"/>
                      </w:rPr>
                    </w:pPr>
                    <w:r>
                      <w:rPr>
                        <w:rFonts w:hint="eastAsia"/>
                        <w:szCs w:val="21"/>
                      </w:rPr>
                      <w:t>内部交易未实现利润</w:t>
                    </w:r>
                  </w:p>
                </w:tc>
              </w:sdtContent>
            </w:sdt>
            <w:tc>
              <w:tcPr>
                <w:tcW w:w="1686" w:type="dxa"/>
                <w:shd w:val="clear" w:color="auto" w:fill="auto"/>
              </w:tcPr>
              <w:p>
                <w:pPr>
                  <w:jc w:val="right"/>
                  <w:rPr>
                    <w:szCs w:val="21"/>
                  </w:rPr>
                </w:pPr>
              </w:p>
            </w:tc>
            <w:tc>
              <w:tcPr>
                <w:tcW w:w="1598" w:type="dxa"/>
                <w:shd w:val="clear" w:color="auto" w:fill="auto"/>
              </w:tcPr>
              <w:p>
                <w:pPr>
                  <w:jc w:val="right"/>
                  <w:rPr>
                    <w:szCs w:val="21"/>
                  </w:rPr>
                </w:pPr>
              </w:p>
            </w:tc>
            <w:tc>
              <w:tcPr>
                <w:tcW w:w="1686" w:type="dxa"/>
                <w:shd w:val="clear" w:color="auto" w:fill="auto"/>
              </w:tcPr>
              <w:p>
                <w:pPr>
                  <w:jc w:val="right"/>
                  <w:rPr>
                    <w:szCs w:val="21"/>
                  </w:rPr>
                </w:pPr>
              </w:p>
            </w:tc>
            <w:tc>
              <w:tcPr>
                <w:tcW w:w="1686"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412e3f8d0e1642ae9adf17341ca2fd4f"/>
                <w:id w:val="6774854"/>
                <w:lock w:val="sdtLocked"/>
              </w:sdtPr>
              <w:sdtContent>
                <w:tc>
                  <w:tcPr>
                    <w:tcW w:w="2395" w:type="dxa"/>
                    <w:tcBorders>
                      <w:bottom w:val="single" w:color="auto" w:sz="4" w:space="0"/>
                    </w:tcBorders>
                    <w:shd w:val="clear" w:color="auto" w:fill="auto"/>
                    <w:vAlign w:val="center"/>
                  </w:tcPr>
                  <w:p>
                    <w:pPr>
                      <w:ind w:firstLine="210" w:firstLineChars="100"/>
                      <w:rPr>
                        <w:szCs w:val="21"/>
                      </w:rPr>
                    </w:pPr>
                    <w:r>
                      <w:rPr>
                        <w:rFonts w:hint="eastAsia"/>
                        <w:szCs w:val="21"/>
                      </w:rPr>
                      <w:t>可抵扣亏损</w:t>
                    </w:r>
                  </w:p>
                </w:tc>
              </w:sdtContent>
            </w:sdt>
            <w:tc>
              <w:tcPr>
                <w:tcW w:w="1686" w:type="dxa"/>
                <w:shd w:val="clear" w:color="auto" w:fill="auto"/>
              </w:tcPr>
              <w:p>
                <w:pPr>
                  <w:jc w:val="right"/>
                  <w:rPr>
                    <w:szCs w:val="21"/>
                  </w:rPr>
                </w:pPr>
              </w:p>
            </w:tc>
            <w:tc>
              <w:tcPr>
                <w:tcW w:w="1598" w:type="dxa"/>
                <w:shd w:val="clear" w:color="auto" w:fill="auto"/>
              </w:tcPr>
              <w:p>
                <w:pPr>
                  <w:jc w:val="right"/>
                  <w:rPr>
                    <w:szCs w:val="21"/>
                  </w:rPr>
                </w:pPr>
              </w:p>
            </w:tc>
            <w:tc>
              <w:tcPr>
                <w:tcW w:w="1686" w:type="dxa"/>
                <w:shd w:val="clear" w:color="auto" w:fill="auto"/>
              </w:tcPr>
              <w:p>
                <w:pPr>
                  <w:jc w:val="right"/>
                  <w:rPr>
                    <w:szCs w:val="21"/>
                  </w:rPr>
                </w:pPr>
                <w:r>
                  <w:t>642,569,429.80</w:t>
                </w:r>
              </w:p>
            </w:tc>
            <w:tc>
              <w:tcPr>
                <w:tcW w:w="1686" w:type="dxa"/>
                <w:shd w:val="clear" w:color="auto" w:fill="auto"/>
              </w:tcPr>
              <w:p>
                <w:pPr>
                  <w:jc w:val="right"/>
                  <w:rPr>
                    <w:szCs w:val="21"/>
                  </w:rPr>
                </w:pPr>
                <w:r>
                  <w:t>96,385,414.47</w:t>
                </w:r>
              </w:p>
            </w:tc>
          </w:tr>
          <w:sdt>
            <w:sdtPr>
              <w:rPr>
                <w:szCs w:val="21"/>
              </w:rPr>
              <w:alias w:val="递延所得税资产明细"/>
              <w:tag w:val="_TUP_703575bf8b6048788dc624e748111109"/>
              <w:id w:val="6774855"/>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95" w:type="dxa"/>
                    <w:shd w:val="clear" w:color="auto" w:fill="auto"/>
                    <w:vAlign w:val="center"/>
                  </w:tcPr>
                  <w:p>
                    <w:pPr>
                      <w:ind w:firstLine="210" w:firstLineChars="100"/>
                      <w:rPr>
                        <w:szCs w:val="21"/>
                      </w:rPr>
                    </w:pPr>
                    <w:r>
                      <w:t>政府补助递延收益</w:t>
                    </w:r>
                  </w:p>
                </w:tc>
                <w:tc>
                  <w:tcPr>
                    <w:tcW w:w="1686" w:type="dxa"/>
                    <w:shd w:val="clear" w:color="auto" w:fill="auto"/>
                  </w:tcPr>
                  <w:p>
                    <w:pPr>
                      <w:jc w:val="right"/>
                      <w:rPr>
                        <w:szCs w:val="21"/>
                      </w:rPr>
                    </w:pPr>
                    <w:r>
                      <w:t>76,438,107.61</w:t>
                    </w:r>
                  </w:p>
                </w:tc>
                <w:tc>
                  <w:tcPr>
                    <w:tcW w:w="1598" w:type="dxa"/>
                    <w:shd w:val="clear" w:color="auto" w:fill="auto"/>
                  </w:tcPr>
                  <w:p>
                    <w:pPr>
                      <w:jc w:val="right"/>
                      <w:rPr>
                        <w:szCs w:val="21"/>
                      </w:rPr>
                    </w:pPr>
                    <w:r>
                      <w:t>11,465,716.14</w:t>
                    </w:r>
                  </w:p>
                </w:tc>
                <w:tc>
                  <w:tcPr>
                    <w:tcW w:w="1686" w:type="dxa"/>
                    <w:shd w:val="clear" w:color="auto" w:fill="auto"/>
                  </w:tcPr>
                  <w:p>
                    <w:pPr>
                      <w:jc w:val="right"/>
                      <w:rPr>
                        <w:szCs w:val="21"/>
                      </w:rPr>
                    </w:pPr>
                    <w:r>
                      <w:t>79,949,845.21</w:t>
                    </w:r>
                  </w:p>
                </w:tc>
                <w:tc>
                  <w:tcPr>
                    <w:tcW w:w="1686" w:type="dxa"/>
                    <w:shd w:val="clear" w:color="auto" w:fill="auto"/>
                  </w:tcPr>
                  <w:p>
                    <w:pPr>
                      <w:jc w:val="right"/>
                      <w:rPr>
                        <w:szCs w:val="21"/>
                      </w:rPr>
                    </w:pPr>
                    <w:r>
                      <w:t>11,992,476.78</w:t>
                    </w:r>
                  </w:p>
                </w:tc>
              </w:tr>
            </w:sdtContent>
          </w:sdt>
          <w:sdt>
            <w:sdtPr>
              <w:rPr>
                <w:szCs w:val="21"/>
              </w:rPr>
              <w:alias w:val="递延所得税资产明细"/>
              <w:tag w:val="_TUP_703575bf8b6048788dc624e748111109"/>
              <w:id w:val="6774856"/>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95" w:type="dxa"/>
                    <w:shd w:val="clear" w:color="auto" w:fill="auto"/>
                    <w:vAlign w:val="center"/>
                  </w:tcPr>
                  <w:p>
                    <w:pPr>
                      <w:ind w:firstLine="210" w:firstLineChars="100"/>
                      <w:rPr>
                        <w:szCs w:val="21"/>
                      </w:rPr>
                    </w:pPr>
                    <w:r>
                      <w:t>职工教育经费</w:t>
                    </w:r>
                  </w:p>
                </w:tc>
                <w:tc>
                  <w:tcPr>
                    <w:tcW w:w="1686" w:type="dxa"/>
                    <w:shd w:val="clear" w:color="auto" w:fill="auto"/>
                  </w:tcPr>
                  <w:p>
                    <w:pPr>
                      <w:jc w:val="right"/>
                      <w:rPr>
                        <w:szCs w:val="21"/>
                      </w:rPr>
                    </w:pPr>
                    <w:r>
                      <w:t>82,850,795.71</w:t>
                    </w:r>
                  </w:p>
                </w:tc>
                <w:tc>
                  <w:tcPr>
                    <w:tcW w:w="1598" w:type="dxa"/>
                    <w:shd w:val="clear" w:color="auto" w:fill="auto"/>
                  </w:tcPr>
                  <w:p>
                    <w:pPr>
                      <w:jc w:val="right"/>
                      <w:rPr>
                        <w:szCs w:val="21"/>
                      </w:rPr>
                    </w:pPr>
                    <w:r>
                      <w:t>12,427,619.36</w:t>
                    </w:r>
                  </w:p>
                </w:tc>
                <w:tc>
                  <w:tcPr>
                    <w:tcW w:w="1686" w:type="dxa"/>
                    <w:shd w:val="clear" w:color="auto" w:fill="auto"/>
                  </w:tcPr>
                  <w:p>
                    <w:pPr>
                      <w:jc w:val="right"/>
                      <w:rPr>
                        <w:szCs w:val="21"/>
                      </w:rPr>
                    </w:pPr>
                    <w:r>
                      <w:t>70,198,461.04</w:t>
                    </w:r>
                  </w:p>
                </w:tc>
                <w:tc>
                  <w:tcPr>
                    <w:tcW w:w="1686" w:type="dxa"/>
                    <w:shd w:val="clear" w:color="auto" w:fill="auto"/>
                  </w:tcPr>
                  <w:p>
                    <w:pPr>
                      <w:jc w:val="right"/>
                      <w:rPr>
                        <w:szCs w:val="21"/>
                      </w:rPr>
                    </w:pPr>
                    <w:r>
                      <w:t>10,529,769.16</w:t>
                    </w:r>
                  </w:p>
                </w:tc>
              </w:tr>
            </w:sdtContent>
          </w:sdt>
          <w:sdt>
            <w:sdtPr>
              <w:rPr>
                <w:szCs w:val="21"/>
              </w:rPr>
              <w:alias w:val="递延所得税资产明细"/>
              <w:tag w:val="_TUP_703575bf8b6048788dc624e748111109"/>
              <w:id w:val="6774857"/>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95" w:type="dxa"/>
                    <w:shd w:val="clear" w:color="auto" w:fill="auto"/>
                    <w:vAlign w:val="center"/>
                  </w:tcPr>
                  <w:p>
                    <w:pPr>
                      <w:ind w:firstLine="210" w:firstLineChars="100"/>
                      <w:rPr>
                        <w:szCs w:val="21"/>
                      </w:rPr>
                    </w:pPr>
                    <w:r>
                      <w:t>水利建设基金</w:t>
                    </w:r>
                  </w:p>
                </w:tc>
                <w:tc>
                  <w:tcPr>
                    <w:tcW w:w="1686" w:type="dxa"/>
                    <w:shd w:val="clear" w:color="auto" w:fill="auto"/>
                  </w:tcPr>
                  <w:p>
                    <w:pPr>
                      <w:jc w:val="right"/>
                      <w:rPr>
                        <w:szCs w:val="21"/>
                      </w:rPr>
                    </w:pPr>
                    <w:r>
                      <w:t>155,228,443.40</w:t>
                    </w:r>
                  </w:p>
                </w:tc>
                <w:tc>
                  <w:tcPr>
                    <w:tcW w:w="1598" w:type="dxa"/>
                    <w:shd w:val="clear" w:color="auto" w:fill="auto"/>
                  </w:tcPr>
                  <w:p>
                    <w:pPr>
                      <w:jc w:val="right"/>
                      <w:rPr>
                        <w:szCs w:val="21"/>
                      </w:rPr>
                    </w:pPr>
                    <w:r>
                      <w:t>23,284,266.51</w:t>
                    </w:r>
                  </w:p>
                </w:tc>
                <w:tc>
                  <w:tcPr>
                    <w:tcW w:w="1686" w:type="dxa"/>
                    <w:shd w:val="clear" w:color="auto" w:fill="auto"/>
                  </w:tcPr>
                  <w:p>
                    <w:pPr>
                      <w:jc w:val="right"/>
                      <w:rPr>
                        <w:szCs w:val="21"/>
                      </w:rPr>
                    </w:pPr>
                    <w:r>
                      <w:t>125,027,319.35</w:t>
                    </w:r>
                  </w:p>
                </w:tc>
                <w:tc>
                  <w:tcPr>
                    <w:tcW w:w="1686" w:type="dxa"/>
                    <w:shd w:val="clear" w:color="auto" w:fill="auto"/>
                  </w:tcPr>
                  <w:p>
                    <w:pPr>
                      <w:jc w:val="right"/>
                      <w:rPr>
                        <w:szCs w:val="21"/>
                      </w:rPr>
                    </w:pPr>
                    <w:r>
                      <w:t>18,754,097.90</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6fc9224998ff4043b5f3c058cb2e9971"/>
                <w:id w:val="6774858"/>
                <w:lock w:val="sdtLocked"/>
              </w:sdtPr>
              <w:sdtContent>
                <w:tc>
                  <w:tcPr>
                    <w:tcW w:w="2395" w:type="dxa"/>
                    <w:shd w:val="clear" w:color="auto" w:fill="auto"/>
                    <w:vAlign w:val="center"/>
                  </w:tcPr>
                  <w:p>
                    <w:pPr>
                      <w:jc w:val="center"/>
                      <w:rPr>
                        <w:szCs w:val="21"/>
                      </w:rPr>
                    </w:pPr>
                    <w:r>
                      <w:rPr>
                        <w:rFonts w:hint="eastAsia"/>
                        <w:szCs w:val="21"/>
                      </w:rPr>
                      <w:t>合计</w:t>
                    </w:r>
                  </w:p>
                </w:tc>
              </w:sdtContent>
            </w:sdt>
            <w:tc>
              <w:tcPr>
                <w:tcW w:w="1686" w:type="dxa"/>
                <w:shd w:val="clear" w:color="auto" w:fill="auto"/>
              </w:tcPr>
              <w:p>
                <w:pPr>
                  <w:jc w:val="right"/>
                  <w:rPr>
                    <w:szCs w:val="21"/>
                  </w:rPr>
                </w:pPr>
                <w:r>
                  <w:t>355,962,022.02</w:t>
                </w:r>
              </w:p>
            </w:tc>
            <w:tc>
              <w:tcPr>
                <w:tcW w:w="1598" w:type="dxa"/>
                <w:shd w:val="clear" w:color="auto" w:fill="auto"/>
              </w:tcPr>
              <w:p>
                <w:pPr>
                  <w:jc w:val="right"/>
                  <w:rPr>
                    <w:szCs w:val="21"/>
                  </w:rPr>
                </w:pPr>
                <w:r>
                  <w:t>53,394,303.31</w:t>
                </w:r>
              </w:p>
            </w:tc>
            <w:tc>
              <w:tcPr>
                <w:tcW w:w="1686" w:type="dxa"/>
                <w:shd w:val="clear" w:color="auto" w:fill="auto"/>
              </w:tcPr>
              <w:p>
                <w:pPr>
                  <w:jc w:val="right"/>
                  <w:rPr>
                    <w:szCs w:val="21"/>
                  </w:rPr>
                </w:pPr>
                <w:r>
                  <w:t>964,743,243.36</w:t>
                </w:r>
              </w:p>
            </w:tc>
            <w:tc>
              <w:tcPr>
                <w:tcW w:w="1686" w:type="dxa"/>
                <w:shd w:val="clear" w:color="auto" w:fill="auto"/>
              </w:tcPr>
              <w:p>
                <w:pPr>
                  <w:jc w:val="right"/>
                  <w:rPr>
                    <w:szCs w:val="21"/>
                  </w:rPr>
                </w:pPr>
                <w:r>
                  <w:t>144,711,486.50</w:t>
                </w:r>
              </w:p>
            </w:tc>
          </w:tr>
        </w:tbl>
        <w:p/>
        <w:p>
          <w:pPr>
            <w:pStyle w:val="5"/>
            <w:numPr>
              <w:ilvl w:val="0"/>
              <w:numId w:val="82"/>
            </w:numPr>
            <w:tabs>
              <w:tab w:val="left" w:pos="588"/>
              <w:tab w:val="left" w:pos="616"/>
            </w:tabs>
          </w:pPr>
          <w:r>
            <w:rPr>
              <w:rFonts w:hint="eastAsia"/>
            </w:rPr>
            <w:t>未经抵销的递延所得税负债</w:t>
          </w:r>
        </w:p>
        <w:p>
          <w:sdt>
            <w:sdtPr>
              <w:alias w:val="是否适用：未经抵销的递延所得税负债[双击切换]"/>
              <w:tag w:val="_GBC_e7d8f83d611d4464afa60fcd4c2b0690"/>
              <w:id w:val="6774859"/>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jc w:val="right"/>
          </w:pPr>
          <w:r>
            <w:rPr>
              <w:rFonts w:hint="eastAsia"/>
            </w:rPr>
            <w:t>单位：</w:t>
          </w:r>
          <w:sdt>
            <w:sdtPr>
              <w:rPr>
                <w:rFonts w:hint="eastAsia"/>
              </w:rPr>
              <w:alias w:val="单位：财务附注：未经抵销的递延所得税负债"/>
              <w:tag w:val="_GBC_20c1fd2b551d429d888a1c48c5ee9c5a"/>
              <w:id w:val="677486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67748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558"/>
            <w:gridCol w:w="1365"/>
            <w:gridCol w:w="1477"/>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81f47d33d4f34c9fa6724e31450fa4ae"/>
                <w:id w:val="6774862"/>
                <w:lock w:val="sdtLocked"/>
              </w:sdtPr>
              <w:sdtContent>
                <w:tc>
                  <w:tcPr>
                    <w:tcW w:w="3369" w:type="dxa"/>
                    <w:vMerge w:val="restart"/>
                    <w:shd w:val="clear" w:color="auto" w:fill="auto"/>
                    <w:vAlign w:val="center"/>
                  </w:tcPr>
                  <w:p>
                    <w:pPr>
                      <w:jc w:val="center"/>
                      <w:rPr>
                        <w:szCs w:val="21"/>
                      </w:rPr>
                    </w:pPr>
                    <w:r>
                      <w:rPr>
                        <w:rFonts w:hint="eastAsia"/>
                        <w:szCs w:val="21"/>
                      </w:rPr>
                      <w:t>项目</w:t>
                    </w:r>
                  </w:p>
                  <w:p>
                    <w:pPr>
                      <w:jc w:val="center"/>
                      <w:rPr>
                        <w:szCs w:val="21"/>
                      </w:rPr>
                    </w:pPr>
                  </w:p>
                </w:tc>
              </w:sdtContent>
            </w:sdt>
            <w:sdt>
              <w:sdtPr>
                <w:tag w:val="_PLD_063cf4fd25c146ca8e04dbf257e00f41"/>
                <w:id w:val="6774863"/>
                <w:lock w:val="sdtLocked"/>
              </w:sdtPr>
              <w:sdtContent>
                <w:tc>
                  <w:tcPr>
                    <w:tcW w:w="2923" w:type="dxa"/>
                    <w:gridSpan w:val="2"/>
                    <w:shd w:val="clear" w:color="auto" w:fill="auto"/>
                    <w:vAlign w:val="center"/>
                  </w:tcPr>
                  <w:p>
                    <w:pPr>
                      <w:jc w:val="center"/>
                      <w:rPr>
                        <w:szCs w:val="21"/>
                      </w:rPr>
                    </w:pPr>
                    <w:r>
                      <w:rPr>
                        <w:rFonts w:hint="eastAsia"/>
                        <w:szCs w:val="21"/>
                      </w:rPr>
                      <w:t>期末余额</w:t>
                    </w:r>
                  </w:p>
                </w:tc>
              </w:sdtContent>
            </w:sdt>
            <w:sdt>
              <w:sdtPr>
                <w:tag w:val="_PLD_8a10003f9e3c43e8a6a7d9c0319fa60e"/>
                <w:id w:val="6774864"/>
                <w:lock w:val="sdtLocked"/>
              </w:sdtPr>
              <w:sdtContent>
                <w:tc>
                  <w:tcPr>
                    <w:tcW w:w="2757" w:type="dxa"/>
                    <w:gridSpan w:val="2"/>
                    <w:shd w:val="clear" w:color="auto" w:fill="auto"/>
                    <w:vAlign w:val="center"/>
                  </w:tcPr>
                  <w:p>
                    <w:pPr>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369" w:type="dxa"/>
                <w:vMerge w:val="continue"/>
                <w:shd w:val="clear" w:color="auto" w:fill="auto"/>
                <w:vAlign w:val="center"/>
              </w:tcPr>
              <w:p>
                <w:pPr>
                  <w:jc w:val="center"/>
                  <w:rPr>
                    <w:b/>
                    <w:szCs w:val="21"/>
                  </w:rPr>
                </w:pPr>
              </w:p>
            </w:tc>
            <w:sdt>
              <w:sdtPr>
                <w:tag w:val="_PLD_5f43cd485b6945b4b3a1959a821e6e33"/>
                <w:id w:val="6774865"/>
                <w:lock w:val="sdtLocked"/>
              </w:sdtPr>
              <w:sdtContent>
                <w:tc>
                  <w:tcPr>
                    <w:tcW w:w="1558" w:type="dxa"/>
                    <w:shd w:val="clear" w:color="auto" w:fill="auto"/>
                    <w:vAlign w:val="center"/>
                  </w:tcPr>
                  <w:p>
                    <w:pPr>
                      <w:jc w:val="center"/>
                      <w:rPr>
                        <w:szCs w:val="21"/>
                      </w:rPr>
                    </w:pPr>
                    <w:r>
                      <w:rPr>
                        <w:rFonts w:hint="eastAsia" w:ascii="Arial" w:hAnsi="Arial"/>
                        <w:szCs w:val="21"/>
                      </w:rPr>
                      <w:t>应纳税暂时性差异</w:t>
                    </w:r>
                  </w:p>
                </w:tc>
              </w:sdtContent>
            </w:sdt>
            <w:sdt>
              <w:sdtPr>
                <w:tag w:val="_PLD_6d73da82a2ae4f1592f149ebd7dd67b0"/>
                <w:id w:val="6774866"/>
                <w:lock w:val="sdtLocked"/>
              </w:sdtPr>
              <w:sdtContent>
                <w:tc>
                  <w:tcPr>
                    <w:tcW w:w="1365" w:type="dxa"/>
                    <w:shd w:val="clear" w:color="auto" w:fill="auto"/>
                    <w:vAlign w:val="center"/>
                  </w:tcPr>
                  <w:p>
                    <w:pPr>
                      <w:jc w:val="center"/>
                      <w:rPr>
                        <w:szCs w:val="21"/>
                      </w:rPr>
                    </w:pPr>
                    <w:r>
                      <w:rPr>
                        <w:rFonts w:hint="eastAsia"/>
                        <w:szCs w:val="21"/>
                      </w:rPr>
                      <w:t>递延所得税</w:t>
                    </w:r>
                  </w:p>
                  <w:p>
                    <w:pPr>
                      <w:jc w:val="center"/>
                      <w:rPr>
                        <w:szCs w:val="21"/>
                      </w:rPr>
                    </w:pPr>
                    <w:r>
                      <w:rPr>
                        <w:rFonts w:hint="eastAsia"/>
                        <w:szCs w:val="21"/>
                      </w:rPr>
                      <w:t>负债</w:t>
                    </w:r>
                  </w:p>
                </w:tc>
              </w:sdtContent>
            </w:sdt>
            <w:sdt>
              <w:sdtPr>
                <w:tag w:val="_PLD_9022159a1a5241359440eb7d0d056e09"/>
                <w:id w:val="6774867"/>
                <w:lock w:val="sdtLocked"/>
              </w:sdtPr>
              <w:sdtContent>
                <w:tc>
                  <w:tcPr>
                    <w:tcW w:w="1477" w:type="dxa"/>
                    <w:shd w:val="clear" w:color="auto" w:fill="auto"/>
                    <w:vAlign w:val="center"/>
                  </w:tcPr>
                  <w:p>
                    <w:pPr>
                      <w:jc w:val="center"/>
                      <w:rPr>
                        <w:szCs w:val="21"/>
                      </w:rPr>
                    </w:pPr>
                    <w:r>
                      <w:rPr>
                        <w:rFonts w:hint="eastAsia" w:ascii="Arial" w:hAnsi="Arial"/>
                        <w:szCs w:val="21"/>
                      </w:rPr>
                      <w:t>应纳税暂时性差异</w:t>
                    </w:r>
                  </w:p>
                </w:tc>
              </w:sdtContent>
            </w:sdt>
            <w:sdt>
              <w:sdtPr>
                <w:tag w:val="_PLD_6577d41f25a14352a5feaeb375b5279e"/>
                <w:id w:val="6774868"/>
                <w:lock w:val="sdtLocked"/>
              </w:sdtPr>
              <w:sdtContent>
                <w:tc>
                  <w:tcPr>
                    <w:tcW w:w="1280" w:type="dxa"/>
                    <w:shd w:val="clear" w:color="auto" w:fill="auto"/>
                    <w:vAlign w:val="center"/>
                  </w:tcPr>
                  <w:p>
                    <w:pPr>
                      <w:jc w:val="center"/>
                      <w:rPr>
                        <w:szCs w:val="21"/>
                      </w:rPr>
                    </w:pPr>
                    <w:r>
                      <w:rPr>
                        <w:rFonts w:hint="eastAsia"/>
                        <w:szCs w:val="21"/>
                      </w:rPr>
                      <w:t>递延所得税</w:t>
                    </w:r>
                  </w:p>
                  <w:p>
                    <w:pPr>
                      <w:jc w:val="center"/>
                      <w:rPr>
                        <w:szCs w:val="21"/>
                      </w:rPr>
                    </w:pPr>
                    <w:r>
                      <w:rPr>
                        <w:rFonts w:hint="eastAsia"/>
                        <w:szCs w:val="21"/>
                      </w:rPr>
                      <w:t>负债</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81a01dbb027f4044906cb5be6d90e49a"/>
                <w:id w:val="6774869"/>
                <w:lock w:val="sdtLocked"/>
              </w:sdtPr>
              <w:sdtContent>
                <w:tc>
                  <w:tcPr>
                    <w:tcW w:w="3369" w:type="dxa"/>
                    <w:shd w:val="clear" w:color="auto" w:fill="auto"/>
                  </w:tcPr>
                  <w:p>
                    <w:pPr>
                      <w:rPr>
                        <w:szCs w:val="21"/>
                      </w:rPr>
                    </w:pPr>
                    <w:r>
                      <w:rPr>
                        <w:rFonts w:hint="eastAsia"/>
                        <w:szCs w:val="21"/>
                      </w:rPr>
                      <w:t>非同一控制企业合并资产评估增值</w:t>
                    </w:r>
                  </w:p>
                </w:tc>
              </w:sdtContent>
            </w:sdt>
            <w:tc>
              <w:tcPr>
                <w:tcW w:w="1558" w:type="dxa"/>
                <w:shd w:val="clear" w:color="auto" w:fill="auto"/>
              </w:tcPr>
              <w:p>
                <w:pPr>
                  <w:jc w:val="right"/>
                  <w:rPr>
                    <w:szCs w:val="21"/>
                  </w:rPr>
                </w:pPr>
              </w:p>
            </w:tc>
            <w:tc>
              <w:tcPr>
                <w:tcW w:w="1365" w:type="dxa"/>
                <w:shd w:val="clear" w:color="auto" w:fill="auto"/>
              </w:tcPr>
              <w:p>
                <w:pPr>
                  <w:jc w:val="right"/>
                  <w:rPr>
                    <w:szCs w:val="21"/>
                  </w:rPr>
                </w:pPr>
              </w:p>
            </w:tc>
            <w:tc>
              <w:tcPr>
                <w:tcW w:w="1477" w:type="dxa"/>
                <w:shd w:val="clear" w:color="auto" w:fill="auto"/>
              </w:tcPr>
              <w:p>
                <w:pPr>
                  <w:jc w:val="right"/>
                  <w:rPr>
                    <w:szCs w:val="21"/>
                  </w:rPr>
                </w:pPr>
              </w:p>
            </w:tc>
            <w:tc>
              <w:tcPr>
                <w:tcW w:w="1280"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84bd7c58cdc94c17967ef4b8373f9593"/>
                <w:id w:val="6774870"/>
                <w:lock w:val="sdtLocked"/>
              </w:sdtPr>
              <w:sdtContent>
                <w:tc>
                  <w:tcPr>
                    <w:tcW w:w="3369" w:type="dxa"/>
                    <w:shd w:val="clear" w:color="auto" w:fill="auto"/>
                  </w:tcPr>
                  <w:p>
                    <w:pPr>
                      <w:rPr>
                        <w:szCs w:val="21"/>
                      </w:rPr>
                    </w:pPr>
                    <w:r>
                      <w:rPr>
                        <w:szCs w:val="21"/>
                      </w:rPr>
                      <w:t>可供出售金融资产公允价值变动</w:t>
                    </w:r>
                  </w:p>
                </w:tc>
              </w:sdtContent>
            </w:sdt>
            <w:tc>
              <w:tcPr>
                <w:tcW w:w="1558" w:type="dxa"/>
                <w:shd w:val="clear" w:color="auto" w:fill="auto"/>
              </w:tcPr>
              <w:p>
                <w:pPr>
                  <w:jc w:val="right"/>
                  <w:rPr>
                    <w:szCs w:val="21"/>
                  </w:rPr>
                </w:pPr>
              </w:p>
            </w:tc>
            <w:tc>
              <w:tcPr>
                <w:tcW w:w="1365" w:type="dxa"/>
                <w:shd w:val="clear" w:color="auto" w:fill="auto"/>
              </w:tcPr>
              <w:p>
                <w:pPr>
                  <w:jc w:val="right"/>
                  <w:rPr>
                    <w:szCs w:val="21"/>
                  </w:rPr>
                </w:pPr>
              </w:p>
            </w:tc>
            <w:tc>
              <w:tcPr>
                <w:tcW w:w="1477" w:type="dxa"/>
                <w:shd w:val="clear" w:color="auto" w:fill="auto"/>
              </w:tcPr>
              <w:p>
                <w:pPr>
                  <w:jc w:val="right"/>
                  <w:rPr>
                    <w:szCs w:val="21"/>
                  </w:rPr>
                </w:pPr>
                <w:r>
                  <w:t>1,197,796.73</w:t>
                </w:r>
              </w:p>
            </w:tc>
            <w:tc>
              <w:tcPr>
                <w:tcW w:w="1280" w:type="dxa"/>
                <w:shd w:val="clear" w:color="auto" w:fill="auto"/>
              </w:tcPr>
              <w:p>
                <w:pPr>
                  <w:jc w:val="right"/>
                  <w:rPr>
                    <w:szCs w:val="21"/>
                  </w:rPr>
                </w:pPr>
                <w:r>
                  <w:t>179,669.51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083e425a3dbc42dab7b36bdc816b689a"/>
                <w:id w:val="6774871"/>
                <w:lock w:val="sdtLocked"/>
              </w:sdtPr>
              <w:sdtContent>
                <w:tc>
                  <w:tcPr>
                    <w:tcW w:w="3369" w:type="dxa"/>
                    <w:shd w:val="clear" w:color="auto" w:fill="auto"/>
                    <w:vAlign w:val="center"/>
                  </w:tcPr>
                  <w:p>
                    <w:pPr>
                      <w:jc w:val="center"/>
                      <w:rPr>
                        <w:szCs w:val="21"/>
                      </w:rPr>
                    </w:pPr>
                    <w:r>
                      <w:rPr>
                        <w:rFonts w:hint="eastAsia"/>
                        <w:szCs w:val="21"/>
                      </w:rPr>
                      <w:t>合计</w:t>
                    </w:r>
                  </w:p>
                </w:tc>
              </w:sdtContent>
            </w:sdt>
            <w:tc>
              <w:tcPr>
                <w:tcW w:w="1558" w:type="dxa"/>
                <w:shd w:val="clear" w:color="auto" w:fill="auto"/>
              </w:tcPr>
              <w:p>
                <w:pPr>
                  <w:jc w:val="right"/>
                  <w:rPr>
                    <w:szCs w:val="21"/>
                  </w:rPr>
                </w:pPr>
              </w:p>
            </w:tc>
            <w:tc>
              <w:tcPr>
                <w:tcW w:w="1365" w:type="dxa"/>
                <w:shd w:val="clear" w:color="auto" w:fill="auto"/>
              </w:tcPr>
              <w:p>
                <w:pPr>
                  <w:jc w:val="right"/>
                  <w:rPr>
                    <w:szCs w:val="21"/>
                  </w:rPr>
                </w:pPr>
              </w:p>
            </w:tc>
            <w:tc>
              <w:tcPr>
                <w:tcW w:w="1477" w:type="dxa"/>
                <w:shd w:val="clear" w:color="auto" w:fill="auto"/>
              </w:tcPr>
              <w:p>
                <w:pPr>
                  <w:jc w:val="right"/>
                  <w:rPr>
                    <w:szCs w:val="21"/>
                  </w:rPr>
                </w:pPr>
                <w:r>
                  <w:t>1,197,796.73</w:t>
                </w:r>
              </w:p>
            </w:tc>
            <w:tc>
              <w:tcPr>
                <w:tcW w:w="1280" w:type="dxa"/>
                <w:shd w:val="clear" w:color="auto" w:fill="auto"/>
              </w:tcPr>
              <w:p>
                <w:pPr>
                  <w:jc w:val="right"/>
                  <w:rPr>
                    <w:szCs w:val="21"/>
                  </w:rPr>
                </w:pPr>
                <w:r>
                  <w:t>179,669.51</w:t>
                </w:r>
              </w:p>
            </w:tc>
          </w:tr>
        </w:tbl>
        <w:p/>
        <w:p>
          <w:pPr>
            <w:pStyle w:val="5"/>
            <w:numPr>
              <w:ilvl w:val="0"/>
              <w:numId w:val="82"/>
            </w:numPr>
            <w:tabs>
              <w:tab w:val="left" w:pos="588"/>
              <w:tab w:val="left" w:pos="616"/>
            </w:tabs>
          </w:pPr>
          <w:r>
            <w:rPr>
              <w:rFonts w:hint="eastAsia"/>
            </w:rPr>
            <w:t>以抵销后净额列示的递延所得税资产或负债：</w:t>
          </w:r>
        </w:p>
        <w:sdt>
          <w:sdtPr>
            <w:alias w:val="是否适用：以抵销后净额列示的递延所得税资产或负债[双击切换]"/>
            <w:tag w:val="_GBC_adbd88aca1694de2a14c265a3fb12290"/>
            <w:id w:val="6774872"/>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5"/>
            <w:numPr>
              <w:ilvl w:val="0"/>
              <w:numId w:val="82"/>
            </w:numPr>
            <w:tabs>
              <w:tab w:val="left" w:pos="588"/>
              <w:tab w:val="left" w:pos="616"/>
            </w:tabs>
            <w:rPr>
              <w:rFonts w:ascii="宋体" w:hAnsi="宋体"/>
              <w:szCs w:val="21"/>
            </w:rPr>
          </w:pPr>
          <w:r>
            <w:rPr>
              <w:rFonts w:hint="eastAsia" w:ascii="宋体" w:hAnsi="宋体"/>
              <w:szCs w:val="21"/>
            </w:rPr>
            <w:t>未确认递延</w:t>
          </w:r>
          <w:r>
            <w:rPr>
              <w:rFonts w:hint="eastAsia"/>
            </w:rPr>
            <w:t>所得税</w:t>
          </w:r>
          <w:r>
            <w:rPr>
              <w:rFonts w:hint="eastAsia" w:ascii="宋体" w:hAnsi="宋体"/>
              <w:szCs w:val="21"/>
            </w:rPr>
            <w:t>资产明细</w:t>
          </w:r>
        </w:p>
        <w:sdt>
          <w:sdtPr>
            <w:alias w:val="是否适用：未确认递延所得税资产明细[双击切换]"/>
            <w:tag w:val="_GBC_713996bf5e4d4c6988835fbf892c5ef2"/>
            <w:id w:val="677487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6774874"/>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677487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9"/>
            <w:gridCol w:w="3082"/>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91af0f9b93ef459d823e4bc33d9190d6"/>
                <w:id w:val="6774876"/>
                <w:lock w:val="sdtLocked"/>
              </w:sdtPr>
              <w:sdtContent>
                <w:tc>
                  <w:tcPr>
                    <w:tcW w:w="28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w:t>
                    </w:r>
                  </w:p>
                </w:tc>
              </w:sdtContent>
            </w:sdt>
            <w:sdt>
              <w:sdtPr>
                <w:tag w:val="_PLD_2c2dee2efbd6433784024156b3454ba7"/>
                <w:id w:val="6774877"/>
                <w:lock w:val="sdtLocked"/>
              </w:sdtPr>
              <w:sdtContent>
                <w:tc>
                  <w:tcPr>
                    <w:tcW w:w="308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期末余额</w:t>
                    </w:r>
                  </w:p>
                </w:tc>
              </w:sdtContent>
            </w:sdt>
            <w:sdt>
              <w:sdtPr>
                <w:tag w:val="_PLD_d5059c87582d4e558703d63a8a2d5399"/>
                <w:id w:val="6774878"/>
                <w:lock w:val="sdtLocked"/>
              </w:sdtPr>
              <w:sdtContent>
                <w:tc>
                  <w:tcPr>
                    <w:tcW w:w="307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967b4d05866f48ccbd10a38bb9691c20"/>
                <w:id w:val="6774879"/>
                <w:lock w:val="sdtLocked"/>
              </w:sdtPr>
              <w:sdtContent>
                <w:tc>
                  <w:tcPr>
                    <w:tcW w:w="288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可抵扣暂时性差异</w:t>
                    </w:r>
                  </w:p>
                </w:tc>
              </w:sdtContent>
            </w:sdt>
            <w:tc>
              <w:tcPr>
                <w:tcW w:w="3082" w:type="dxa"/>
                <w:tcBorders>
                  <w:top w:val="single" w:color="auto" w:sz="4" w:space="0"/>
                  <w:left w:val="single" w:color="auto" w:sz="4" w:space="0"/>
                  <w:bottom w:val="single" w:color="auto" w:sz="4" w:space="0"/>
                  <w:right w:val="single" w:color="auto" w:sz="4" w:space="0"/>
                </w:tcBorders>
              </w:tcPr>
              <w:p>
                <w:pPr>
                  <w:jc w:val="right"/>
                  <w:rPr>
                    <w:szCs w:val="21"/>
                  </w:rPr>
                </w:pPr>
              </w:p>
            </w:tc>
            <w:tc>
              <w:tcPr>
                <w:tcW w:w="3078" w:type="dxa"/>
                <w:tcBorders>
                  <w:top w:val="single" w:color="auto" w:sz="4" w:space="0"/>
                  <w:left w:val="single" w:color="auto" w:sz="4" w:space="0"/>
                  <w:bottom w:val="single" w:color="auto" w:sz="4" w:space="0"/>
                  <w:right w:val="single" w:color="auto" w:sz="4"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fcfc7718db484ea1b986c6371393d8ea"/>
                <w:id w:val="6774880"/>
                <w:lock w:val="sdtLocked"/>
              </w:sdtPr>
              <w:sdtContent>
                <w:tc>
                  <w:tcPr>
                    <w:tcW w:w="288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可抵扣亏损</w:t>
                    </w:r>
                  </w:p>
                </w:tc>
              </w:sdtContent>
            </w:sdt>
            <w:tc>
              <w:tcPr>
                <w:tcW w:w="3082" w:type="dxa"/>
                <w:tcBorders>
                  <w:top w:val="single" w:color="auto" w:sz="4" w:space="0"/>
                  <w:left w:val="single" w:color="auto" w:sz="4" w:space="0"/>
                  <w:bottom w:val="single" w:color="auto" w:sz="4" w:space="0"/>
                  <w:right w:val="single" w:color="auto" w:sz="4" w:space="0"/>
                </w:tcBorders>
              </w:tcPr>
              <w:p>
                <w:pPr>
                  <w:jc w:val="right"/>
                  <w:rPr>
                    <w:szCs w:val="21"/>
                  </w:rPr>
                </w:pPr>
              </w:p>
            </w:tc>
            <w:tc>
              <w:tcPr>
                <w:tcW w:w="3078" w:type="dxa"/>
                <w:tcBorders>
                  <w:top w:val="single" w:color="auto" w:sz="4" w:space="0"/>
                  <w:left w:val="single" w:color="auto" w:sz="4" w:space="0"/>
                  <w:bottom w:val="single" w:color="auto" w:sz="4" w:space="0"/>
                  <w:right w:val="single" w:color="auto" w:sz="4" w:space="0"/>
                </w:tcBorders>
              </w:tcPr>
              <w:p>
                <w:pPr>
                  <w:jc w:val="right"/>
                  <w:rPr>
                    <w:szCs w:val="21"/>
                  </w:rPr>
                </w:pPr>
                <w:r>
                  <w:t>-70,167,751.43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fb4b8beb920a4500aa2e3d35f8842374"/>
                <w:id w:val="6774881"/>
                <w:lock w:val="sdtLocked"/>
              </w:sdtPr>
              <w:sdtContent>
                <w:tc>
                  <w:tcPr>
                    <w:tcW w:w="28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w:t>
                    </w:r>
                  </w:p>
                </w:tc>
              </w:sdtContent>
            </w:sdt>
            <w:tc>
              <w:tcPr>
                <w:tcW w:w="3082" w:type="dxa"/>
                <w:tcBorders>
                  <w:top w:val="single" w:color="auto" w:sz="4" w:space="0"/>
                  <w:left w:val="single" w:color="auto" w:sz="4" w:space="0"/>
                  <w:bottom w:val="single" w:color="auto" w:sz="4" w:space="0"/>
                  <w:right w:val="single" w:color="auto" w:sz="4" w:space="0"/>
                </w:tcBorders>
              </w:tcPr>
              <w:p>
                <w:pPr>
                  <w:jc w:val="right"/>
                  <w:rPr>
                    <w:szCs w:val="21"/>
                  </w:rPr>
                </w:pPr>
              </w:p>
            </w:tc>
            <w:tc>
              <w:tcPr>
                <w:tcW w:w="3078" w:type="dxa"/>
                <w:tcBorders>
                  <w:top w:val="single" w:color="auto" w:sz="4" w:space="0"/>
                  <w:left w:val="single" w:color="auto" w:sz="4" w:space="0"/>
                  <w:bottom w:val="single" w:color="auto" w:sz="4" w:space="0"/>
                  <w:right w:val="single" w:color="auto" w:sz="4" w:space="0"/>
                </w:tcBorders>
              </w:tcPr>
              <w:p>
                <w:pPr>
                  <w:jc w:val="right"/>
                  <w:rPr>
                    <w:szCs w:val="21"/>
                  </w:rPr>
                </w:pPr>
                <w:r>
                  <w:t>-70,167,751.43</w:t>
                </w:r>
              </w:p>
            </w:tc>
          </w:tr>
        </w:tbl>
        <w:p/>
        <w:p>
          <w:pPr>
            <w:pStyle w:val="5"/>
            <w:numPr>
              <w:ilvl w:val="0"/>
              <w:numId w:val="82"/>
            </w:numPr>
            <w:tabs>
              <w:tab w:val="left" w:pos="588"/>
              <w:tab w:val="left" w:pos="616"/>
            </w:tabs>
            <w:rPr>
              <w:rFonts w:ascii="宋体" w:hAnsi="宋体"/>
              <w:szCs w:val="21"/>
            </w:rPr>
          </w:pPr>
          <w:r>
            <w:rPr>
              <w:rFonts w:hint="eastAsia" w:ascii="宋体" w:hAnsi="宋体"/>
              <w:szCs w:val="21"/>
            </w:rPr>
            <w:t>未确认递延所得税资产的可抵扣亏损将于以下年度到期</w:t>
          </w:r>
        </w:p>
        <w:sdt>
          <w:sdtPr>
            <w:alias w:val="是否适用：未确认递延所得税资产的可抵扣亏损将于以下年度到期[双击切换]"/>
            <w:tag w:val="_GBC_961c987bdb6e4a53ad2e7713648fd02b"/>
            <w:id w:val="677488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color w:val="FF00FF"/>
              <w:szCs w:val="21"/>
            </w:rPr>
          </w:pPr>
        </w:p>
      </w:sdtContent>
    </w:sdt>
    <w:sdt>
      <w:sdtPr>
        <w:rPr>
          <w:rFonts w:hint="eastAsia"/>
          <w:szCs w:val="21"/>
        </w:rPr>
        <w:alias w:val="模块:递延所得税资产和递延所得税负债的说明"/>
        <w:tag w:val="_SEC_94657e8367544e5fa63e4b88008d6713"/>
        <w:id w:val="6774885"/>
        <w:lock w:val="sdtLocked"/>
        <w:placeholder>
          <w:docPart w:val="GBC22222222222222222222222222222"/>
        </w:placeholder>
      </w:sdtPr>
      <w:sdtEndPr>
        <w:rPr>
          <w:rFonts w:hint="default"/>
          <w:szCs w:val="21"/>
        </w:rPr>
      </w:sdtEndPr>
      <w:sdtContent>
        <w:p>
          <w:pPr>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6774884"/>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1"/>
        </w:rPr>
        <w:alias w:val="模块:其他非流动资产"/>
        <w:tag w:val="_SEC_99f16823612749a09166fd87265159ac"/>
        <w:id w:val="6774887"/>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66"/>
            </w:numPr>
            <w:tabs>
              <w:tab w:val="left" w:pos="504"/>
            </w:tabs>
            <w:rPr>
              <w:szCs w:val="21"/>
            </w:rPr>
          </w:pPr>
          <w:r>
            <w:rPr>
              <w:rFonts w:hint="eastAsia"/>
              <w:szCs w:val="21"/>
            </w:rPr>
            <w:t>其他非流动资产</w:t>
          </w:r>
        </w:p>
        <w:sdt>
          <w:sdtPr>
            <w:alias w:val="是否适用：其他非流动资产[双击切换]"/>
            <w:tag w:val="_GBC_0ca66e71c1e64a219070e5f374bed3e3"/>
            <w:id w:val="677488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短期借款</w:t>
      </w:r>
    </w:p>
    <w:sdt>
      <w:sdtPr>
        <w:rPr>
          <w:rFonts w:hint="eastAsia" w:ascii="宋体" w:hAnsi="宋体" w:cs="宋体"/>
          <w:b w:val="0"/>
          <w:bCs w:val="0"/>
          <w:kern w:val="0"/>
          <w:szCs w:val="21"/>
        </w:rPr>
        <w:alias w:val="模块:短期借款分类"/>
        <w:tag w:val="_SEC_5e661212a7bc42d1ac34de3b0e67574d"/>
        <w:id w:val="6774900"/>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5"/>
            <w:numPr>
              <w:ilvl w:val="0"/>
              <w:numId w:val="83"/>
            </w:numPr>
            <w:tabs>
              <w:tab w:val="left" w:pos="630"/>
            </w:tabs>
            <w:rPr>
              <w:rFonts w:ascii="宋体" w:hAnsi="宋体"/>
              <w:szCs w:val="21"/>
            </w:rPr>
          </w:pPr>
          <w:r>
            <w:rPr>
              <w:rFonts w:hint="eastAsia" w:ascii="宋体" w:hAnsi="宋体"/>
              <w:szCs w:val="21"/>
            </w:rPr>
            <w:t>短期借款分类</w:t>
          </w:r>
        </w:p>
        <w:sdt>
          <w:sdtPr>
            <w:alias w:val="是否适用：短期借款分类[双击切换]"/>
            <w:tag w:val="_GBC_d7624f1054024527b72d59c4122e81cb"/>
            <w:id w:val="677488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短期借款分类"/>
              <w:tag w:val="_GBC_8d30fbb8785645499f9234dccd6e5b81"/>
              <w:id w:val="677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67748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871"/>
            <w:gridCol w:w="3002"/>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7d518e78e06f4dc9b46aae7b6b47fd01"/>
                <w:id w:val="6774891"/>
                <w:lock w:val="sdtLocked"/>
              </w:sdtPr>
              <w:sdtContent>
                <w:tc>
                  <w:tcPr>
                    <w:tcW w:w="2871" w:type="dxa"/>
                    <w:vAlign w:val="center"/>
                  </w:tcPr>
                  <w:p>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da187315847461e8ed854d1807d3b14"/>
                <w:id w:val="6774892"/>
                <w:lock w:val="sdtLocked"/>
              </w:sdtPr>
              <w:sdtContent>
                <w:tc>
                  <w:tcPr>
                    <w:tcW w:w="3002" w:type="dxa"/>
                    <w:vAlign w:val="center"/>
                  </w:tcPr>
                  <w:p>
                    <w:pPr>
                      <w:jc w:val="center"/>
                      <w:rPr>
                        <w:color w:val="000000" w:themeColor="text1"/>
                        <w:szCs w:val="21"/>
                      </w:rPr>
                    </w:pPr>
                    <w:r>
                      <w:rPr>
                        <w:rFonts w:hint="eastAsia"/>
                        <w:color w:val="000000" w:themeColor="text1"/>
                        <w:szCs w:val="21"/>
                      </w:rPr>
                      <w:t>期末余额</w:t>
                    </w:r>
                  </w:p>
                </w:tc>
              </w:sdtContent>
            </w:sdt>
            <w:sdt>
              <w:sdtPr>
                <w:tag w:val="_PLD_805e4b849be14c0ab0ca7f324971119b"/>
                <w:id w:val="6774893"/>
                <w:lock w:val="sdtLocked"/>
              </w:sdtPr>
              <w:sdtContent>
                <w:tc>
                  <w:tcPr>
                    <w:tcW w:w="3020" w:type="dxa"/>
                    <w:vAlign w:val="center"/>
                  </w:tcPr>
                  <w:p>
                    <w:pPr>
                      <w:jc w:val="center"/>
                      <w:rPr>
                        <w:color w:val="000000" w:themeColor="text1"/>
                        <w:szCs w:val="21"/>
                      </w:rPr>
                    </w:pPr>
                    <w:r>
                      <w:rPr>
                        <w:rFonts w:hint="eastAsia"/>
                        <w:color w:val="000000" w:themeColor="text1"/>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96c7898e5c3648b5bed5208d4128b856"/>
                <w:id w:val="6774894"/>
                <w:lock w:val="sdtLocked"/>
              </w:sdtPr>
              <w:sdtContent>
                <w:tc>
                  <w:tcPr>
                    <w:tcW w:w="2871" w:type="dxa"/>
                    <w:shd w:val="clear" w:color="auto" w:fill="auto"/>
                  </w:tcPr>
                  <w:p>
                    <w:pPr>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Content>
            </w:sdt>
            <w:tc>
              <w:tcPr>
                <w:tcW w:w="3002" w:type="dxa"/>
                <w:shd w:val="clear" w:color="auto" w:fill="auto"/>
              </w:tcPr>
              <w:p>
                <w:pPr>
                  <w:autoSpaceDE w:val="0"/>
                  <w:autoSpaceDN w:val="0"/>
                  <w:adjustRightInd w:val="0"/>
                  <w:snapToGrid w:val="0"/>
                  <w:spacing w:line="240" w:lineRule="atLeast"/>
                  <w:ind w:right="180"/>
                  <w:jc w:val="right"/>
                  <w:rPr>
                    <w:szCs w:val="21"/>
                  </w:rPr>
                </w:pPr>
                <w:r>
                  <w:t>130,000,000.00</w:t>
                </w:r>
              </w:p>
            </w:tc>
            <w:tc>
              <w:tcPr>
                <w:tcW w:w="3020" w:type="dxa"/>
                <w:shd w:val="clear" w:color="auto" w:fill="auto"/>
              </w:tcPr>
              <w:p>
                <w:pPr>
                  <w:autoSpaceDE w:val="0"/>
                  <w:autoSpaceDN w:val="0"/>
                  <w:adjustRightInd w:val="0"/>
                  <w:snapToGrid w:val="0"/>
                  <w:spacing w:line="240" w:lineRule="atLeast"/>
                  <w:ind w:right="18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bcbf899675a843ff9ce77386cd81bb96"/>
                <w:id w:val="6774895"/>
                <w:lock w:val="sdtLocked"/>
              </w:sdtPr>
              <w:sdtContent>
                <w:tc>
                  <w:tcPr>
                    <w:tcW w:w="2871" w:type="dxa"/>
                    <w:shd w:val="clear" w:color="auto" w:fill="auto"/>
                  </w:tcPr>
                  <w:p>
                    <w:pPr>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Content>
            </w:sdt>
            <w:tc>
              <w:tcPr>
                <w:tcW w:w="3002" w:type="dxa"/>
                <w:shd w:val="clear" w:color="auto" w:fill="auto"/>
              </w:tcPr>
              <w:p>
                <w:pPr>
                  <w:autoSpaceDE w:val="0"/>
                  <w:autoSpaceDN w:val="0"/>
                  <w:adjustRightInd w:val="0"/>
                  <w:snapToGrid w:val="0"/>
                  <w:spacing w:line="240" w:lineRule="atLeast"/>
                  <w:ind w:right="180"/>
                  <w:jc w:val="right"/>
                  <w:rPr>
                    <w:szCs w:val="21"/>
                  </w:rPr>
                </w:pPr>
                <w:r>
                  <w:t>342,849,474.00</w:t>
                </w:r>
              </w:p>
            </w:tc>
            <w:tc>
              <w:tcPr>
                <w:tcW w:w="3020" w:type="dxa"/>
                <w:shd w:val="clear" w:color="auto" w:fill="auto"/>
              </w:tcPr>
              <w:p>
                <w:pPr>
                  <w:autoSpaceDE w:val="0"/>
                  <w:autoSpaceDN w:val="0"/>
                  <w:adjustRightInd w:val="0"/>
                  <w:snapToGrid w:val="0"/>
                  <w:spacing w:line="240" w:lineRule="atLeast"/>
                  <w:ind w:right="180"/>
                  <w:jc w:val="right"/>
                  <w:rPr>
                    <w:szCs w:val="21"/>
                  </w:rPr>
                </w:pPr>
                <w:r>
                  <w:t>424,648,455.00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5b1c67bd9ddf4fbba6b1d8b1566893f3"/>
                <w:id w:val="6774896"/>
                <w:lock w:val="sdtLocked"/>
              </w:sdtPr>
              <w:sdtContent>
                <w:tc>
                  <w:tcPr>
                    <w:tcW w:w="2871" w:type="dxa"/>
                    <w:shd w:val="clear" w:color="auto" w:fill="auto"/>
                  </w:tcPr>
                  <w:p>
                    <w:pPr>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Content>
            </w:sdt>
            <w:tc>
              <w:tcPr>
                <w:tcW w:w="3002" w:type="dxa"/>
                <w:shd w:val="clear" w:color="auto" w:fill="auto"/>
              </w:tcPr>
              <w:p>
                <w:pPr>
                  <w:autoSpaceDE w:val="0"/>
                  <w:autoSpaceDN w:val="0"/>
                  <w:adjustRightInd w:val="0"/>
                  <w:snapToGrid w:val="0"/>
                  <w:spacing w:line="240" w:lineRule="atLeast"/>
                  <w:ind w:right="180"/>
                  <w:jc w:val="right"/>
                  <w:rPr>
                    <w:szCs w:val="21"/>
                  </w:rPr>
                </w:pPr>
                <w:r>
                  <w:t>5,290,056,001.56</w:t>
                </w:r>
              </w:p>
            </w:tc>
            <w:tc>
              <w:tcPr>
                <w:tcW w:w="3020" w:type="dxa"/>
                <w:shd w:val="clear" w:color="auto" w:fill="auto"/>
              </w:tcPr>
              <w:p>
                <w:pPr>
                  <w:autoSpaceDE w:val="0"/>
                  <w:autoSpaceDN w:val="0"/>
                  <w:adjustRightInd w:val="0"/>
                  <w:snapToGrid w:val="0"/>
                  <w:spacing w:line="240" w:lineRule="atLeast"/>
                  <w:ind w:right="180"/>
                  <w:jc w:val="right"/>
                  <w:rPr>
                    <w:szCs w:val="21"/>
                  </w:rPr>
                </w:pPr>
                <w:r>
                  <w:t>6,229,894,953.04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37" w:hRule="atLeast"/>
            </w:trPr>
            <w:sdt>
              <w:sdtPr>
                <w:tag w:val="_PLD_9eeb82c67c1842d4b64fd1f1eced3a94"/>
                <w:id w:val="6774897"/>
                <w:lock w:val="sdtLocked"/>
              </w:sdtPr>
              <w:sdtContent>
                <w:tc>
                  <w:tcPr>
                    <w:tcW w:w="2871" w:type="dxa"/>
                    <w:shd w:val="clear" w:color="auto" w:fill="auto"/>
                  </w:tcPr>
                  <w:p>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Content>
            </w:sdt>
            <w:tc>
              <w:tcPr>
                <w:tcW w:w="3002" w:type="dxa"/>
                <w:shd w:val="clear" w:color="auto" w:fill="auto"/>
              </w:tcPr>
              <w:p>
                <w:pPr>
                  <w:autoSpaceDE w:val="0"/>
                  <w:autoSpaceDN w:val="0"/>
                  <w:adjustRightInd w:val="0"/>
                  <w:snapToGrid w:val="0"/>
                  <w:spacing w:line="240" w:lineRule="atLeast"/>
                  <w:ind w:right="180"/>
                  <w:jc w:val="right"/>
                  <w:rPr>
                    <w:szCs w:val="21"/>
                  </w:rPr>
                </w:pPr>
                <w:r>
                  <w:t>957,970,447.33</w:t>
                </w:r>
              </w:p>
            </w:tc>
            <w:tc>
              <w:tcPr>
                <w:tcW w:w="3020" w:type="dxa"/>
                <w:shd w:val="clear" w:color="auto" w:fill="auto"/>
              </w:tcPr>
              <w:p>
                <w:pPr>
                  <w:autoSpaceDE w:val="0"/>
                  <w:autoSpaceDN w:val="0"/>
                  <w:adjustRightInd w:val="0"/>
                  <w:snapToGrid w:val="0"/>
                  <w:spacing w:line="240" w:lineRule="atLeast"/>
                  <w:ind w:right="180"/>
                  <w:jc w:val="right"/>
                  <w:rPr>
                    <w:szCs w:val="21"/>
                  </w:rPr>
                </w:pPr>
                <w:r>
                  <w:t>2,177,001,422.75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3cc245a62978441989f964f8ad3b6015"/>
                <w:id w:val="6774898"/>
                <w:lock w:val="sdtLocked"/>
              </w:sdtPr>
              <w:sdtContent>
                <w:tc>
                  <w:tcPr>
                    <w:tcW w:w="2871" w:type="dxa"/>
                    <w:vAlign w:val="center"/>
                  </w:tcPr>
                  <w:p>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3002" w:type="dxa"/>
              </w:tcPr>
              <w:p>
                <w:pPr>
                  <w:autoSpaceDE w:val="0"/>
                  <w:autoSpaceDN w:val="0"/>
                  <w:adjustRightInd w:val="0"/>
                  <w:snapToGrid w:val="0"/>
                  <w:spacing w:line="240" w:lineRule="atLeast"/>
                  <w:ind w:right="180"/>
                  <w:jc w:val="right"/>
                  <w:rPr>
                    <w:szCs w:val="21"/>
                  </w:rPr>
                </w:pPr>
                <w:r>
                  <w:t>6,720,875,922.89</w:t>
                </w:r>
              </w:p>
            </w:tc>
            <w:tc>
              <w:tcPr>
                <w:tcW w:w="3020" w:type="dxa"/>
              </w:tcPr>
              <w:p>
                <w:pPr>
                  <w:autoSpaceDE w:val="0"/>
                  <w:autoSpaceDN w:val="0"/>
                  <w:adjustRightInd w:val="0"/>
                  <w:snapToGrid w:val="0"/>
                  <w:spacing w:line="240" w:lineRule="atLeast"/>
                  <w:ind w:right="180"/>
                  <w:jc w:val="right"/>
                  <w:rPr>
                    <w:szCs w:val="21"/>
                  </w:rPr>
                </w:pPr>
                <w:r>
                  <w:t>8,831,544,830.79</w:t>
                </w:r>
              </w:p>
            </w:tc>
          </w:tr>
        </w:tbl>
        <w:p>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39c88fc069c44763b7ed661bff072142"/>
            <w:id w:val="6774899"/>
            <w:lock w:val="sdtLocked"/>
            <w:placeholder>
              <w:docPart w:val="GBC22222222222222222222222222222"/>
            </w:placeholder>
          </w:sdtPr>
          <w:sdtEndPr>
            <w:rPr>
              <w:szCs w:val="21"/>
            </w:rPr>
          </w:sdtEndPr>
          <w:sdtContent>
            <w:p>
              <w:pPr>
                <w:snapToGrid w:val="0"/>
                <w:spacing w:line="240" w:lineRule="atLeast"/>
                <w:rPr>
                  <w:color w:val="000000" w:themeColor="text1"/>
                  <w:szCs w:val="21"/>
                </w:rPr>
              </w:pPr>
              <w:r>
                <w:rPr>
                  <w:rFonts w:hint="eastAsia"/>
                  <w:szCs w:val="21"/>
                </w:rPr>
                <w:t>本公司按照取得短期借款的方式或条件确定借款类别</w:t>
              </w:r>
            </w:p>
          </w:sdtContent>
        </w:sdt>
      </w:sdtContent>
    </w:sdt>
    <w:p>
      <w:pPr>
        <w:snapToGrid w:val="0"/>
        <w:spacing w:line="240" w:lineRule="atLeast"/>
        <w:ind w:right="-153" w:rightChars="-73"/>
        <w:rPr>
          <w:b/>
          <w:szCs w:val="21"/>
        </w:rPr>
      </w:pPr>
    </w:p>
    <w:sdt>
      <w:sdtPr>
        <w:rPr>
          <w:rFonts w:hint="eastAsia" w:ascii="宋体" w:hAnsi="宋体" w:cs="宋体"/>
          <w:b w:val="0"/>
          <w:bCs w:val="0"/>
          <w:kern w:val="0"/>
          <w:szCs w:val="21"/>
        </w:rPr>
        <w:alias w:val="模块:已到期未偿还的短期借款情况"/>
        <w:tag w:val="_SEC_b35d2ea88a124242b0bd88394a858993"/>
        <w:id w:val="6774903"/>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5"/>
            <w:numPr>
              <w:ilvl w:val="0"/>
              <w:numId w:val="83"/>
            </w:numPr>
            <w:tabs>
              <w:tab w:val="left" w:pos="630"/>
            </w:tabs>
            <w:rPr>
              <w:rFonts w:ascii="宋体" w:hAnsi="宋体"/>
              <w:szCs w:val="21"/>
            </w:rPr>
          </w:pPr>
          <w:r>
            <w:rPr>
              <w:rFonts w:hint="eastAsia" w:ascii="宋体" w:hAnsi="宋体"/>
              <w:szCs w:val="21"/>
            </w:rPr>
            <w:t>已逾期未偿还的短期借款情况</w:t>
          </w:r>
        </w:p>
        <w:sdt>
          <w:sdtPr>
            <w:alias w:val="是否适用：已逾期未偿还的短期借款情况[双击切换]"/>
            <w:tag w:val="_GBC_b92057263cbf4b81a96df7b9d664c576"/>
            <w:id w:val="677490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
          <w:r>
            <w:t>其中重要的已逾期未偿还的短期借款情况如下：</w:t>
          </w:r>
        </w:p>
        <w:sdt>
          <w:sdtPr>
            <w:alias w:val="是否适用：其中重要的已逾期未偿还的短期借款情况[双击切换]"/>
            <w:tag w:val="_GBC_7c9437a678604c0382802a3e97f4d126"/>
            <w:id w:val="6774902"/>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短期借款的说明"/>
        <w:tag w:val="_SEC_7331bb834b364e3baab9f33a89c455ca"/>
        <w:id w:val="6774905"/>
        <w:lock w:val="sdtLocked"/>
        <w:placeholder>
          <w:docPart w:val="GBC22222222222222222222222222222"/>
        </w:placeholder>
      </w:sdtPr>
      <w:sdtEndPr>
        <w:rPr>
          <w:rFonts w:hint="eastAsia"/>
          <w:szCs w:val="21"/>
        </w:rPr>
      </w:sdtEndPr>
      <w:sdtContent>
        <w:p>
          <w:pPr>
            <w:rPr>
              <w:szCs w:val="21"/>
            </w:rPr>
          </w:pPr>
          <w:r>
            <w:rPr>
              <w:rFonts w:hint="eastAsia"/>
              <w:szCs w:val="21"/>
            </w:rPr>
            <w:t>其他说明</w:t>
          </w:r>
        </w:p>
        <w:sdt>
          <w:sdtPr>
            <w:rPr>
              <w:szCs w:val="21"/>
            </w:rPr>
            <w:alias w:val="是否适用：短期借款的说明[双击切换]"/>
            <w:tag w:val="_GBC_c52256f82238457bbb4708bc99652730"/>
            <w:id w:val="6774904"/>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hint="eastAsia" w:ascii="宋体" w:hAnsi="宋体" w:cs="宋体"/>
          <w:b w:val="0"/>
          <w:bCs w:val="0"/>
          <w:kern w:val="0"/>
          <w:szCs w:val="21"/>
        </w:rPr>
        <w:alias w:val="模块:交易性金融负债"/>
        <w:tag w:val="_SEC_dfcd66a3274041b48146471e45c1ba81"/>
        <w:id w:val="6774907"/>
        <w:lock w:val="sdtLocked"/>
        <w:placeholder>
          <w:docPart w:val="GBC22222222222222222222222222222"/>
        </w:placeholder>
      </w:sdtPr>
      <w:sdtEndPr>
        <w:rPr>
          <w:rFonts w:hint="default" w:ascii="宋体" w:hAnsi="宋体" w:cstheme="minorBidi"/>
          <w:b w:val="0"/>
          <w:bCs w:val="0"/>
          <w:kern w:val="2"/>
          <w:szCs w:val="21"/>
        </w:rPr>
      </w:sdtEndPr>
      <w:sdtContent>
        <w:p>
          <w:pPr>
            <w:pStyle w:val="4"/>
            <w:numPr>
              <w:ilvl w:val="0"/>
              <w:numId w:val="66"/>
            </w:numPr>
            <w:tabs>
              <w:tab w:val="left" w:pos="504"/>
            </w:tabs>
          </w:pPr>
          <w:bookmarkStart w:id="72" w:name="OLE_LINK31"/>
          <w:bookmarkStart w:id="73" w:name="OLE_LINK33"/>
          <w:bookmarkStart w:id="74" w:name="OLE_LINK32"/>
          <w:r>
            <w:rPr>
              <w:rFonts w:hint="eastAsia"/>
            </w:rPr>
            <w:t>以</w:t>
          </w:r>
          <w:r>
            <w:rPr>
              <w:rFonts w:hint="eastAsia" w:ascii="宋体" w:hAnsi="宋体"/>
              <w:szCs w:val="21"/>
            </w:rPr>
            <w:t>公允</w:t>
          </w:r>
          <w:r>
            <w:rPr>
              <w:rFonts w:hint="eastAsia"/>
            </w:rPr>
            <w:t>价值计量且其变动计入当期损益的金融负债</w:t>
          </w:r>
          <w:bookmarkEnd w:id="72"/>
          <w:bookmarkEnd w:id="73"/>
          <w:bookmarkEnd w:id="74"/>
        </w:p>
        <w:sdt>
          <w:sdtPr>
            <w:alias w:val="是否适用：以公允价值计量且其变动计入当期损益的金融负债[双击切换]"/>
            <w:tag w:val="_GBC_8bff932d530c42da89d9a6f7c7309be6"/>
            <w:id w:val="677490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napToGrid w:val="0"/>
            <w:spacing w:line="240" w:lineRule="atLeast"/>
            <w:rPr>
              <w:szCs w:val="21"/>
            </w:rPr>
          </w:pPr>
        </w:p>
      </w:sdtContent>
    </w:sdt>
    <w:p>
      <w:pPr>
        <w:rPr>
          <w:szCs w:val="21"/>
        </w:rPr>
      </w:pPr>
    </w:p>
    <w:sdt>
      <w:sdtPr>
        <w:rPr>
          <w:rFonts w:hint="eastAsia" w:ascii="宋体" w:hAnsi="宋体" w:cs="宋体"/>
          <w:b w:val="0"/>
          <w:bCs w:val="0"/>
          <w:kern w:val="0"/>
          <w:szCs w:val="21"/>
        </w:rPr>
        <w:alias w:val="模块:衍生金融负债"/>
        <w:tag w:val="_SEC_55cf02a075b245feae9823bc0e924f07"/>
        <w:id w:val="6774909"/>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66"/>
            </w:numPr>
            <w:tabs>
              <w:tab w:val="left" w:pos="504"/>
            </w:tabs>
            <w:rPr>
              <w:szCs w:val="21"/>
            </w:rPr>
          </w:pPr>
          <w:r>
            <w:rPr>
              <w:rFonts w:hint="eastAsia"/>
              <w:szCs w:val="21"/>
            </w:rPr>
            <w:t>衍生</w:t>
          </w:r>
          <w:r>
            <w:rPr>
              <w:rFonts w:hint="eastAsia"/>
            </w:rPr>
            <w:t>金融</w:t>
          </w:r>
          <w:r>
            <w:rPr>
              <w:rFonts w:hint="eastAsia"/>
              <w:szCs w:val="21"/>
            </w:rPr>
            <w:t>负债</w:t>
          </w:r>
        </w:p>
        <w:p>
          <w:sdt>
            <w:sdtPr>
              <w:rPr>
                <w:szCs w:val="21"/>
              </w:rPr>
              <w:alias w:val="是否适用：衍生金融负债[双击切换]"/>
              <w:tag w:val="_GBC_9a70de9cca174edeb1bce62f4a47d15c"/>
              <w:id w:val="6774908"/>
              <w:lock w:val="sdtContentLocked"/>
              <w:placeholder>
                <w:docPart w:val="GBC22222222222222222222222222222"/>
              </w:placeholder>
            </w:sdtPr>
            <w:sdtEndPr>
              <w:rPr>
                <w:szCs w:val="21"/>
              </w:rPr>
            </w:sdtEnd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pPr>
            <w:rPr>
              <w:szCs w:val="21"/>
            </w:rPr>
          </w:pPr>
        </w:p>
      </w:sdtContent>
    </w:sdt>
    <w:p>
      <w:pPr>
        <w:rPr>
          <w:szCs w:val="21"/>
        </w:rPr>
      </w:pPr>
    </w:p>
    <w:p>
      <w:pPr>
        <w:pStyle w:val="4"/>
        <w:numPr>
          <w:ilvl w:val="0"/>
          <w:numId w:val="66"/>
        </w:numPr>
        <w:tabs>
          <w:tab w:val="left" w:pos="504"/>
        </w:tabs>
      </w:pPr>
      <w:r>
        <w:rPr>
          <w:rFonts w:hint="eastAsia"/>
        </w:rPr>
        <w:t>应付票据</w:t>
      </w:r>
    </w:p>
    <w:sdt>
      <w:sdtPr>
        <w:alias w:val="是否适用：应付票据[双击切换]"/>
        <w:tag w:val="_GBC_c0116f9cd6f34dcfa483a1f112dac85a"/>
        <w:id w:val="677491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rPr>
        <w:alias w:val="模块:应付票据"/>
        <w:tag w:val="_SEC_42d38d00af52480383edb08e04ca3f9e"/>
        <w:id w:val="6774920"/>
        <w:lock w:val="sdtLocked"/>
        <w:placeholder>
          <w:docPart w:val="GBC22222222222222222222222222222"/>
        </w:placeholder>
      </w:sdtPr>
      <w:sdtEndPr>
        <w:rPr>
          <w:rFonts w:hint="default" w:cstheme="minorBidi"/>
          <w:b w:val="0"/>
          <w:bCs w:val="0"/>
          <w:szCs w:val="21"/>
        </w:rPr>
      </w:sdtEndPr>
      <w:sdtContent>
        <w:p>
          <w:pPr>
            <w:jc w:val="right"/>
          </w:pPr>
          <w:r>
            <w:rPr>
              <w:rFonts w:hint="eastAsia"/>
            </w:rPr>
            <w:t>单位：</w:t>
          </w:r>
          <w:sdt>
            <w:sdtPr>
              <w:rPr>
                <w:rFonts w:hint="eastAsia"/>
              </w:rPr>
              <w:alias w:val="单位：财务附注：应付票据"/>
              <w:tag w:val="_GBC_15d55f1cad24473fb8cfaa98468213e2"/>
              <w:id w:val="67749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票据"/>
              <w:tag w:val="_GBC_db171c7622f3432ab2c9c6ae31a7aba7"/>
              <w:id w:val="67749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311"/>
            <w:gridCol w:w="3338"/>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a734307065e54ec687b2828bcac456cd"/>
                <w:id w:val="6774913"/>
                <w:lock w:val="sdtLocked"/>
              </w:sdtPr>
              <w:sdtContent>
                <w:tc>
                  <w:tcPr>
                    <w:tcW w:w="2311" w:type="dxa"/>
                    <w:vAlign w:val="center"/>
                  </w:tcPr>
                  <w:p>
                    <w:pPr>
                      <w:autoSpaceDE w:val="0"/>
                      <w:autoSpaceDN w:val="0"/>
                      <w:adjustRightInd w:val="0"/>
                      <w:snapToGrid w:val="0"/>
                      <w:spacing w:line="240" w:lineRule="atLeast"/>
                      <w:jc w:val="center"/>
                      <w:rPr>
                        <w:szCs w:val="21"/>
                      </w:rPr>
                    </w:pPr>
                    <w:r>
                      <w:rPr>
                        <w:rFonts w:hint="eastAsia"/>
                        <w:szCs w:val="21"/>
                      </w:rPr>
                      <w:t>种类</w:t>
                    </w:r>
                  </w:p>
                </w:tc>
              </w:sdtContent>
            </w:sdt>
            <w:sdt>
              <w:sdtPr>
                <w:tag w:val="_PLD_a85d75235962446d9dc874615074a6cb"/>
                <w:id w:val="6774914"/>
                <w:lock w:val="sdtLocked"/>
              </w:sdtPr>
              <w:sdtContent>
                <w:tc>
                  <w:tcPr>
                    <w:tcW w:w="3338" w:type="dxa"/>
                    <w:vAlign w:val="center"/>
                  </w:tcPr>
                  <w:p>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c3653c02d250471fbdaf916c3622fccb"/>
                <w:id w:val="6774915"/>
                <w:lock w:val="sdtLocked"/>
              </w:sdtPr>
              <w:sdtContent>
                <w:tc>
                  <w:tcPr>
                    <w:tcW w:w="3244" w:type="dxa"/>
                    <w:vAlign w:val="center"/>
                  </w:tcPr>
                  <w:p>
                    <w:pPr>
                      <w:autoSpaceDE w:val="0"/>
                      <w:autoSpaceDN w:val="0"/>
                      <w:adjustRightInd w:val="0"/>
                      <w:snapToGrid w:val="0"/>
                      <w:spacing w:line="240" w:lineRule="atLeast"/>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a7a133b52e344aa289e6501e6c2e1cc4"/>
                <w:id w:val="6774916"/>
                <w:lock w:val="sdtLocked"/>
              </w:sdtPr>
              <w:sdtContent>
                <w:tc>
                  <w:tcPr>
                    <w:tcW w:w="2311" w:type="dxa"/>
                    <w:shd w:val="clear" w:color="auto" w:fill="auto"/>
                  </w:tcPr>
                  <w:p>
                    <w:pPr>
                      <w:autoSpaceDE w:val="0"/>
                      <w:autoSpaceDN w:val="0"/>
                      <w:adjustRightInd w:val="0"/>
                      <w:snapToGrid w:val="0"/>
                      <w:spacing w:line="240" w:lineRule="atLeast"/>
                      <w:rPr>
                        <w:szCs w:val="21"/>
                      </w:rPr>
                    </w:pPr>
                    <w:r>
                      <w:rPr>
                        <w:rFonts w:hint="eastAsia"/>
                        <w:szCs w:val="21"/>
                      </w:rPr>
                      <w:t>商业承兑汇票</w:t>
                    </w:r>
                  </w:p>
                </w:tc>
              </w:sdtContent>
            </w:sdt>
            <w:tc>
              <w:tcPr>
                <w:tcW w:w="3338" w:type="dxa"/>
                <w:shd w:val="clear" w:color="auto" w:fill="auto"/>
              </w:tcPr>
              <w:p>
                <w:pPr>
                  <w:ind w:right="13"/>
                  <w:jc w:val="right"/>
                  <w:rPr>
                    <w:szCs w:val="21"/>
                  </w:rPr>
                </w:pPr>
                <w:r>
                  <w:t>121,000,000.00</w:t>
                </w:r>
              </w:p>
            </w:tc>
            <w:tc>
              <w:tcPr>
                <w:tcW w:w="3244" w:type="dxa"/>
                <w:shd w:val="clear" w:color="auto" w:fill="auto"/>
              </w:tcPr>
              <w:p>
                <w:pPr>
                  <w:jc w:val="right"/>
                  <w:rPr>
                    <w:szCs w:val="21"/>
                  </w:rPr>
                </w:pPr>
                <w:r>
                  <w:t>192,000,000.00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a329c47b1ea248e3a345a7cdaf06f6e4"/>
                <w:id w:val="6774917"/>
                <w:lock w:val="sdtLocked"/>
              </w:sdtPr>
              <w:sdtContent>
                <w:tc>
                  <w:tcPr>
                    <w:tcW w:w="2311" w:type="dxa"/>
                    <w:shd w:val="clear" w:color="auto" w:fill="auto"/>
                  </w:tcPr>
                  <w:p>
                    <w:pPr>
                      <w:autoSpaceDE w:val="0"/>
                      <w:autoSpaceDN w:val="0"/>
                      <w:adjustRightInd w:val="0"/>
                      <w:snapToGrid w:val="0"/>
                      <w:spacing w:line="240" w:lineRule="atLeast"/>
                      <w:rPr>
                        <w:szCs w:val="21"/>
                      </w:rPr>
                    </w:pPr>
                    <w:r>
                      <w:rPr>
                        <w:rFonts w:hint="eastAsia"/>
                        <w:szCs w:val="21"/>
                      </w:rPr>
                      <w:t>银行承兑汇票</w:t>
                    </w:r>
                  </w:p>
                </w:tc>
              </w:sdtContent>
            </w:sdt>
            <w:tc>
              <w:tcPr>
                <w:tcW w:w="3338" w:type="dxa"/>
                <w:shd w:val="clear" w:color="auto" w:fill="auto"/>
              </w:tcPr>
              <w:p>
                <w:pPr>
                  <w:ind w:right="13"/>
                  <w:jc w:val="right"/>
                  <w:rPr>
                    <w:szCs w:val="21"/>
                  </w:rPr>
                </w:pPr>
                <w:r>
                  <w:t>2,255,200,000.00</w:t>
                </w:r>
              </w:p>
            </w:tc>
            <w:tc>
              <w:tcPr>
                <w:tcW w:w="3244" w:type="dxa"/>
                <w:shd w:val="clear" w:color="auto" w:fill="auto"/>
              </w:tcPr>
              <w:p>
                <w:pPr>
                  <w:jc w:val="right"/>
                  <w:rPr>
                    <w:szCs w:val="21"/>
                  </w:rPr>
                </w:pPr>
                <w:r>
                  <w:t>978,790,000.00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af308318465b46aba8faea96a0ffe99d"/>
                <w:id w:val="6774918"/>
                <w:lock w:val="sdtLocked"/>
              </w:sdtPr>
              <w:sdtContent>
                <w:tc>
                  <w:tcPr>
                    <w:tcW w:w="2311" w:type="dxa"/>
                    <w:vAlign w:val="center"/>
                  </w:tcPr>
                  <w:p>
                    <w:pPr>
                      <w:autoSpaceDE w:val="0"/>
                      <w:autoSpaceDN w:val="0"/>
                      <w:adjustRightInd w:val="0"/>
                      <w:snapToGrid w:val="0"/>
                      <w:spacing w:line="240" w:lineRule="atLeast"/>
                      <w:jc w:val="center"/>
                      <w:rPr>
                        <w:szCs w:val="21"/>
                      </w:rPr>
                    </w:pPr>
                    <w:r>
                      <w:rPr>
                        <w:rFonts w:hint="eastAsia"/>
                        <w:szCs w:val="21"/>
                      </w:rPr>
                      <w:t>合计</w:t>
                    </w:r>
                  </w:p>
                </w:tc>
              </w:sdtContent>
            </w:sdt>
            <w:tc>
              <w:tcPr>
                <w:tcW w:w="3338" w:type="dxa"/>
              </w:tcPr>
              <w:p>
                <w:pPr>
                  <w:jc w:val="right"/>
                  <w:rPr>
                    <w:szCs w:val="21"/>
                  </w:rPr>
                </w:pPr>
                <w:r>
                  <w:t>2,376,200,000.00</w:t>
                </w:r>
              </w:p>
            </w:tc>
            <w:tc>
              <w:tcPr>
                <w:tcW w:w="3244" w:type="dxa"/>
              </w:tcPr>
              <w:p>
                <w:pPr>
                  <w:jc w:val="right"/>
                  <w:rPr>
                    <w:szCs w:val="21"/>
                  </w:rPr>
                </w:pPr>
                <w:r>
                  <w:t>1,170,790,000.00</w:t>
                </w:r>
              </w:p>
            </w:tc>
          </w:tr>
        </w:tbl>
        <w:p>
          <w:pPr>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0987f9272cb2419f937357595042911e"/>
              <w:id w:val="6774919"/>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sdtContent>
    </w:sdt>
    <w:p>
      <w:pPr>
        <w:rPr>
          <w:szCs w:val="21"/>
        </w:rPr>
      </w:pPr>
    </w:p>
    <w:p>
      <w:pPr>
        <w:pStyle w:val="4"/>
        <w:numPr>
          <w:ilvl w:val="0"/>
          <w:numId w:val="66"/>
        </w:numPr>
        <w:tabs>
          <w:tab w:val="left" w:pos="504"/>
        </w:tabs>
        <w:rPr>
          <w:rFonts w:ascii="宋体" w:hAnsi="宋体"/>
          <w:szCs w:val="21"/>
        </w:rPr>
      </w:pPr>
      <w:r>
        <w:rPr>
          <w:rFonts w:hint="eastAsia"/>
        </w:rPr>
        <w:t>应付</w:t>
      </w:r>
      <w:r>
        <w:rPr>
          <w:rFonts w:hint="eastAsia" w:ascii="宋体" w:hAnsi="宋体"/>
          <w:szCs w:val="21"/>
        </w:rPr>
        <w:t>账款</w:t>
      </w:r>
    </w:p>
    <w:sdt>
      <w:sdtPr>
        <w:rPr>
          <w:rFonts w:hint="eastAsia" w:ascii="宋体" w:hAnsi="宋体" w:cs="宋体"/>
          <w:b w:val="0"/>
          <w:bCs w:val="0"/>
          <w:kern w:val="0"/>
          <w:szCs w:val="21"/>
        </w:rPr>
        <w:alias w:val="模块:应付账款情况"/>
        <w:tag w:val="_SEC_6983b90893c6404eb7c7286ec627bbd3"/>
        <w:id w:val="6774931"/>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84"/>
            </w:numPr>
            <w:tabs>
              <w:tab w:val="left" w:pos="588"/>
            </w:tabs>
            <w:rPr>
              <w:rFonts w:ascii="宋体" w:hAnsi="宋体"/>
              <w:szCs w:val="21"/>
            </w:rPr>
          </w:pPr>
          <w:r>
            <w:rPr>
              <w:rFonts w:hint="eastAsia" w:ascii="宋体" w:hAnsi="宋体"/>
              <w:szCs w:val="21"/>
            </w:rPr>
            <w:t>应付账款列示</w:t>
          </w:r>
        </w:p>
        <w:sdt>
          <w:sdtPr>
            <w:alias w:val="是否适用：应付账款列示[双击切换]"/>
            <w:tag w:val="_GBC_dfb190a9e762454c9f89eb6be64b6eae"/>
            <w:id w:val="677492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应付账款情况"/>
              <w:tag w:val="_GBC_c14fe17937b74139aa7e100941fb21e9"/>
              <w:id w:val="67749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67749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67"/>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270d78e97cf4a1cb18154c5c5dafe58"/>
                <w:id w:val="6774924"/>
                <w:lock w:val="sdtLocked"/>
              </w:sdtPr>
              <w:sdtContent>
                <w:tc>
                  <w:tcPr>
                    <w:tcW w:w="2841" w:type="dxa"/>
                    <w:shd w:val="clear" w:color="auto" w:fill="auto"/>
                  </w:tcPr>
                  <w:p>
                    <w:pPr>
                      <w:jc w:val="center"/>
                      <w:rPr>
                        <w:szCs w:val="21"/>
                      </w:rPr>
                    </w:pPr>
                    <w:r>
                      <w:rPr>
                        <w:rFonts w:hint="eastAsia"/>
                        <w:szCs w:val="21"/>
                      </w:rPr>
                      <w:t>项目</w:t>
                    </w:r>
                  </w:p>
                </w:tc>
              </w:sdtContent>
            </w:sdt>
            <w:sdt>
              <w:sdtPr>
                <w:tag w:val="_PLD_56127cd5754c44aaacae0a1320139a7a"/>
                <w:id w:val="6774925"/>
                <w:lock w:val="sdtLocked"/>
              </w:sdtPr>
              <w:sdtContent>
                <w:tc>
                  <w:tcPr>
                    <w:tcW w:w="2867" w:type="dxa"/>
                    <w:shd w:val="clear" w:color="auto" w:fill="auto"/>
                  </w:tcPr>
                  <w:p>
                    <w:pPr>
                      <w:jc w:val="center"/>
                      <w:rPr>
                        <w:szCs w:val="21"/>
                      </w:rPr>
                    </w:pPr>
                    <w:r>
                      <w:rPr>
                        <w:rFonts w:hint="eastAsia"/>
                        <w:szCs w:val="21"/>
                      </w:rPr>
                      <w:t>期末余额</w:t>
                    </w:r>
                  </w:p>
                </w:tc>
              </w:sdtContent>
            </w:sdt>
            <w:sdt>
              <w:sdtPr>
                <w:tag w:val="_PLD_27c6d2ca479446539fe00ab23ee1dc13"/>
                <w:id w:val="6774926"/>
                <w:lock w:val="sdtLocked"/>
              </w:sdtPr>
              <w:sdtContent>
                <w:tc>
                  <w:tcPr>
                    <w:tcW w:w="3341" w:type="dxa"/>
                    <w:shd w:val="clear" w:color="auto" w:fill="auto"/>
                  </w:tcPr>
                  <w:p>
                    <w:pPr>
                      <w:jc w:val="center"/>
                      <w:rPr>
                        <w:szCs w:val="21"/>
                      </w:rPr>
                    </w:pPr>
                    <w:r>
                      <w:rPr>
                        <w:rFonts w:hint="eastAsia"/>
                        <w:szCs w:val="21"/>
                      </w:rPr>
                      <w:t>期初余额</w:t>
                    </w:r>
                  </w:p>
                </w:tc>
              </w:sdtContent>
            </w:sdt>
          </w:tr>
          <w:sdt>
            <w:sdtPr>
              <w:rPr>
                <w:rFonts w:hint="eastAsia"/>
                <w:szCs w:val="21"/>
              </w:rPr>
              <w:alias w:val="应付账款情况明细"/>
              <w:tag w:val="_TUP_f092ddb351f143359436bc8808c3f1ee"/>
              <w:id w:val="6774927"/>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shd w:val="clear" w:color="auto" w:fill="auto"/>
                  </w:tcPr>
                  <w:p>
                    <w:pPr>
                      <w:rPr>
                        <w:szCs w:val="21"/>
                      </w:rPr>
                    </w:pPr>
                    <w:r>
                      <w:t>原燃料采购款</w:t>
                    </w:r>
                  </w:p>
                </w:tc>
                <w:tc>
                  <w:tcPr>
                    <w:tcW w:w="2867" w:type="dxa"/>
                    <w:shd w:val="clear" w:color="auto" w:fill="auto"/>
                  </w:tcPr>
                  <w:p>
                    <w:pPr>
                      <w:jc w:val="right"/>
                      <w:rPr>
                        <w:szCs w:val="21"/>
                      </w:rPr>
                    </w:pPr>
                    <w:r>
                      <w:t>2,832,405,373.43</w:t>
                    </w:r>
                  </w:p>
                </w:tc>
                <w:tc>
                  <w:tcPr>
                    <w:tcW w:w="3341" w:type="dxa"/>
                    <w:shd w:val="clear" w:color="auto" w:fill="auto"/>
                  </w:tcPr>
                  <w:p>
                    <w:pPr>
                      <w:jc w:val="right"/>
                      <w:rPr>
                        <w:szCs w:val="21"/>
                      </w:rPr>
                    </w:pPr>
                    <w:r>
                      <w:t>3,148,878,086.42</w:t>
                    </w:r>
                  </w:p>
                </w:tc>
              </w:tr>
            </w:sdtContent>
          </w:sdt>
          <w:sdt>
            <w:sdtPr>
              <w:rPr>
                <w:rFonts w:hint="eastAsia"/>
                <w:szCs w:val="21"/>
              </w:rPr>
              <w:alias w:val="应付账款情况明细"/>
              <w:tag w:val="_TUP_f092ddb351f143359436bc8808c3f1ee"/>
              <w:id w:val="6774928"/>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shd w:val="clear" w:color="auto" w:fill="auto"/>
                  </w:tcPr>
                  <w:p>
                    <w:pPr>
                      <w:rPr>
                        <w:szCs w:val="21"/>
                      </w:rPr>
                    </w:pPr>
                    <w:r>
                      <w:t>工程、设备款</w:t>
                    </w:r>
                  </w:p>
                </w:tc>
                <w:tc>
                  <w:tcPr>
                    <w:tcW w:w="2867" w:type="dxa"/>
                    <w:shd w:val="clear" w:color="auto" w:fill="auto"/>
                  </w:tcPr>
                  <w:p>
                    <w:pPr>
                      <w:jc w:val="right"/>
                      <w:rPr>
                        <w:szCs w:val="21"/>
                      </w:rPr>
                    </w:pPr>
                    <w:r>
                      <w:t>300,875,071.03</w:t>
                    </w:r>
                  </w:p>
                </w:tc>
                <w:tc>
                  <w:tcPr>
                    <w:tcW w:w="3341" w:type="dxa"/>
                    <w:shd w:val="clear" w:color="auto" w:fill="auto"/>
                  </w:tcPr>
                  <w:p>
                    <w:pPr>
                      <w:jc w:val="right"/>
                      <w:rPr>
                        <w:szCs w:val="21"/>
                      </w:rPr>
                    </w:pPr>
                    <w:r>
                      <w:t>310,198,382.74</w:t>
                    </w:r>
                  </w:p>
                </w:tc>
              </w:tr>
            </w:sdtContent>
          </w:sdt>
          <w:sdt>
            <w:sdtPr>
              <w:rPr>
                <w:rFonts w:hint="eastAsia"/>
                <w:szCs w:val="21"/>
              </w:rPr>
              <w:alias w:val="应付账款情况明细"/>
              <w:tag w:val="_TUP_f092ddb351f143359436bc8808c3f1ee"/>
              <w:id w:val="6774929"/>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shd w:val="clear" w:color="auto" w:fill="auto"/>
                  </w:tcPr>
                  <w:p>
                    <w:pPr>
                      <w:rPr>
                        <w:szCs w:val="21"/>
                      </w:rPr>
                    </w:pPr>
                    <w:r>
                      <w:t>其他</w:t>
                    </w:r>
                  </w:p>
                </w:tc>
                <w:tc>
                  <w:tcPr>
                    <w:tcW w:w="2867" w:type="dxa"/>
                    <w:shd w:val="clear" w:color="auto" w:fill="auto"/>
                  </w:tcPr>
                  <w:p>
                    <w:pPr>
                      <w:jc w:val="right"/>
                      <w:rPr>
                        <w:szCs w:val="21"/>
                      </w:rPr>
                    </w:pPr>
                    <w:r>
                      <w:t>118,245,186.32</w:t>
                    </w:r>
                  </w:p>
                </w:tc>
                <w:tc>
                  <w:tcPr>
                    <w:tcW w:w="3341" w:type="dxa"/>
                    <w:shd w:val="clear" w:color="auto" w:fill="auto"/>
                  </w:tcPr>
                  <w:p>
                    <w:pPr>
                      <w:jc w:val="right"/>
                      <w:rPr>
                        <w:szCs w:val="21"/>
                      </w:rPr>
                    </w:pPr>
                    <w:r>
                      <w:t>127,741,956.10</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c494311a3a446fa9ed8956bb8a7f277"/>
                <w:id w:val="6774930"/>
                <w:lock w:val="sdtLocked"/>
              </w:sdtPr>
              <w:sdtContent>
                <w:tc>
                  <w:tcPr>
                    <w:tcW w:w="2841" w:type="dxa"/>
                    <w:shd w:val="clear" w:color="auto" w:fill="auto"/>
                  </w:tcPr>
                  <w:p>
                    <w:pPr>
                      <w:jc w:val="center"/>
                      <w:rPr>
                        <w:color w:val="000000" w:themeColor="text1"/>
                        <w:szCs w:val="21"/>
                      </w:rPr>
                    </w:pPr>
                    <w:r>
                      <w:rPr>
                        <w:rFonts w:hint="eastAsia"/>
                        <w:color w:val="000000" w:themeColor="text1"/>
                        <w:szCs w:val="21"/>
                      </w:rPr>
                      <w:t>合计</w:t>
                    </w:r>
                  </w:p>
                </w:tc>
              </w:sdtContent>
            </w:sdt>
            <w:tc>
              <w:tcPr>
                <w:tcW w:w="2867" w:type="dxa"/>
                <w:shd w:val="clear" w:color="auto" w:fill="auto"/>
              </w:tcPr>
              <w:p>
                <w:pPr>
                  <w:jc w:val="right"/>
                </w:pPr>
                <w:r>
                  <w:t>3,251,525,630.78</w:t>
                </w:r>
              </w:p>
            </w:tc>
            <w:tc>
              <w:tcPr>
                <w:tcW w:w="3341" w:type="dxa"/>
                <w:shd w:val="clear" w:color="auto" w:fill="auto"/>
              </w:tcPr>
              <w:p>
                <w:pPr>
                  <w:jc w:val="right"/>
                </w:pPr>
                <w:r>
                  <w:t>3,586,818,425.26</w:t>
                </w:r>
              </w:p>
            </w:tc>
          </w:tr>
        </w:tbl>
        <w:p/>
      </w:sdtContent>
    </w:sdt>
    <w:p>
      <w:pPr>
        <w:rPr>
          <w:b/>
          <w:szCs w:val="21"/>
        </w:rPr>
      </w:pPr>
    </w:p>
    <w:sdt>
      <w:sdtPr>
        <w:rPr>
          <w:rFonts w:hint="eastAsia" w:asciiTheme="minorHAnsi" w:hAnsiTheme="minorHAnsi" w:cstheme="minorBidi"/>
          <w:b w:val="0"/>
          <w:bCs w:val="0"/>
          <w:kern w:val="0"/>
          <w:szCs w:val="22"/>
        </w:rPr>
        <w:alias w:val="模块:重要的账龄超过1年的应付账款单位：元币种：人民币项目期末..."/>
        <w:tag w:val="_SEC_f6472fc9df314a45ae6f3743495113f0"/>
        <w:id w:val="6774944"/>
        <w:lock w:val="sdtLocked"/>
        <w:placeholder>
          <w:docPart w:val="GBC22222222222222222222222222222"/>
        </w:placeholder>
      </w:sdtPr>
      <w:sdtEndPr>
        <w:rPr>
          <w:rFonts w:hint="eastAsia" w:asciiTheme="minorHAnsi" w:hAnsiTheme="minorHAnsi" w:cstheme="minorBidi"/>
          <w:b w:val="0"/>
          <w:bCs w:val="0"/>
          <w:kern w:val="2"/>
          <w:szCs w:val="22"/>
        </w:rPr>
      </w:sdtEndPr>
      <w:sdtContent>
        <w:p>
          <w:pPr>
            <w:pStyle w:val="5"/>
            <w:numPr>
              <w:ilvl w:val="0"/>
              <w:numId w:val="84"/>
            </w:numPr>
            <w:tabs>
              <w:tab w:val="left" w:pos="588"/>
            </w:tabs>
            <w:rPr>
              <w:kern w:val="0"/>
            </w:rPr>
          </w:pPr>
          <w:r>
            <w:rPr>
              <w:rFonts w:hint="eastAsia"/>
              <w:kern w:val="0"/>
            </w:rPr>
            <w:t>账龄超过</w:t>
          </w:r>
          <w:r>
            <w:rPr>
              <w:kern w:val="0"/>
            </w:rPr>
            <w:t>1年的重要应付账款</w:t>
          </w:r>
        </w:p>
        <w:sdt>
          <w:sdtPr>
            <w:alias w:val="是否适用：账龄超过1年的重要应付账款[双击切换]"/>
            <w:tag w:val="_GBC_0eff470980a54dc3a4ea5996ab7721ce"/>
            <w:id w:val="677493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附注：重要的账龄超过1年的应付账款"/>
              <w:tag w:val="_GBC_400afb873eea4650b57e850422f00616"/>
              <w:id w:val="677493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重要的账龄超过1年的应付账款"/>
              <w:tag w:val="_GBC_e8618ecbab754a8a9213d0e97303efbc"/>
              <w:id w:val="67749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2827"/>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dad43e863d14167af7eeaf4873d2a72"/>
                <w:id w:val="6774935"/>
                <w:lock w:val="sdtLocked"/>
              </w:sdtPr>
              <w:sdtContent>
                <w:tc>
                  <w:tcPr>
                    <w:tcW w:w="3283" w:type="dxa"/>
                    <w:shd w:val="clear" w:color="auto" w:fill="auto"/>
                    <w:vAlign w:val="center"/>
                  </w:tcPr>
                  <w:p>
                    <w:pPr>
                      <w:jc w:val="center"/>
                      <w:rPr>
                        <w:szCs w:val="21"/>
                      </w:rPr>
                    </w:pPr>
                    <w:r>
                      <w:rPr>
                        <w:rFonts w:hint="eastAsia"/>
                        <w:szCs w:val="21"/>
                      </w:rPr>
                      <w:t>项目</w:t>
                    </w:r>
                  </w:p>
                </w:tc>
              </w:sdtContent>
            </w:sdt>
            <w:sdt>
              <w:sdtPr>
                <w:tag w:val="_PLD_cd3e87440a294e4685cb5994a6fce19b"/>
                <w:id w:val="6774936"/>
                <w:lock w:val="sdtLocked"/>
              </w:sdtPr>
              <w:sdtContent>
                <w:tc>
                  <w:tcPr>
                    <w:tcW w:w="2827" w:type="dxa"/>
                    <w:shd w:val="clear" w:color="auto" w:fill="auto"/>
                    <w:vAlign w:val="center"/>
                  </w:tcPr>
                  <w:p>
                    <w:pPr>
                      <w:jc w:val="center"/>
                      <w:rPr>
                        <w:szCs w:val="21"/>
                      </w:rPr>
                    </w:pPr>
                    <w:r>
                      <w:rPr>
                        <w:rFonts w:hint="eastAsia"/>
                        <w:szCs w:val="21"/>
                      </w:rPr>
                      <w:t>期末余额</w:t>
                    </w:r>
                  </w:p>
                </w:tc>
              </w:sdtContent>
            </w:sdt>
            <w:sdt>
              <w:sdtPr>
                <w:tag w:val="_PLD_3948dc08dbd84dbd875d1bd042c28c03"/>
                <w:id w:val="6774937"/>
                <w:lock w:val="sdtLocked"/>
              </w:sdtPr>
              <w:sdtContent>
                <w:tc>
                  <w:tcPr>
                    <w:tcW w:w="2939" w:type="dxa"/>
                    <w:shd w:val="clear" w:color="auto" w:fill="auto"/>
                    <w:vAlign w:val="center"/>
                  </w:tcPr>
                  <w:p>
                    <w:pPr>
                      <w:jc w:val="center"/>
                      <w:rPr>
                        <w:szCs w:val="21"/>
                      </w:rPr>
                    </w:pPr>
                    <w:r>
                      <w:rPr>
                        <w:rFonts w:hint="eastAsia"/>
                        <w:szCs w:val="21"/>
                      </w:rPr>
                      <w:t>未偿还或结转的原因</w:t>
                    </w:r>
                  </w:p>
                </w:tc>
              </w:sdtContent>
            </w:sdt>
          </w:tr>
          <w:sdt>
            <w:sdtPr>
              <w:rPr>
                <w:szCs w:val="21"/>
              </w:rPr>
              <w:alias w:val="重要的账龄超过1年的应付账款明细"/>
              <w:tag w:val="_TUP_eb35159b40154d30921830d673015213"/>
              <w:id w:val="6774938"/>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rPr>
                        <w:szCs w:val="21"/>
                      </w:rPr>
                    </w:pPr>
                    <w:r>
                      <w:rPr>
                        <w:rFonts w:hint="eastAsia"/>
                      </w:rPr>
                      <w:t>单位一</w:t>
                    </w:r>
                  </w:p>
                </w:tc>
                <w:tc>
                  <w:tcPr>
                    <w:tcW w:w="2827" w:type="dxa"/>
                    <w:shd w:val="clear" w:color="auto" w:fill="auto"/>
                  </w:tcPr>
                  <w:p>
                    <w:pPr>
                      <w:jc w:val="right"/>
                      <w:rPr>
                        <w:szCs w:val="21"/>
                      </w:rPr>
                    </w:pPr>
                    <w:r>
                      <w:t>1,944,514.98</w:t>
                    </w:r>
                  </w:p>
                </w:tc>
                <w:tc>
                  <w:tcPr>
                    <w:tcW w:w="2939" w:type="dxa"/>
                    <w:shd w:val="clear" w:color="auto" w:fill="auto"/>
                  </w:tcPr>
                  <w:p>
                    <w:pPr>
                      <w:rPr>
                        <w:szCs w:val="21"/>
                      </w:rPr>
                    </w:pPr>
                    <w:r>
                      <w:t>未到结算期</w:t>
                    </w:r>
                  </w:p>
                </w:tc>
              </w:tr>
            </w:sdtContent>
          </w:sdt>
          <w:sdt>
            <w:sdtPr>
              <w:rPr>
                <w:szCs w:val="21"/>
              </w:rPr>
              <w:alias w:val="重要的账龄超过1年的应付账款明细"/>
              <w:tag w:val="_TUP_eb35159b40154d30921830d673015213"/>
              <w:id w:val="6774939"/>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rPr>
                        <w:szCs w:val="21"/>
                      </w:rPr>
                    </w:pPr>
                    <w:r>
                      <w:rPr>
                        <w:rFonts w:hint="eastAsia"/>
                      </w:rPr>
                      <w:t>单位二</w:t>
                    </w:r>
                  </w:p>
                </w:tc>
                <w:tc>
                  <w:tcPr>
                    <w:tcW w:w="2827" w:type="dxa"/>
                    <w:shd w:val="clear" w:color="auto" w:fill="auto"/>
                  </w:tcPr>
                  <w:p>
                    <w:pPr>
                      <w:jc w:val="right"/>
                      <w:rPr>
                        <w:szCs w:val="21"/>
                      </w:rPr>
                    </w:pPr>
                    <w:r>
                      <w:t>912,931.40</w:t>
                    </w:r>
                  </w:p>
                </w:tc>
                <w:tc>
                  <w:tcPr>
                    <w:tcW w:w="2939" w:type="dxa"/>
                    <w:shd w:val="clear" w:color="auto" w:fill="auto"/>
                  </w:tcPr>
                  <w:p>
                    <w:pPr>
                      <w:rPr>
                        <w:szCs w:val="21"/>
                      </w:rPr>
                    </w:pPr>
                    <w:r>
                      <w:t>未到结算期</w:t>
                    </w:r>
                  </w:p>
                </w:tc>
              </w:tr>
            </w:sdtContent>
          </w:sdt>
          <w:sdt>
            <w:sdtPr>
              <w:rPr>
                <w:szCs w:val="21"/>
              </w:rPr>
              <w:alias w:val="重要的账龄超过1年的应付账款明细"/>
              <w:tag w:val="_TUP_eb35159b40154d30921830d673015213"/>
              <w:id w:val="6774940"/>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rPr>
                        <w:szCs w:val="21"/>
                      </w:rPr>
                    </w:pPr>
                    <w:r>
                      <w:rPr>
                        <w:rFonts w:hint="eastAsia"/>
                      </w:rPr>
                      <w:t>单位三</w:t>
                    </w:r>
                  </w:p>
                </w:tc>
                <w:tc>
                  <w:tcPr>
                    <w:tcW w:w="2827" w:type="dxa"/>
                    <w:shd w:val="clear" w:color="auto" w:fill="auto"/>
                  </w:tcPr>
                  <w:p>
                    <w:pPr>
                      <w:jc w:val="right"/>
                      <w:rPr>
                        <w:szCs w:val="21"/>
                      </w:rPr>
                    </w:pPr>
                    <w:r>
                      <w:t>737,420.00</w:t>
                    </w:r>
                  </w:p>
                </w:tc>
                <w:tc>
                  <w:tcPr>
                    <w:tcW w:w="2939" w:type="dxa"/>
                    <w:shd w:val="clear" w:color="auto" w:fill="auto"/>
                  </w:tcPr>
                  <w:p>
                    <w:pPr>
                      <w:rPr>
                        <w:szCs w:val="21"/>
                      </w:rPr>
                    </w:pPr>
                    <w:r>
                      <w:t>未到结算期</w:t>
                    </w:r>
                  </w:p>
                </w:tc>
              </w:tr>
            </w:sdtContent>
          </w:sdt>
          <w:sdt>
            <w:sdtPr>
              <w:rPr>
                <w:szCs w:val="21"/>
              </w:rPr>
              <w:alias w:val="重要的账龄超过1年的应付账款明细"/>
              <w:tag w:val="_TUP_eb35159b40154d30921830d673015213"/>
              <w:id w:val="6774941"/>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rPr>
                        <w:szCs w:val="21"/>
                      </w:rPr>
                    </w:pPr>
                    <w:r>
                      <w:rPr>
                        <w:rFonts w:hint="eastAsia"/>
                      </w:rPr>
                      <w:t>单位四</w:t>
                    </w:r>
                  </w:p>
                </w:tc>
                <w:tc>
                  <w:tcPr>
                    <w:tcW w:w="2827" w:type="dxa"/>
                    <w:shd w:val="clear" w:color="auto" w:fill="auto"/>
                  </w:tcPr>
                  <w:p>
                    <w:pPr>
                      <w:jc w:val="right"/>
                      <w:rPr>
                        <w:szCs w:val="21"/>
                      </w:rPr>
                    </w:pPr>
                    <w:r>
                      <w:t>640,000.00</w:t>
                    </w:r>
                  </w:p>
                </w:tc>
                <w:tc>
                  <w:tcPr>
                    <w:tcW w:w="2939" w:type="dxa"/>
                    <w:shd w:val="clear" w:color="auto" w:fill="auto"/>
                  </w:tcPr>
                  <w:p>
                    <w:pPr>
                      <w:rPr>
                        <w:szCs w:val="21"/>
                      </w:rPr>
                    </w:pPr>
                    <w:r>
                      <w:t>未到结算期</w:t>
                    </w:r>
                  </w:p>
                </w:tc>
              </w:tr>
            </w:sdtContent>
          </w:sdt>
          <w:sdt>
            <w:sdtPr>
              <w:rPr>
                <w:szCs w:val="21"/>
              </w:rPr>
              <w:alias w:val="重要的账龄超过1年的应付账款明细"/>
              <w:tag w:val="_TUP_eb35159b40154d30921830d673015213"/>
              <w:id w:val="6774942"/>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rPr>
                        <w:szCs w:val="21"/>
                      </w:rPr>
                    </w:pPr>
                    <w:r>
                      <w:rPr>
                        <w:rFonts w:hint="eastAsia"/>
                      </w:rPr>
                      <w:t>单位五</w:t>
                    </w:r>
                  </w:p>
                </w:tc>
                <w:tc>
                  <w:tcPr>
                    <w:tcW w:w="2827" w:type="dxa"/>
                    <w:shd w:val="clear" w:color="auto" w:fill="auto"/>
                  </w:tcPr>
                  <w:p>
                    <w:pPr>
                      <w:jc w:val="right"/>
                      <w:rPr>
                        <w:szCs w:val="21"/>
                      </w:rPr>
                    </w:pPr>
                    <w:r>
                      <w:t>516,487.46</w:t>
                    </w:r>
                  </w:p>
                </w:tc>
                <w:tc>
                  <w:tcPr>
                    <w:tcW w:w="2939" w:type="dxa"/>
                    <w:shd w:val="clear" w:color="auto" w:fill="auto"/>
                  </w:tcPr>
                  <w:p>
                    <w:pPr>
                      <w:rPr>
                        <w:szCs w:val="21"/>
                      </w:rPr>
                    </w:pPr>
                    <w:r>
                      <w:t>未到结算期</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758d2b659b1497e80249fe4dcd9da2a"/>
                <w:id w:val="6774943"/>
                <w:lock w:val="sdtLocked"/>
              </w:sdtPr>
              <w:sdtContent>
                <w:tc>
                  <w:tcPr>
                    <w:tcW w:w="3283" w:type="dxa"/>
                    <w:shd w:val="clear" w:color="auto" w:fill="auto"/>
                    <w:vAlign w:val="center"/>
                  </w:tcPr>
                  <w:p>
                    <w:pPr>
                      <w:jc w:val="center"/>
                      <w:rPr>
                        <w:szCs w:val="21"/>
                      </w:rPr>
                    </w:pPr>
                    <w:r>
                      <w:rPr>
                        <w:rFonts w:hint="eastAsia"/>
                        <w:szCs w:val="21"/>
                      </w:rPr>
                      <w:t>合计</w:t>
                    </w:r>
                  </w:p>
                </w:tc>
              </w:sdtContent>
            </w:sdt>
            <w:tc>
              <w:tcPr>
                <w:tcW w:w="2827" w:type="dxa"/>
                <w:shd w:val="clear" w:color="auto" w:fill="auto"/>
              </w:tcPr>
              <w:p>
                <w:pPr>
                  <w:jc w:val="right"/>
                  <w:rPr>
                    <w:szCs w:val="21"/>
                  </w:rPr>
                </w:pPr>
                <w:r>
                  <w:rPr>
                    <w:szCs w:val="21"/>
                  </w:rPr>
                  <w:t>4,751,353.84</w:t>
                </w:r>
              </w:p>
            </w:tc>
            <w:tc>
              <w:tcPr>
                <w:tcW w:w="2939" w:type="dxa"/>
                <w:shd w:val="clear" w:color="auto" w:fill="auto"/>
              </w:tcPr>
              <w:p>
                <w:pPr>
                  <w:jc w:val="center"/>
                  <w:rPr>
                    <w:szCs w:val="21"/>
                  </w:rPr>
                </w:pPr>
                <w:r>
                  <w:rPr>
                    <w:rFonts w:hint="eastAsia"/>
                    <w:szCs w:val="21"/>
                  </w:rPr>
                  <w:t>/</w:t>
                </w:r>
              </w:p>
            </w:tc>
          </w:tr>
        </w:tbl>
        <w:p/>
      </w:sdtContent>
    </w:sdt>
    <w:sdt>
      <w:sdtPr>
        <w:rPr>
          <w:rFonts w:hint="eastAsia"/>
          <w:b/>
          <w:bCs/>
        </w:rPr>
        <w:alias w:val="模块:应付账款的其他说明"/>
        <w:tag w:val="_SEC_11f269c09d754458a6354680b3ca0c0b"/>
        <w:id w:val="6774946"/>
        <w:lock w:val="sdtLocked"/>
        <w:placeholder>
          <w:docPart w:val="GBC22222222222222222222222222222"/>
        </w:placeholder>
      </w:sdtPr>
      <w:sdtEndPr>
        <w:rPr>
          <w:rFonts w:hint="default" w:cstheme="minorBidi"/>
          <w:b w:val="0"/>
          <w:bCs w:val="0"/>
          <w:kern w:val="2"/>
          <w:szCs w:val="21"/>
        </w:rPr>
      </w:sdtEndPr>
      <w:sdtContent>
        <w:p>
          <w:pPr>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6774945"/>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snapToGrid w:val="0"/>
        <w:spacing w:line="240" w:lineRule="atLeast"/>
        <w:rPr>
          <w:szCs w:val="21"/>
        </w:rPr>
      </w:pPr>
    </w:p>
    <w:p>
      <w:pPr>
        <w:pStyle w:val="4"/>
        <w:numPr>
          <w:ilvl w:val="0"/>
          <w:numId w:val="66"/>
        </w:numPr>
        <w:tabs>
          <w:tab w:val="left" w:pos="504"/>
        </w:tabs>
        <w:rPr>
          <w:rFonts w:ascii="宋体" w:hAnsi="宋体"/>
          <w:szCs w:val="21"/>
        </w:rPr>
      </w:pPr>
      <w:r>
        <w:rPr>
          <w:rFonts w:hint="eastAsia" w:ascii="宋体" w:hAnsi="宋体"/>
          <w:szCs w:val="21"/>
        </w:rPr>
        <w:t>预收款项</w:t>
      </w:r>
    </w:p>
    <w:sdt>
      <w:sdtPr>
        <w:rPr>
          <w:rFonts w:hint="eastAsia" w:ascii="宋体" w:hAnsi="宋体" w:cs="宋体"/>
          <w:b w:val="0"/>
          <w:bCs w:val="0"/>
          <w:kern w:val="0"/>
          <w:szCs w:val="21"/>
        </w:rPr>
        <w:alias w:val="模块:预收账款情况"/>
        <w:tag w:val="_SEC_6c51b7b8aad944a6a7343a7c4468bc35"/>
        <w:id w:val="6774956"/>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85"/>
            </w:numPr>
            <w:rPr>
              <w:rFonts w:ascii="宋体" w:hAnsi="宋体"/>
              <w:szCs w:val="21"/>
            </w:rPr>
          </w:pPr>
          <w:r>
            <w:rPr>
              <w:rFonts w:hint="eastAsia" w:ascii="宋体" w:hAnsi="宋体"/>
              <w:szCs w:val="21"/>
            </w:rPr>
            <w:t>预收账款项列示</w:t>
          </w:r>
        </w:p>
        <w:sdt>
          <w:sdtPr>
            <w:alias w:val="是否适用：预收账款项列示[双击切换]"/>
            <w:tag w:val="_GBC_87fabe8d5b22400ca19233d7f82c54fc"/>
            <w:id w:val="677494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预收账款情况"/>
              <w:tag w:val="_GBC_4fab9f590de5470ea6904b137451f241"/>
              <w:id w:val="67749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b59ed32203e141d0aee0063632b10524"/>
              <w:id w:val="67749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3078"/>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5178a0aff824e07b02041ccbb504bd9"/>
                <w:id w:val="6774950"/>
                <w:lock w:val="sdtLocked"/>
              </w:sdtPr>
              <w:sdtContent>
                <w:tc>
                  <w:tcPr>
                    <w:tcW w:w="2898" w:type="dxa"/>
                    <w:shd w:val="clear" w:color="auto" w:fill="auto"/>
                  </w:tcPr>
                  <w:p>
                    <w:pPr>
                      <w:jc w:val="center"/>
                      <w:rPr>
                        <w:szCs w:val="21"/>
                      </w:rPr>
                    </w:pPr>
                    <w:r>
                      <w:rPr>
                        <w:rFonts w:hint="eastAsia"/>
                        <w:szCs w:val="21"/>
                      </w:rPr>
                      <w:t>项目</w:t>
                    </w:r>
                  </w:p>
                </w:tc>
              </w:sdtContent>
            </w:sdt>
            <w:sdt>
              <w:sdtPr>
                <w:tag w:val="_PLD_4365dc5a9b404da5ab51b4fe0a65574b"/>
                <w:id w:val="6774951"/>
                <w:lock w:val="sdtLocked"/>
              </w:sdtPr>
              <w:sdtContent>
                <w:tc>
                  <w:tcPr>
                    <w:tcW w:w="3078" w:type="dxa"/>
                    <w:shd w:val="clear" w:color="auto" w:fill="auto"/>
                  </w:tcPr>
                  <w:p>
                    <w:pPr>
                      <w:jc w:val="center"/>
                      <w:rPr>
                        <w:szCs w:val="21"/>
                      </w:rPr>
                    </w:pPr>
                    <w:r>
                      <w:rPr>
                        <w:rFonts w:hint="eastAsia"/>
                        <w:szCs w:val="21"/>
                      </w:rPr>
                      <w:t>期末余额</w:t>
                    </w:r>
                  </w:p>
                </w:tc>
              </w:sdtContent>
            </w:sdt>
            <w:sdt>
              <w:sdtPr>
                <w:tag w:val="_PLD_319db0af23654ebca500fecfff199482"/>
                <w:id w:val="6774952"/>
                <w:lock w:val="sdtLocked"/>
              </w:sdtPr>
              <w:sdtContent>
                <w:tc>
                  <w:tcPr>
                    <w:tcW w:w="3073" w:type="dxa"/>
                    <w:shd w:val="clear" w:color="auto" w:fill="auto"/>
                  </w:tcPr>
                  <w:p>
                    <w:pPr>
                      <w:jc w:val="center"/>
                      <w:rPr>
                        <w:szCs w:val="21"/>
                      </w:rPr>
                    </w:pPr>
                    <w:r>
                      <w:rPr>
                        <w:rFonts w:hint="eastAsia"/>
                        <w:szCs w:val="21"/>
                      </w:rPr>
                      <w:t>期初余额</w:t>
                    </w:r>
                  </w:p>
                </w:tc>
              </w:sdtContent>
            </w:sdt>
          </w:tr>
          <w:sdt>
            <w:sdtPr>
              <w:rPr>
                <w:rFonts w:hint="eastAsia"/>
                <w:szCs w:val="21"/>
              </w:rPr>
              <w:alias w:val="预收账款情况明细"/>
              <w:tag w:val="_TUP_0af6e828511d4083b0185cdfce7c8ab4"/>
              <w:id w:val="6774953"/>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8" w:type="dxa"/>
                    <w:shd w:val="clear" w:color="auto" w:fill="auto"/>
                  </w:tcPr>
                  <w:p>
                    <w:pPr>
                      <w:rPr>
                        <w:szCs w:val="21"/>
                      </w:rPr>
                    </w:pPr>
                    <w:r>
                      <w:t>预收钢材款</w:t>
                    </w:r>
                  </w:p>
                </w:tc>
                <w:tc>
                  <w:tcPr>
                    <w:tcW w:w="3078" w:type="dxa"/>
                    <w:shd w:val="clear" w:color="auto" w:fill="auto"/>
                  </w:tcPr>
                  <w:p>
                    <w:pPr>
                      <w:jc w:val="right"/>
                      <w:rPr>
                        <w:szCs w:val="21"/>
                      </w:rPr>
                    </w:pPr>
                    <w:r>
                      <w:t>1,103,964,321.96</w:t>
                    </w:r>
                  </w:p>
                </w:tc>
                <w:tc>
                  <w:tcPr>
                    <w:tcW w:w="3073" w:type="dxa"/>
                    <w:shd w:val="clear" w:color="auto" w:fill="auto"/>
                  </w:tcPr>
                  <w:p>
                    <w:pPr>
                      <w:jc w:val="right"/>
                      <w:rPr>
                        <w:szCs w:val="21"/>
                      </w:rPr>
                    </w:pPr>
                    <w:r>
                      <w:t>493,677,196.18</w:t>
                    </w:r>
                  </w:p>
                </w:tc>
              </w:tr>
            </w:sdtContent>
          </w:sdt>
          <w:sdt>
            <w:sdtPr>
              <w:rPr>
                <w:rFonts w:hint="eastAsia"/>
                <w:szCs w:val="21"/>
              </w:rPr>
              <w:alias w:val="预收账款情况明细"/>
              <w:tag w:val="_TUP_0af6e828511d4083b0185cdfce7c8ab4"/>
              <w:id w:val="6774954"/>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8" w:type="dxa"/>
                    <w:shd w:val="clear" w:color="auto" w:fill="auto"/>
                  </w:tcPr>
                  <w:p>
                    <w:pPr>
                      <w:rPr>
                        <w:szCs w:val="21"/>
                      </w:rPr>
                    </w:pPr>
                    <w:r>
                      <w:t>其他</w:t>
                    </w:r>
                  </w:p>
                </w:tc>
                <w:tc>
                  <w:tcPr>
                    <w:tcW w:w="3078" w:type="dxa"/>
                    <w:shd w:val="clear" w:color="auto" w:fill="auto"/>
                  </w:tcPr>
                  <w:p>
                    <w:pPr>
                      <w:jc w:val="right"/>
                      <w:rPr>
                        <w:szCs w:val="21"/>
                      </w:rPr>
                    </w:pPr>
                    <w:r>
                      <w:t>13,636,922.22</w:t>
                    </w:r>
                  </w:p>
                </w:tc>
                <w:tc>
                  <w:tcPr>
                    <w:tcW w:w="3073" w:type="dxa"/>
                    <w:shd w:val="clear" w:color="auto" w:fill="auto"/>
                  </w:tcPr>
                  <w:p>
                    <w:pPr>
                      <w:jc w:val="right"/>
                      <w:rPr>
                        <w:szCs w:val="21"/>
                      </w:rPr>
                    </w:pPr>
                    <w:r>
                      <w:t>5,651,270.69</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803b4f46dba4b32a39eb56ce03e1481"/>
                <w:id w:val="6774955"/>
                <w:lock w:val="sdtLocked"/>
              </w:sdtPr>
              <w:sdtContent>
                <w:tc>
                  <w:tcPr>
                    <w:tcW w:w="2898" w:type="dxa"/>
                    <w:shd w:val="clear" w:color="auto" w:fill="auto"/>
                  </w:tcPr>
                  <w:p>
                    <w:pPr>
                      <w:jc w:val="center"/>
                      <w:rPr>
                        <w:color w:val="000000" w:themeColor="text1"/>
                        <w:szCs w:val="21"/>
                      </w:rPr>
                    </w:pPr>
                    <w:r>
                      <w:rPr>
                        <w:rFonts w:hint="eastAsia"/>
                        <w:color w:val="000000" w:themeColor="text1"/>
                        <w:szCs w:val="21"/>
                      </w:rPr>
                      <w:t>合计</w:t>
                    </w:r>
                  </w:p>
                </w:tc>
              </w:sdtContent>
            </w:sdt>
            <w:tc>
              <w:tcPr>
                <w:tcW w:w="3078" w:type="dxa"/>
                <w:shd w:val="clear" w:color="auto" w:fill="auto"/>
              </w:tcPr>
              <w:p>
                <w:pPr>
                  <w:jc w:val="right"/>
                  <w:rPr>
                    <w:szCs w:val="21"/>
                  </w:rPr>
                </w:pPr>
                <w:r>
                  <w:t>1,117,601,244.18</w:t>
                </w:r>
              </w:p>
            </w:tc>
            <w:tc>
              <w:tcPr>
                <w:tcW w:w="3073" w:type="dxa"/>
                <w:shd w:val="clear" w:color="auto" w:fill="auto"/>
              </w:tcPr>
              <w:p>
                <w:pPr>
                  <w:jc w:val="right"/>
                  <w:rPr>
                    <w:szCs w:val="21"/>
                  </w:rPr>
                </w:pPr>
                <w:r>
                  <w:t>499,328,466.87</w:t>
                </w:r>
              </w:p>
            </w:tc>
          </w:tr>
        </w:tbl>
        <w:p/>
      </w:sdtContent>
    </w:sdt>
    <w:p>
      <w:pPr>
        <w:tabs>
          <w:tab w:val="left" w:pos="8280"/>
          <w:tab w:val="left" w:pos="9720"/>
        </w:tabs>
        <w:ind w:right="25" w:rightChars="12"/>
        <w:rPr>
          <w:szCs w:val="21"/>
        </w:rPr>
      </w:pPr>
    </w:p>
    <w:sdt>
      <w:sdtPr>
        <w:rPr>
          <w:rFonts w:hint="eastAsia" w:ascii="宋体" w:hAnsi="宋体" w:cstheme="minorBidi"/>
          <w:b w:val="0"/>
          <w:bCs w:val="0"/>
          <w:kern w:val="0"/>
          <w:szCs w:val="21"/>
        </w:rPr>
        <w:alias w:val="模块:账龄超过1年的重要预收款项"/>
        <w:tag w:val="_SEC_1558d55950074b35a4413fcf746a38ce"/>
        <w:id w:val="6774958"/>
        <w:lock w:val="sdtLocked"/>
        <w:placeholder>
          <w:docPart w:val="GBC22222222222222222222222222222"/>
        </w:placeholder>
      </w:sdtPr>
      <w:sdtEndPr>
        <w:rPr>
          <w:rFonts w:hint="eastAsia" w:ascii="宋体" w:hAnsi="宋体" w:cstheme="minorBidi"/>
          <w:b w:val="0"/>
          <w:bCs w:val="0"/>
          <w:kern w:val="0"/>
          <w:szCs w:val="21"/>
        </w:rPr>
      </w:sdtEndPr>
      <w:sdtContent>
        <w:p>
          <w:pPr>
            <w:pStyle w:val="5"/>
            <w:numPr>
              <w:ilvl w:val="0"/>
              <w:numId w:val="85"/>
            </w:numPr>
            <w:rPr>
              <w:kern w:val="0"/>
            </w:rPr>
          </w:pPr>
          <w:r>
            <w:rPr>
              <w:rFonts w:hint="eastAsia"/>
              <w:kern w:val="0"/>
            </w:rPr>
            <w:t>账龄超过</w:t>
          </w:r>
          <w:r>
            <w:rPr>
              <w:kern w:val="0"/>
            </w:rPr>
            <w:t>1年的重要预收款项</w:t>
          </w:r>
        </w:p>
        <w:sdt>
          <w:sdtPr>
            <w:alias w:val="是否适用：账龄超过1年的重要预收款项[双击切换]"/>
            <w:tag w:val="_GBC_79146ea4ecd2426b824d2bcf21203a69"/>
            <w:id w:val="6774957"/>
            <w:lock w:val="sdtContentLocked"/>
            <w:placeholder>
              <w:docPart w:val="GBC22222222222222222222222222222"/>
            </w:placeholder>
          </w:sdtPr>
          <w:sdtContent>
            <w:p>
              <w:pPr>
                <w:rPr>
                  <w:rFonts w:cstheme="minorBidi"/>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theme="minorBidi"/>
          <w:b w:val="0"/>
          <w:bCs w:val="0"/>
          <w:kern w:val="0"/>
          <w:szCs w:val="21"/>
        </w:rPr>
        <w:alias w:val="模块:建造合同形成的已结算未完工项目情况："/>
        <w:tag w:val="_SEC_5593931d495f45d59565f7a65bdc21aa"/>
        <w:id w:val="6774960"/>
        <w:lock w:val="sdtLocked"/>
        <w:placeholder>
          <w:docPart w:val="GBC22222222222222222222222222222"/>
        </w:placeholder>
      </w:sdtPr>
      <w:sdtEndPr>
        <w:rPr>
          <w:rFonts w:hint="eastAsia" w:ascii="宋体" w:hAnsi="宋体" w:cstheme="minorBidi"/>
          <w:b w:val="0"/>
          <w:bCs w:val="0"/>
          <w:kern w:val="0"/>
          <w:szCs w:val="21"/>
        </w:rPr>
      </w:sdtEndPr>
      <w:sdtContent>
        <w:p>
          <w:pPr>
            <w:pStyle w:val="5"/>
            <w:numPr>
              <w:ilvl w:val="0"/>
              <w:numId w:val="85"/>
            </w:numPr>
            <w:rPr>
              <w:rFonts w:cstheme="minorBidi"/>
              <w:szCs w:val="21"/>
            </w:rPr>
          </w:pPr>
          <w:r>
            <w:rPr>
              <w:rFonts w:hint="eastAsia" w:ascii="宋体" w:hAnsi="宋体" w:cstheme="minorBidi"/>
              <w:bCs w:val="0"/>
              <w:kern w:val="0"/>
              <w:szCs w:val="21"/>
            </w:rPr>
            <w:t>期末</w:t>
          </w:r>
          <w:r>
            <w:rPr>
              <w:rFonts w:hint="eastAsia" w:cstheme="minorBidi"/>
              <w:szCs w:val="21"/>
            </w:rPr>
            <w:t>建造合同形成的已结算未完工项目情况：</w:t>
          </w:r>
        </w:p>
        <w:sdt>
          <w:sdtPr>
            <w:alias w:val="是否适用：期末建造合同形成的已结算未完工项目情况[双击切换]"/>
            <w:tag w:val="_GBC_0596f53af08a4189a968372a5ee9e226"/>
            <w:id w:val="6774959"/>
            <w:lock w:val="sdtContentLocked"/>
            <w:placeholder>
              <w:docPart w:val="GBC22222222222222222222222222222"/>
            </w:placeholder>
          </w:sdtPr>
          <w:sdtContent>
            <w:p>
              <w:pPr>
                <w:rPr>
                  <w:rFonts w:cstheme="minorBidi"/>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SEC_edc815d452784f559d4667a474aec74d"/>
        <w:id w:val="6774962"/>
        <w:lock w:val="sdtLocked"/>
        <w:placeholder>
          <w:docPart w:val="GBC22222222222222222222222222222"/>
        </w:placeholder>
      </w:sdtPr>
      <w:sdtEndPr>
        <w:rPr>
          <w:rFonts w:hint="default" w:cstheme="minorBidi"/>
          <w:b w:val="0"/>
          <w:bCs w:val="0"/>
          <w:color w:val="000000" w:themeColor="text1"/>
          <w:kern w:val="2"/>
          <w:szCs w:val="21"/>
        </w:rPr>
      </w:sdtEndPr>
      <w:sdtContent>
        <w:p>
          <w:r>
            <w:rPr>
              <w:rFonts w:hint="eastAsia"/>
            </w:rPr>
            <w:t>其他说明</w:t>
          </w:r>
        </w:p>
        <w:sdt>
          <w:sdtPr>
            <w:alias w:val="是否适用：预收账款的其他说明[双击切换]"/>
            <w:tag w:val="_GBC_c0e961ba454e4e2cb91293bde731349d"/>
            <w:id w:val="6774961"/>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应付职工薪酬</w:t>
      </w:r>
    </w:p>
    <w:sdt>
      <w:sdtPr>
        <w:rPr>
          <w:rFonts w:ascii="宋体" w:hAnsi="宋体" w:cs="宋体"/>
          <w:b w:val="0"/>
          <w:bCs w:val="0"/>
          <w:kern w:val="0"/>
          <w:szCs w:val="24"/>
        </w:rPr>
        <w:alias w:val="模块:应付职工薪酬列示："/>
        <w:tag w:val="_SEC_8ac62232cfc54f38aff1f89058d89f36"/>
        <w:id w:val="6774976"/>
        <w:lock w:val="sdtLocked"/>
        <w:placeholder>
          <w:docPart w:val="GBC22222222222222222222222222222"/>
        </w:placeholder>
      </w:sdtPr>
      <w:sdtEndPr>
        <w:rPr>
          <w:rFonts w:ascii="宋体" w:hAnsi="宋体" w:cs="宋体"/>
          <w:b w:val="0"/>
          <w:bCs w:val="0"/>
          <w:kern w:val="0"/>
          <w:szCs w:val="24"/>
        </w:rPr>
      </w:sdtEndPr>
      <w:sdtContent>
        <w:p>
          <w:pPr>
            <w:pStyle w:val="5"/>
            <w:numPr>
              <w:ilvl w:val="0"/>
              <w:numId w:val="86"/>
            </w:numPr>
          </w:pPr>
          <w:r>
            <w:rPr>
              <w:rFonts w:hint="eastAsia"/>
            </w:rPr>
            <w:t>应付职工薪酬列示：</w:t>
          </w:r>
        </w:p>
        <w:sdt>
          <w:sdtPr>
            <w:alias w:val="是否适用：应付职工薪酬列示[双击切换]"/>
            <w:tag w:val="_GBC_215b41e091df4b2bbb2009fd3c8040b5"/>
            <w:id w:val="677496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附注：应付职工薪酬"/>
              <w:tag w:val="_GBC_6889c0e435324d63b7c01ed595a8e140"/>
              <w:id w:val="677496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职工薪酬"/>
              <w:tag w:val="_GBC_64bcd9de14a14550b941cbdaf7bdc974"/>
              <w:id w:val="6774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2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694"/>
            <w:gridCol w:w="1708"/>
            <w:gridCol w:w="170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4761dc2d96c64c3fb5d407cdbec097a2"/>
                <w:id w:val="6774966"/>
                <w:lock w:val="sdtLocked"/>
              </w:sdtPr>
              <w:sdtEndPr>
                <w:rPr>
                  <w:sz w:val="18"/>
                  <w:szCs w:val="18"/>
                </w:rPr>
              </w:sdtEndPr>
              <w:sdtContent>
                <w:tc>
                  <w:tcPr>
                    <w:tcW w:w="2694" w:type="dxa"/>
                    <w:shd w:val="clear" w:color="auto" w:fill="auto"/>
                    <w:vAlign w:val="center"/>
                  </w:tcPr>
                  <w:p>
                    <w:pPr>
                      <w:jc w:val="center"/>
                      <w:rPr>
                        <w:sz w:val="18"/>
                        <w:szCs w:val="18"/>
                      </w:rPr>
                    </w:pPr>
                    <w:r>
                      <w:rPr>
                        <w:rFonts w:hint="eastAsia"/>
                        <w:sz w:val="18"/>
                        <w:szCs w:val="18"/>
                      </w:rPr>
                      <w:t>项目</w:t>
                    </w:r>
                  </w:p>
                </w:tc>
              </w:sdtContent>
            </w:sdt>
            <w:sdt>
              <w:sdtPr>
                <w:rPr>
                  <w:sz w:val="18"/>
                  <w:szCs w:val="18"/>
                </w:rPr>
                <w:tag w:val="_PLD_f666739d3c0f4f9891bd8f4974d101ec"/>
                <w:id w:val="6774967"/>
                <w:lock w:val="sdtLocked"/>
              </w:sdtPr>
              <w:sdtEndPr>
                <w:rPr>
                  <w:sz w:val="18"/>
                  <w:szCs w:val="18"/>
                </w:rPr>
              </w:sdtEndPr>
              <w:sdtContent>
                <w:tc>
                  <w:tcPr>
                    <w:tcW w:w="1694" w:type="dxa"/>
                    <w:shd w:val="clear" w:color="auto" w:fill="auto"/>
                    <w:vAlign w:val="center"/>
                  </w:tcPr>
                  <w:p>
                    <w:pPr>
                      <w:jc w:val="center"/>
                      <w:rPr>
                        <w:sz w:val="18"/>
                        <w:szCs w:val="18"/>
                      </w:rPr>
                    </w:pPr>
                    <w:r>
                      <w:rPr>
                        <w:rFonts w:hint="eastAsia"/>
                        <w:sz w:val="18"/>
                        <w:szCs w:val="18"/>
                      </w:rPr>
                      <w:t>期初余额</w:t>
                    </w:r>
                  </w:p>
                </w:tc>
              </w:sdtContent>
            </w:sdt>
            <w:sdt>
              <w:sdtPr>
                <w:rPr>
                  <w:sz w:val="18"/>
                  <w:szCs w:val="18"/>
                </w:rPr>
                <w:tag w:val="_PLD_cc701d3a5a44484d862c996437df1e7d"/>
                <w:id w:val="6774968"/>
                <w:lock w:val="sdtLocked"/>
              </w:sdtPr>
              <w:sdtEndPr>
                <w:rPr>
                  <w:sz w:val="18"/>
                  <w:szCs w:val="18"/>
                </w:rPr>
              </w:sdtEndPr>
              <w:sdtContent>
                <w:tc>
                  <w:tcPr>
                    <w:tcW w:w="1708" w:type="dxa"/>
                    <w:shd w:val="clear" w:color="auto" w:fill="auto"/>
                    <w:vAlign w:val="center"/>
                  </w:tcPr>
                  <w:p>
                    <w:pPr>
                      <w:jc w:val="center"/>
                      <w:rPr>
                        <w:sz w:val="18"/>
                        <w:szCs w:val="18"/>
                      </w:rPr>
                    </w:pPr>
                    <w:r>
                      <w:rPr>
                        <w:rFonts w:hint="eastAsia"/>
                        <w:sz w:val="18"/>
                        <w:szCs w:val="18"/>
                      </w:rPr>
                      <w:t>本期增加</w:t>
                    </w:r>
                  </w:p>
                </w:tc>
              </w:sdtContent>
            </w:sdt>
            <w:sdt>
              <w:sdtPr>
                <w:rPr>
                  <w:sz w:val="18"/>
                  <w:szCs w:val="18"/>
                </w:rPr>
                <w:tag w:val="_PLD_0e8f833fca684ce592b0cba6d04c75ef"/>
                <w:id w:val="6774969"/>
                <w:lock w:val="sdtLocked"/>
              </w:sdtPr>
              <w:sdtEndPr>
                <w:rPr>
                  <w:sz w:val="18"/>
                  <w:szCs w:val="18"/>
                </w:rPr>
              </w:sdtEndPr>
              <w:sdtContent>
                <w:tc>
                  <w:tcPr>
                    <w:tcW w:w="1701" w:type="dxa"/>
                    <w:shd w:val="clear" w:color="auto" w:fill="auto"/>
                    <w:vAlign w:val="center"/>
                  </w:tcPr>
                  <w:p>
                    <w:pPr>
                      <w:jc w:val="center"/>
                      <w:rPr>
                        <w:sz w:val="18"/>
                        <w:szCs w:val="18"/>
                      </w:rPr>
                    </w:pPr>
                    <w:r>
                      <w:rPr>
                        <w:rFonts w:hint="eastAsia"/>
                        <w:sz w:val="18"/>
                        <w:szCs w:val="18"/>
                      </w:rPr>
                      <w:t>本期减少</w:t>
                    </w:r>
                  </w:p>
                </w:tc>
              </w:sdtContent>
            </w:sdt>
            <w:sdt>
              <w:sdtPr>
                <w:rPr>
                  <w:sz w:val="18"/>
                  <w:szCs w:val="18"/>
                </w:rPr>
                <w:tag w:val="_PLD_c39a265e94994f0480d13abd59d3eb39"/>
                <w:id w:val="6774970"/>
                <w:lock w:val="sdtLocked"/>
              </w:sdtPr>
              <w:sdtEndPr>
                <w:rPr>
                  <w:sz w:val="18"/>
                  <w:szCs w:val="18"/>
                </w:rPr>
              </w:sdtEndPr>
              <w:sdtContent>
                <w:tc>
                  <w:tcPr>
                    <w:tcW w:w="1428" w:type="dxa"/>
                    <w:shd w:val="clear" w:color="auto" w:fill="auto"/>
                    <w:vAlign w:val="center"/>
                  </w:tcPr>
                  <w:p>
                    <w:pPr>
                      <w:jc w:val="center"/>
                      <w:rPr>
                        <w:sz w:val="18"/>
                        <w:szCs w:val="18"/>
                      </w:rPr>
                    </w:pPr>
                    <w:r>
                      <w:rPr>
                        <w:rFonts w:hint="eastAsia"/>
                        <w:sz w:val="18"/>
                        <w:szCs w:val="18"/>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e3e45a1b3a8f49a9bebab9921a080935"/>
                <w:id w:val="6774971"/>
                <w:lock w:val="sdtLocked"/>
              </w:sdtPr>
              <w:sdtEndPr>
                <w:rPr>
                  <w:sz w:val="18"/>
                  <w:szCs w:val="18"/>
                </w:rPr>
              </w:sdtEndPr>
              <w:sdtContent>
                <w:tc>
                  <w:tcPr>
                    <w:tcW w:w="2694" w:type="dxa"/>
                    <w:shd w:val="clear" w:color="auto" w:fill="auto"/>
                  </w:tcPr>
                  <w:p>
                    <w:pPr>
                      <w:rPr>
                        <w:sz w:val="18"/>
                        <w:szCs w:val="18"/>
                      </w:rPr>
                    </w:pPr>
                    <w:r>
                      <w:rPr>
                        <w:rFonts w:hint="eastAsia"/>
                        <w:sz w:val="18"/>
                        <w:szCs w:val="18"/>
                      </w:rPr>
                      <w:t>一、短期薪酬</w:t>
                    </w:r>
                  </w:p>
                </w:tc>
              </w:sdtContent>
            </w:sdt>
            <w:tc>
              <w:tcPr>
                <w:tcW w:w="1694" w:type="dxa"/>
                <w:shd w:val="clear" w:color="auto" w:fill="auto"/>
              </w:tcPr>
              <w:p>
                <w:pPr>
                  <w:jc w:val="right"/>
                  <w:rPr>
                    <w:rFonts w:ascii="Arial Narrow" w:hAnsi="Arial Narrow"/>
                    <w:szCs w:val="21"/>
                  </w:rPr>
                </w:pPr>
                <w:r>
                  <w:rPr>
                    <w:rFonts w:ascii="Arial Narrow" w:hAnsi="Arial Narrow"/>
                    <w:szCs w:val="21"/>
                  </w:rPr>
                  <w:t>77,595,316.04</w:t>
                </w:r>
              </w:p>
            </w:tc>
            <w:tc>
              <w:tcPr>
                <w:tcW w:w="1708" w:type="dxa"/>
                <w:shd w:val="clear" w:color="auto" w:fill="auto"/>
              </w:tcPr>
              <w:p>
                <w:pPr>
                  <w:jc w:val="right"/>
                  <w:rPr>
                    <w:rFonts w:ascii="Arial Narrow" w:hAnsi="Arial Narrow"/>
                    <w:szCs w:val="21"/>
                    <w:highlight w:val="yellow"/>
                  </w:rPr>
                </w:pPr>
                <w:r>
                  <w:rPr>
                    <w:rFonts w:ascii="Arial Narrow" w:hAnsi="Arial Narrow"/>
                    <w:szCs w:val="21"/>
                  </w:rPr>
                  <w:t>1,464,999,985.63</w:t>
                </w:r>
              </w:p>
            </w:tc>
            <w:tc>
              <w:tcPr>
                <w:tcW w:w="1701" w:type="dxa"/>
                <w:shd w:val="clear" w:color="auto" w:fill="auto"/>
              </w:tcPr>
              <w:p>
                <w:pPr>
                  <w:jc w:val="right"/>
                  <w:rPr>
                    <w:rFonts w:ascii="Arial Narrow" w:hAnsi="Arial Narrow"/>
                    <w:szCs w:val="21"/>
                    <w:highlight w:val="yellow"/>
                  </w:rPr>
                </w:pPr>
                <w:r>
                  <w:rPr>
                    <w:rFonts w:ascii="Arial Narrow" w:hAnsi="Arial Narrow"/>
                    <w:szCs w:val="21"/>
                  </w:rPr>
                  <w:t>1,459,744,505.96</w:t>
                </w:r>
              </w:p>
            </w:tc>
            <w:tc>
              <w:tcPr>
                <w:tcW w:w="1428" w:type="dxa"/>
                <w:shd w:val="clear" w:color="auto" w:fill="auto"/>
              </w:tcPr>
              <w:p>
                <w:pPr>
                  <w:jc w:val="right"/>
                  <w:rPr>
                    <w:rFonts w:ascii="Arial Narrow" w:hAnsi="Arial Narrow"/>
                    <w:szCs w:val="21"/>
                  </w:rPr>
                </w:pPr>
                <w:r>
                  <w:rPr>
                    <w:rFonts w:ascii="Arial Narrow" w:hAnsi="Arial Narrow"/>
                    <w:szCs w:val="21"/>
                  </w:rPr>
                  <w:t>82,850,795.71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85c469f474b84d03aec3c8ae8d2d17fa"/>
                <w:id w:val="6774972"/>
                <w:lock w:val="sdtLocked"/>
              </w:sdtPr>
              <w:sdtEndPr>
                <w:rPr>
                  <w:sz w:val="18"/>
                  <w:szCs w:val="18"/>
                </w:rPr>
              </w:sdtEndPr>
              <w:sdtContent>
                <w:tc>
                  <w:tcPr>
                    <w:tcW w:w="2694" w:type="dxa"/>
                    <w:shd w:val="clear" w:color="auto" w:fill="auto"/>
                  </w:tcPr>
                  <w:p>
                    <w:pPr>
                      <w:rPr>
                        <w:sz w:val="18"/>
                        <w:szCs w:val="18"/>
                      </w:rPr>
                    </w:pPr>
                    <w:r>
                      <w:rPr>
                        <w:rFonts w:hint="eastAsia"/>
                        <w:sz w:val="18"/>
                        <w:szCs w:val="18"/>
                      </w:rPr>
                      <w:t>二、离职后福利-设定提存计划</w:t>
                    </w:r>
                  </w:p>
                </w:tc>
              </w:sdtContent>
            </w:sdt>
            <w:tc>
              <w:tcPr>
                <w:tcW w:w="1694" w:type="dxa"/>
                <w:shd w:val="clear" w:color="auto" w:fill="auto"/>
              </w:tcPr>
              <w:p>
                <w:pPr>
                  <w:jc w:val="right"/>
                  <w:rPr>
                    <w:rFonts w:ascii="Arial Narrow" w:hAnsi="Arial Narrow"/>
                    <w:szCs w:val="21"/>
                  </w:rPr>
                </w:pPr>
              </w:p>
            </w:tc>
            <w:tc>
              <w:tcPr>
                <w:tcW w:w="1708" w:type="dxa"/>
                <w:shd w:val="clear" w:color="auto" w:fill="auto"/>
              </w:tcPr>
              <w:p>
                <w:pPr>
                  <w:jc w:val="right"/>
                  <w:rPr>
                    <w:rFonts w:ascii="Arial Narrow" w:hAnsi="Arial Narrow"/>
                    <w:szCs w:val="21"/>
                  </w:rPr>
                </w:pPr>
                <w:r>
                  <w:rPr>
                    <w:rFonts w:ascii="Arial Narrow" w:hAnsi="Arial Narrow"/>
                    <w:szCs w:val="21"/>
                  </w:rPr>
                  <w:t>186,526,313.20</w:t>
                </w:r>
              </w:p>
            </w:tc>
            <w:tc>
              <w:tcPr>
                <w:tcW w:w="1701" w:type="dxa"/>
                <w:shd w:val="clear" w:color="auto" w:fill="auto"/>
              </w:tcPr>
              <w:p>
                <w:pPr>
                  <w:jc w:val="right"/>
                  <w:rPr>
                    <w:rFonts w:ascii="Arial Narrow" w:hAnsi="Arial Narrow"/>
                    <w:szCs w:val="21"/>
                  </w:rPr>
                </w:pPr>
                <w:r>
                  <w:rPr>
                    <w:rFonts w:ascii="Arial Narrow" w:hAnsi="Arial Narrow"/>
                    <w:szCs w:val="21"/>
                  </w:rPr>
                  <w:t>186,526,313.20</w:t>
                </w:r>
              </w:p>
            </w:tc>
            <w:tc>
              <w:tcPr>
                <w:tcW w:w="1428" w:type="dxa"/>
                <w:shd w:val="clear" w:color="auto" w:fill="auto"/>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2836a9d646024a08a05edfa8ec8dfb80"/>
                <w:id w:val="6774973"/>
                <w:lock w:val="sdtLocked"/>
              </w:sdtPr>
              <w:sdtEndPr>
                <w:rPr>
                  <w:sz w:val="18"/>
                  <w:szCs w:val="18"/>
                </w:rPr>
              </w:sdtEndPr>
              <w:sdtContent>
                <w:tc>
                  <w:tcPr>
                    <w:tcW w:w="2694" w:type="dxa"/>
                    <w:shd w:val="clear" w:color="auto" w:fill="auto"/>
                  </w:tcPr>
                  <w:p>
                    <w:pPr>
                      <w:rPr>
                        <w:sz w:val="18"/>
                        <w:szCs w:val="18"/>
                      </w:rPr>
                    </w:pPr>
                    <w:r>
                      <w:rPr>
                        <w:rFonts w:hint="eastAsia"/>
                        <w:sz w:val="18"/>
                        <w:szCs w:val="18"/>
                      </w:rPr>
                      <w:t>三、辞退福利</w:t>
                    </w:r>
                  </w:p>
                </w:tc>
              </w:sdtContent>
            </w:sdt>
            <w:tc>
              <w:tcPr>
                <w:tcW w:w="1694" w:type="dxa"/>
                <w:shd w:val="clear" w:color="auto" w:fill="auto"/>
              </w:tcPr>
              <w:p>
                <w:pPr>
                  <w:jc w:val="right"/>
                  <w:rPr>
                    <w:rFonts w:ascii="Arial Narrow" w:hAnsi="Arial Narrow"/>
                    <w:szCs w:val="21"/>
                  </w:rPr>
                </w:pPr>
              </w:p>
            </w:tc>
            <w:tc>
              <w:tcPr>
                <w:tcW w:w="1708" w:type="dxa"/>
                <w:shd w:val="clear" w:color="auto" w:fill="auto"/>
              </w:tcPr>
              <w:p>
                <w:pPr>
                  <w:jc w:val="right"/>
                  <w:rPr>
                    <w:rFonts w:ascii="Arial Narrow" w:hAnsi="Arial Narrow"/>
                    <w:szCs w:val="21"/>
                  </w:rPr>
                </w:pPr>
              </w:p>
            </w:tc>
            <w:tc>
              <w:tcPr>
                <w:tcW w:w="1701" w:type="dxa"/>
                <w:shd w:val="clear" w:color="auto" w:fill="auto"/>
              </w:tcPr>
              <w:p>
                <w:pPr>
                  <w:jc w:val="right"/>
                  <w:rPr>
                    <w:rFonts w:ascii="Arial Narrow" w:hAnsi="Arial Narrow"/>
                    <w:szCs w:val="21"/>
                  </w:rPr>
                </w:pPr>
              </w:p>
            </w:tc>
            <w:tc>
              <w:tcPr>
                <w:tcW w:w="1428" w:type="dxa"/>
                <w:shd w:val="clear" w:color="auto" w:fill="auto"/>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01019de3ccd64eaa84acd956d8bfee10"/>
                <w:id w:val="6774974"/>
                <w:lock w:val="sdtLocked"/>
              </w:sdtPr>
              <w:sdtEndPr>
                <w:rPr>
                  <w:sz w:val="18"/>
                  <w:szCs w:val="18"/>
                </w:rPr>
              </w:sdtEndPr>
              <w:sdtContent>
                <w:tc>
                  <w:tcPr>
                    <w:tcW w:w="2694" w:type="dxa"/>
                    <w:shd w:val="clear" w:color="auto" w:fill="auto"/>
                  </w:tcPr>
                  <w:p>
                    <w:pPr>
                      <w:rPr>
                        <w:sz w:val="18"/>
                        <w:szCs w:val="18"/>
                      </w:rPr>
                    </w:pPr>
                    <w:r>
                      <w:rPr>
                        <w:rFonts w:hint="eastAsia"/>
                        <w:sz w:val="18"/>
                        <w:szCs w:val="18"/>
                      </w:rPr>
                      <w:t>四、一年内到期的其他福利</w:t>
                    </w:r>
                  </w:p>
                </w:tc>
              </w:sdtContent>
            </w:sdt>
            <w:tc>
              <w:tcPr>
                <w:tcW w:w="1694" w:type="dxa"/>
                <w:shd w:val="clear" w:color="auto" w:fill="auto"/>
              </w:tcPr>
              <w:p>
                <w:pPr>
                  <w:jc w:val="right"/>
                  <w:rPr>
                    <w:rFonts w:ascii="Arial Narrow" w:hAnsi="Arial Narrow"/>
                    <w:szCs w:val="21"/>
                  </w:rPr>
                </w:pPr>
              </w:p>
            </w:tc>
            <w:tc>
              <w:tcPr>
                <w:tcW w:w="1708" w:type="dxa"/>
                <w:shd w:val="clear" w:color="auto" w:fill="auto"/>
              </w:tcPr>
              <w:p>
                <w:pPr>
                  <w:jc w:val="right"/>
                  <w:rPr>
                    <w:rFonts w:ascii="Arial Narrow" w:hAnsi="Arial Narrow"/>
                    <w:szCs w:val="21"/>
                  </w:rPr>
                </w:pPr>
              </w:p>
            </w:tc>
            <w:tc>
              <w:tcPr>
                <w:tcW w:w="1701" w:type="dxa"/>
                <w:shd w:val="clear" w:color="auto" w:fill="auto"/>
              </w:tcPr>
              <w:p>
                <w:pPr>
                  <w:jc w:val="right"/>
                  <w:rPr>
                    <w:rFonts w:ascii="Arial Narrow" w:hAnsi="Arial Narrow"/>
                    <w:szCs w:val="21"/>
                  </w:rPr>
                </w:pPr>
              </w:p>
            </w:tc>
            <w:tc>
              <w:tcPr>
                <w:tcW w:w="1428" w:type="dxa"/>
                <w:shd w:val="clear" w:color="auto" w:fill="auto"/>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bb217d7a2d104da696101497dda89e28"/>
                <w:id w:val="6774975"/>
                <w:lock w:val="sdtLocked"/>
              </w:sdtPr>
              <w:sdtEndPr>
                <w:rPr>
                  <w:sz w:val="18"/>
                  <w:szCs w:val="18"/>
                </w:rPr>
              </w:sdtEndPr>
              <w:sdtContent>
                <w:tc>
                  <w:tcPr>
                    <w:tcW w:w="2694" w:type="dxa"/>
                    <w:shd w:val="clear" w:color="auto" w:fill="auto"/>
                    <w:vAlign w:val="center"/>
                  </w:tcPr>
                  <w:p>
                    <w:pPr>
                      <w:jc w:val="center"/>
                      <w:rPr>
                        <w:sz w:val="18"/>
                        <w:szCs w:val="18"/>
                      </w:rPr>
                    </w:pPr>
                    <w:r>
                      <w:rPr>
                        <w:rFonts w:hint="eastAsia"/>
                        <w:sz w:val="18"/>
                        <w:szCs w:val="18"/>
                      </w:rPr>
                      <w:t>合计</w:t>
                    </w:r>
                  </w:p>
                </w:tc>
              </w:sdtContent>
            </w:sdt>
            <w:tc>
              <w:tcPr>
                <w:tcW w:w="1694" w:type="dxa"/>
                <w:shd w:val="clear" w:color="auto" w:fill="auto"/>
              </w:tcPr>
              <w:p>
                <w:pPr>
                  <w:jc w:val="right"/>
                  <w:rPr>
                    <w:rFonts w:ascii="Arial Narrow" w:hAnsi="Arial Narrow"/>
                    <w:szCs w:val="21"/>
                  </w:rPr>
                </w:pPr>
                <w:r>
                  <w:rPr>
                    <w:rFonts w:ascii="Arial Narrow" w:hAnsi="Arial Narrow"/>
                    <w:szCs w:val="21"/>
                  </w:rPr>
                  <w:t>77,595,316.04</w:t>
                </w:r>
              </w:p>
            </w:tc>
            <w:tc>
              <w:tcPr>
                <w:tcW w:w="1708" w:type="dxa"/>
                <w:shd w:val="clear" w:color="auto" w:fill="auto"/>
              </w:tcPr>
              <w:p>
                <w:pPr>
                  <w:jc w:val="right"/>
                  <w:rPr>
                    <w:rFonts w:ascii="Arial Narrow" w:hAnsi="Arial Narrow"/>
                    <w:szCs w:val="21"/>
                  </w:rPr>
                </w:pPr>
                <w:r>
                  <w:rPr>
                    <w:rFonts w:ascii="Arial Narrow" w:hAnsi="Arial Narrow"/>
                    <w:szCs w:val="21"/>
                  </w:rPr>
                  <w:t>1,651,526,298.83</w:t>
                </w:r>
              </w:p>
            </w:tc>
            <w:tc>
              <w:tcPr>
                <w:tcW w:w="1701" w:type="dxa"/>
                <w:shd w:val="clear" w:color="auto" w:fill="auto"/>
              </w:tcPr>
              <w:p>
                <w:pPr>
                  <w:jc w:val="right"/>
                  <w:rPr>
                    <w:rFonts w:ascii="Arial Narrow" w:hAnsi="Arial Narrow"/>
                    <w:szCs w:val="21"/>
                  </w:rPr>
                </w:pPr>
                <w:r>
                  <w:rPr>
                    <w:rFonts w:ascii="Arial Narrow" w:hAnsi="Arial Narrow"/>
                    <w:szCs w:val="21"/>
                  </w:rPr>
                  <w:t>1,646,270,819.16</w:t>
                </w:r>
              </w:p>
            </w:tc>
            <w:tc>
              <w:tcPr>
                <w:tcW w:w="1428" w:type="dxa"/>
                <w:shd w:val="clear" w:color="auto" w:fill="auto"/>
              </w:tcPr>
              <w:p>
                <w:pPr>
                  <w:jc w:val="right"/>
                  <w:rPr>
                    <w:rFonts w:ascii="Arial Narrow" w:hAnsi="Arial Narrow"/>
                    <w:szCs w:val="21"/>
                  </w:rPr>
                </w:pPr>
                <w:r>
                  <w:rPr>
                    <w:rFonts w:ascii="Arial Narrow" w:hAnsi="Arial Narrow"/>
                    <w:szCs w:val="21"/>
                  </w:rPr>
                  <w:t>82,850,795.71</w:t>
                </w:r>
              </w:p>
            </w:tc>
          </w:tr>
        </w:tbl>
        <w:p/>
      </w:sdtContent>
    </w:sdt>
    <w:sdt>
      <w:sdtPr>
        <w:rPr>
          <w:rFonts w:hint="eastAsia" w:ascii="宋体" w:hAnsi="宋体" w:cs="宋体"/>
          <w:b w:val="0"/>
          <w:bCs w:val="0"/>
          <w:kern w:val="0"/>
          <w:szCs w:val="24"/>
        </w:rPr>
        <w:alias w:val="模块:短期薪酬列示"/>
        <w:tag w:val="_SEC_1cb33e613a2043aba490a4f493078cdf"/>
        <w:id w:val="6774996"/>
        <w:lock w:val="sdtLocked"/>
        <w:placeholder>
          <w:docPart w:val="GBC22222222222222222222222222222"/>
        </w:placeholder>
      </w:sdtPr>
      <w:sdtEndPr>
        <w:rPr>
          <w:rFonts w:hint="default" w:ascii="宋体" w:hAnsi="宋体" w:cs="宋体"/>
          <w:b w:val="0"/>
          <w:bCs w:val="0"/>
          <w:kern w:val="0"/>
          <w:szCs w:val="21"/>
        </w:rPr>
      </w:sdtEndPr>
      <w:sdtContent>
        <w:p>
          <w:pPr>
            <w:pStyle w:val="5"/>
            <w:numPr>
              <w:ilvl w:val="0"/>
              <w:numId w:val="86"/>
            </w:numPr>
          </w:pPr>
          <w:r>
            <w:rPr>
              <w:rFonts w:hint="eastAsia"/>
            </w:rPr>
            <w:t>短期薪酬列示：</w:t>
          </w:r>
        </w:p>
        <w:sdt>
          <w:sdtPr>
            <w:alias w:val="是否适用：短期薪酬列示[双击切换]"/>
            <w:tag w:val="_GBC_531fef0ef27e47ad98c1bb26abdf204f"/>
            <w:id w:val="677497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短期薪酬"/>
              <w:tag w:val="_GBC_4710a4978b1b4a4bbcd5757aaf80b8d7"/>
              <w:id w:val="677497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67749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1613"/>
            <w:gridCol w:w="1594"/>
            <w:gridCol w:w="160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977153d49ca449b191bb833cd5f689b2"/>
                <w:id w:val="6774980"/>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18"/>
                        <w:szCs w:val="18"/>
                      </w:rPr>
                    </w:pPr>
                    <w:r>
                      <w:rPr>
                        <w:rFonts w:hint="eastAsia"/>
                        <w:sz w:val="18"/>
                        <w:szCs w:val="18"/>
                      </w:rPr>
                      <w:t>项目</w:t>
                    </w:r>
                  </w:p>
                </w:tc>
              </w:sdtContent>
            </w:sdt>
            <w:sdt>
              <w:sdtPr>
                <w:rPr>
                  <w:sz w:val="18"/>
                  <w:szCs w:val="18"/>
                </w:rPr>
                <w:tag w:val="_PLD_557c49ee2a4f40de99f948c76f4c3adc"/>
                <w:id w:val="6774981"/>
                <w:lock w:val="sdtLocked"/>
              </w:sdtPr>
              <w:sdtEndPr>
                <w:rPr>
                  <w:sz w:val="18"/>
                  <w:szCs w:val="18"/>
                </w:rPr>
              </w:sdtEndPr>
              <w:sdtContent>
                <w:tc>
                  <w:tcPr>
                    <w:tcW w:w="16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18"/>
                        <w:szCs w:val="18"/>
                      </w:rPr>
                    </w:pPr>
                    <w:r>
                      <w:rPr>
                        <w:rFonts w:hint="eastAsia"/>
                        <w:sz w:val="18"/>
                        <w:szCs w:val="18"/>
                      </w:rPr>
                      <w:t>期初余额</w:t>
                    </w:r>
                  </w:p>
                </w:tc>
              </w:sdtContent>
            </w:sdt>
            <w:sdt>
              <w:sdtPr>
                <w:rPr>
                  <w:sz w:val="18"/>
                  <w:szCs w:val="18"/>
                </w:rPr>
                <w:tag w:val="_PLD_98d1ab48f8084264aff0ef3a30e8ba71"/>
                <w:id w:val="6774982"/>
                <w:lock w:val="sdtLocked"/>
              </w:sdtPr>
              <w:sdtEndPr>
                <w:rPr>
                  <w:sz w:val="18"/>
                  <w:szCs w:val="18"/>
                </w:rPr>
              </w:sdtEndPr>
              <w:sdtContent>
                <w:tc>
                  <w:tcPr>
                    <w:tcW w:w="159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本期增加</w:t>
                    </w:r>
                  </w:p>
                </w:tc>
              </w:sdtContent>
            </w:sdt>
            <w:sdt>
              <w:sdtPr>
                <w:rPr>
                  <w:sz w:val="18"/>
                  <w:szCs w:val="18"/>
                </w:rPr>
                <w:tag w:val="_PLD_e35c4f26db444503b2f9a32896872169"/>
                <w:id w:val="6774983"/>
                <w:lock w:val="sdtLocked"/>
              </w:sdtPr>
              <w:sdtEndPr>
                <w:rPr>
                  <w:sz w:val="18"/>
                  <w:szCs w:val="18"/>
                </w:rPr>
              </w:sdtEndPr>
              <w:sdtContent>
                <w:tc>
                  <w:tcPr>
                    <w:tcW w:w="160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本期减少</w:t>
                    </w:r>
                  </w:p>
                </w:tc>
              </w:sdtContent>
            </w:sdt>
            <w:sdt>
              <w:sdtPr>
                <w:rPr>
                  <w:sz w:val="18"/>
                  <w:szCs w:val="18"/>
                </w:rPr>
                <w:tag w:val="_PLD_e67d191300ac43c2b1b07c1beddfe891"/>
                <w:id w:val="6774984"/>
                <w:lock w:val="sdtLocked"/>
              </w:sdtPr>
              <w:sdtEndPr>
                <w:rPr>
                  <w:sz w:val="18"/>
                  <w:szCs w:val="18"/>
                </w:rPr>
              </w:sdtEndPr>
              <w:sdtContent>
                <w:tc>
                  <w:tcPr>
                    <w:tcW w:w="1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18"/>
                        <w:szCs w:val="18"/>
                      </w:rPr>
                    </w:pPr>
                    <w:r>
                      <w:rPr>
                        <w:rFonts w:hint="eastAsia"/>
                        <w:sz w:val="18"/>
                        <w:szCs w:val="18"/>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887f068b039b44a99f27487cfa74131d"/>
                <w:id w:val="6774985"/>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rFonts w:hint="eastAsia"/>
                        <w:sz w:val="18"/>
                        <w:szCs w:val="18"/>
                      </w:rPr>
                      <w:t>一、工资、奖金、津贴和补贴</w:t>
                    </w:r>
                  </w:p>
                </w:tc>
              </w:sdtContent>
            </w:sdt>
            <w:tc>
              <w:tcPr>
                <w:tcW w:w="161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1,160,232,815.53</w:t>
                </w:r>
              </w:p>
            </w:tc>
            <w:tc>
              <w:tcPr>
                <w:tcW w:w="16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1,160,232,815.53</w:t>
                </w: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73d6cf6c562b4c03b4db52d8f6a162bf"/>
                <w:id w:val="6774986"/>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rFonts w:hint="eastAsia"/>
                        <w:sz w:val="18"/>
                        <w:szCs w:val="18"/>
                      </w:rPr>
                      <w:t>二、职工福利费</w:t>
                    </w:r>
                  </w:p>
                </w:tc>
              </w:sdtContent>
            </w:sdt>
            <w:tc>
              <w:tcPr>
                <w:tcW w:w="161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83,312,458.06</w:t>
                </w:r>
              </w:p>
            </w:tc>
            <w:tc>
              <w:tcPr>
                <w:tcW w:w="16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83,312,458.06</w:t>
                </w: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5011e3a4fe354f7a9e7ed202f78200ac"/>
                <w:id w:val="6774987"/>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rFonts w:hint="eastAsia"/>
                        <w:sz w:val="18"/>
                        <w:szCs w:val="18"/>
                      </w:rPr>
                      <w:t>三、社会保险费</w:t>
                    </w:r>
                  </w:p>
                </w:tc>
              </w:sdtContent>
            </w:sdt>
            <w:tc>
              <w:tcPr>
                <w:tcW w:w="161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81,043,479.25</w:t>
                </w:r>
              </w:p>
            </w:tc>
            <w:tc>
              <w:tcPr>
                <w:tcW w:w="16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81,043,479.25</w:t>
                </w: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9d186f69dd324ed3abe373aa87498a4e"/>
                <w:id w:val="6774988"/>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rPr>
                        <w:color w:val="008000"/>
                        <w:sz w:val="18"/>
                        <w:szCs w:val="18"/>
                      </w:rPr>
                    </w:pPr>
                    <w:r>
                      <w:rPr>
                        <w:rFonts w:hint="eastAsia"/>
                        <w:sz w:val="18"/>
                        <w:szCs w:val="18"/>
                      </w:rPr>
                      <w:t>其中：</w:t>
                    </w:r>
                    <w:r>
                      <w:rPr>
                        <w:sz w:val="18"/>
                        <w:szCs w:val="18"/>
                      </w:rPr>
                      <w:t>医疗保险费</w:t>
                    </w:r>
                  </w:p>
                </w:tc>
              </w:sdtContent>
            </w:sdt>
            <w:tc>
              <w:tcPr>
                <w:tcW w:w="161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64,302,412.80</w:t>
                </w:r>
              </w:p>
            </w:tc>
            <w:tc>
              <w:tcPr>
                <w:tcW w:w="16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64,302,412.80</w:t>
                </w: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b436db8b255c424989dd912d9da0810f"/>
                <w:id w:val="6774989"/>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ind w:firstLine="540" w:firstLineChars="300"/>
                      <w:rPr>
                        <w:sz w:val="18"/>
                        <w:szCs w:val="18"/>
                      </w:rPr>
                    </w:pPr>
                    <w:r>
                      <w:rPr>
                        <w:rFonts w:hint="eastAsia"/>
                        <w:sz w:val="18"/>
                        <w:szCs w:val="18"/>
                      </w:rPr>
                      <w:t>工伤保险费</w:t>
                    </w:r>
                  </w:p>
                </w:tc>
              </w:sdtContent>
            </w:sdt>
            <w:tc>
              <w:tcPr>
                <w:tcW w:w="161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12,037,503.37</w:t>
                </w:r>
              </w:p>
            </w:tc>
            <w:tc>
              <w:tcPr>
                <w:tcW w:w="16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12,037,503.37</w:t>
                </w: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2c537c2776fc4170be41d466293e3ace"/>
                <w:id w:val="6774990"/>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ind w:firstLine="540" w:firstLineChars="300"/>
                      <w:rPr>
                        <w:sz w:val="18"/>
                        <w:szCs w:val="18"/>
                      </w:rPr>
                    </w:pPr>
                    <w:r>
                      <w:rPr>
                        <w:rFonts w:hint="eastAsia"/>
                        <w:sz w:val="18"/>
                        <w:szCs w:val="18"/>
                      </w:rPr>
                      <w:t>生育保险费</w:t>
                    </w:r>
                  </w:p>
                </w:tc>
              </w:sdtContent>
            </w:sdt>
            <w:tc>
              <w:tcPr>
                <w:tcW w:w="161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4,703,563.08</w:t>
                </w:r>
              </w:p>
            </w:tc>
            <w:tc>
              <w:tcPr>
                <w:tcW w:w="16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4,703,563.08</w:t>
                </w: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3930d81c2c064993bcbc2324f2678afe"/>
                <w:id w:val="6774991"/>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rFonts w:hint="eastAsia"/>
                        <w:sz w:val="18"/>
                        <w:szCs w:val="18"/>
                      </w:rPr>
                      <w:t>四、住房公积金</w:t>
                    </w:r>
                  </w:p>
                </w:tc>
              </w:sdtContent>
            </w:sdt>
            <w:tc>
              <w:tcPr>
                <w:tcW w:w="161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7,396,855.00</w:t>
                </w:r>
              </w:p>
            </w:tc>
            <w:tc>
              <w:tcPr>
                <w:tcW w:w="15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99,803,087.00</w:t>
                </w:r>
              </w:p>
            </w:tc>
            <w:tc>
              <w:tcPr>
                <w:tcW w:w="16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107,199,942.00</w:t>
                </w: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5933de2245bb4749bc8731371b57fd14"/>
                <w:id w:val="6774992"/>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rFonts w:hint="eastAsia"/>
                        <w:sz w:val="18"/>
                        <w:szCs w:val="18"/>
                      </w:rPr>
                      <w:t>五、工会经费和职工教育经费</w:t>
                    </w:r>
                  </w:p>
                </w:tc>
              </w:sdtContent>
            </w:sdt>
            <w:tc>
              <w:tcPr>
                <w:tcW w:w="161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70,198,461.04</w:t>
                </w:r>
              </w:p>
            </w:tc>
            <w:tc>
              <w:tcPr>
                <w:tcW w:w="15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40,608,145.79</w:t>
                </w:r>
              </w:p>
            </w:tc>
            <w:tc>
              <w:tcPr>
                <w:tcW w:w="16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27,955,811.12</w:t>
                </w: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82,850,795.71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3b8c0eeaa431422fa1ad262899b738f2"/>
                <w:id w:val="6774993"/>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rFonts w:hint="eastAsia"/>
                        <w:sz w:val="18"/>
                        <w:szCs w:val="18"/>
                      </w:rPr>
                      <w:t>六、短期带薪缺勤</w:t>
                    </w:r>
                  </w:p>
                </w:tc>
              </w:sdtContent>
            </w:sdt>
            <w:tc>
              <w:tcPr>
                <w:tcW w:w="161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6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f452ad04150b46f2bfd616a7555ac734"/>
                <w:id w:val="6774994"/>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rFonts w:hint="eastAsia"/>
                        <w:sz w:val="18"/>
                        <w:szCs w:val="18"/>
                      </w:rPr>
                      <w:t>七、短期利润分享计划</w:t>
                    </w:r>
                  </w:p>
                </w:tc>
              </w:sdtContent>
            </w:sdt>
            <w:tc>
              <w:tcPr>
                <w:tcW w:w="161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6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2d43dc7142ef4f83aac50116249ad759"/>
                <w:id w:val="6774995"/>
                <w:lock w:val="sdtLocked"/>
              </w:sdtPr>
              <w:sdtEndPr>
                <w:rPr>
                  <w:sz w:val="18"/>
                  <w:szCs w:val="18"/>
                </w:rPr>
              </w:sdtEndPr>
              <w:sdtContent>
                <w:tc>
                  <w:tcPr>
                    <w:tcW w:w="26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18"/>
                        <w:szCs w:val="18"/>
                      </w:rPr>
                    </w:pPr>
                    <w:r>
                      <w:rPr>
                        <w:rFonts w:hint="eastAsia"/>
                        <w:sz w:val="18"/>
                        <w:szCs w:val="18"/>
                      </w:rPr>
                      <w:t>合计</w:t>
                    </w:r>
                  </w:p>
                </w:tc>
              </w:sdtContent>
            </w:sdt>
            <w:tc>
              <w:tcPr>
                <w:tcW w:w="161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77,595,316.04</w:t>
                </w:r>
              </w:p>
            </w:tc>
            <w:tc>
              <w:tcPr>
                <w:tcW w:w="15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1,464,999,985.63</w:t>
                </w:r>
              </w:p>
            </w:tc>
            <w:tc>
              <w:tcPr>
                <w:tcW w:w="16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1,459,744,505.96</w:t>
                </w: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Cs w:val="21"/>
                  </w:rPr>
                </w:pPr>
                <w:r>
                  <w:rPr>
                    <w:rFonts w:ascii="Arial Narrow" w:hAnsi="Arial Narrow"/>
                    <w:szCs w:val="21"/>
                  </w:rPr>
                  <w:t>82,850,795.71</w:t>
                </w:r>
              </w:p>
            </w:tc>
          </w:tr>
        </w:tbl>
        <w:p/>
        <w:p>
          <w:pPr>
            <w:rPr>
              <w:color w:val="000000" w:themeColor="text1"/>
              <w:szCs w:val="21"/>
            </w:rPr>
          </w:pPr>
        </w:p>
      </w:sdtContent>
    </w:sdt>
    <w:sdt>
      <w:sdtPr>
        <w:rPr>
          <w:rFonts w:hint="eastAsia" w:ascii="宋体" w:hAnsi="宋体" w:cs="宋体"/>
          <w:b w:val="0"/>
          <w:bCs w:val="0"/>
          <w:kern w:val="0"/>
          <w:szCs w:val="21"/>
        </w:rPr>
        <w:alias w:val="模块:设定提存计划列示"/>
        <w:tag w:val="_SEC_09e47a9c2ace47f19c4a16776060c867"/>
        <w:id w:val="6775009"/>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86"/>
            </w:numPr>
            <w:rPr>
              <w:szCs w:val="21"/>
            </w:rPr>
          </w:pPr>
          <w:r>
            <w:rPr>
              <w:rFonts w:hint="eastAsia"/>
              <w:szCs w:val="21"/>
            </w:rPr>
            <w:t>设定提存计划列示</w:t>
          </w:r>
        </w:p>
        <w:p>
          <w:sdt>
            <w:sdtPr>
              <w:alias w:val="是否适用：设定提存计划列示[双击切换]"/>
              <w:tag w:val="_GBC_b10b1dbaca2d418ba8658bab8f732ec8"/>
              <w:id w:val="6774997"/>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jc w:val="right"/>
          </w:pPr>
          <w:r>
            <w:rPr>
              <w:rFonts w:hint="eastAsia"/>
            </w:rPr>
            <w:t>单位：</w:t>
          </w:r>
          <w:sdt>
            <w:sdtPr>
              <w:rPr>
                <w:rFonts w:hint="eastAsia"/>
              </w:rPr>
              <w:alias w:val="单位：财务附注：设定提存计划列示"/>
              <w:tag w:val="_GBC_925094ba622346ba8857a40cf7e6f1b2"/>
              <w:id w:val="677499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67749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1623"/>
            <w:gridCol w:w="1609"/>
            <w:gridCol w:w="163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a05fd1b5f8842ba9ae6094f6792dfbe"/>
                <w:id w:val="6775000"/>
                <w:lock w:val="sdtLocked"/>
              </w:sdtPr>
              <w:sdtContent>
                <w:tc>
                  <w:tcPr>
                    <w:tcW w:w="258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项目</w:t>
                    </w:r>
                  </w:p>
                </w:tc>
              </w:sdtContent>
            </w:sdt>
            <w:sdt>
              <w:sdtPr>
                <w:tag w:val="_PLD_fae7d76d85e4429d925f3d30ff27566f"/>
                <w:id w:val="6775001"/>
                <w:lock w:val="sdtLocked"/>
              </w:sdtPr>
              <w:sdtContent>
                <w:tc>
                  <w:tcPr>
                    <w:tcW w:w="1623"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期初余额</w:t>
                    </w:r>
                  </w:p>
                </w:tc>
              </w:sdtContent>
            </w:sdt>
            <w:sdt>
              <w:sdtPr>
                <w:tag w:val="_PLD_cd3c897871944aa0a1ea524d70e51704"/>
                <w:id w:val="6775002"/>
                <w:lock w:val="sdtLocked"/>
              </w:sdtPr>
              <w:sdtContent>
                <w:tc>
                  <w:tcPr>
                    <w:tcW w:w="16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本期增加</w:t>
                    </w:r>
                  </w:p>
                </w:tc>
              </w:sdtContent>
            </w:sdt>
            <w:sdt>
              <w:sdtPr>
                <w:tag w:val="_PLD_5ef10b06a3d24730bad93c45f119182f"/>
                <w:id w:val="6775003"/>
                <w:lock w:val="sdtLocked"/>
              </w:sdtPr>
              <w:sdtContent>
                <w:tc>
                  <w:tcPr>
                    <w:tcW w:w="163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本期减少</w:t>
                    </w:r>
                  </w:p>
                </w:tc>
              </w:sdtContent>
            </w:sdt>
            <w:sdt>
              <w:sdtPr>
                <w:tag w:val="_PLD_13d5e5df016d4921aa56218755dfb8f4"/>
                <w:id w:val="6775004"/>
                <w:lock w:val="sdtLocked"/>
              </w:sdtPr>
              <w:sdtContent>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92f35728476417fb8764a48f0f9f81a"/>
                <w:id w:val="6775005"/>
                <w:lock w:val="sdtLocked"/>
              </w:sdtPr>
              <w:sdtContent>
                <w:tc>
                  <w:tcPr>
                    <w:tcW w:w="2586" w:type="dxa"/>
                    <w:tcBorders>
                      <w:top w:val="single" w:color="auto" w:sz="6" w:space="0"/>
                      <w:left w:val="single" w:color="auto" w:sz="6" w:space="0"/>
                      <w:bottom w:val="single" w:color="auto" w:sz="6" w:space="0"/>
                      <w:right w:val="single" w:color="auto" w:sz="6" w:space="0"/>
                    </w:tcBorders>
                    <w:shd w:val="clear" w:color="auto" w:fill="auto"/>
                  </w:tcPr>
                  <w:p>
                    <w:r>
                      <w:rPr>
                        <w:rFonts w:hint="eastAsia"/>
                      </w:rPr>
                      <w:t>1、基本养老保险</w:t>
                    </w:r>
                  </w:p>
                </w:tc>
              </w:sdtContent>
            </w:sdt>
            <w:tc>
              <w:tcPr>
                <w:tcW w:w="1623" w:type="dxa"/>
                <w:tcBorders>
                  <w:top w:val="single" w:color="auto" w:sz="4" w:space="0"/>
                  <w:left w:val="single" w:color="auto" w:sz="6" w:space="0"/>
                  <w:bottom w:val="single" w:color="auto" w:sz="4" w:space="0"/>
                  <w:right w:val="single" w:color="auto" w:sz="4" w:space="0"/>
                </w:tcBorders>
                <w:shd w:val="clear" w:color="auto" w:fill="auto"/>
              </w:tcPr>
              <w:p>
                <w:pPr>
                  <w:jc w:val="right"/>
                </w:pPr>
              </w:p>
            </w:tc>
            <w:tc>
              <w:tcPr>
                <w:tcW w:w="1609"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rPr>
                </w:pPr>
                <w:r>
                  <w:rPr>
                    <w:rFonts w:ascii="Arial Narrow" w:hAnsi="Arial Narrow"/>
                  </w:rPr>
                  <w:t>181,817,619.00</w:t>
                </w:r>
              </w:p>
            </w:tc>
            <w:tc>
              <w:tcPr>
                <w:tcW w:w="1638"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rPr>
                </w:pPr>
                <w:r>
                  <w:rPr>
                    <w:rFonts w:ascii="Arial Narrow" w:hAnsi="Arial Narrow"/>
                  </w:rPr>
                  <w:t>181,817,619.00</w:t>
                </w:r>
              </w:p>
            </w:tc>
            <w:tc>
              <w:tcPr>
                <w:tcW w:w="1593" w:type="dxa"/>
                <w:tcBorders>
                  <w:top w:val="single" w:color="auto" w:sz="4" w:space="0"/>
                  <w:left w:val="single" w:color="auto" w:sz="4" w:space="0"/>
                  <w:bottom w:val="single" w:color="auto" w:sz="4" w:space="0"/>
                  <w:right w:val="single" w:color="auto" w:sz="4" w:space="0"/>
                </w:tcBorders>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cc792e49f2f4282bad089744bc43079"/>
                <w:id w:val="6775006"/>
                <w:lock w:val="sdtLocked"/>
              </w:sdtPr>
              <w:sdtContent>
                <w:tc>
                  <w:tcPr>
                    <w:tcW w:w="2586" w:type="dxa"/>
                    <w:tcBorders>
                      <w:top w:val="single" w:color="auto" w:sz="6" w:space="0"/>
                      <w:left w:val="single" w:color="auto" w:sz="6" w:space="0"/>
                      <w:bottom w:val="single" w:color="auto" w:sz="6" w:space="0"/>
                      <w:right w:val="single" w:color="auto" w:sz="6" w:space="0"/>
                    </w:tcBorders>
                    <w:shd w:val="clear" w:color="auto" w:fill="auto"/>
                  </w:tcPr>
                  <w:p>
                    <w:r>
                      <w:rPr>
                        <w:rFonts w:hint="eastAsia"/>
                      </w:rPr>
                      <w:t>2、失业保险费</w:t>
                    </w:r>
                  </w:p>
                </w:tc>
              </w:sdtContent>
            </w:sdt>
            <w:tc>
              <w:tcPr>
                <w:tcW w:w="1623" w:type="dxa"/>
                <w:tcBorders>
                  <w:top w:val="single" w:color="auto" w:sz="4" w:space="0"/>
                  <w:left w:val="single" w:color="auto" w:sz="6" w:space="0"/>
                  <w:bottom w:val="single" w:color="auto" w:sz="4" w:space="0"/>
                  <w:right w:val="single" w:color="auto" w:sz="4" w:space="0"/>
                </w:tcBorders>
                <w:shd w:val="clear" w:color="auto" w:fill="auto"/>
              </w:tcPr>
              <w:p>
                <w:pPr>
                  <w:jc w:val="right"/>
                </w:pPr>
              </w:p>
            </w:tc>
            <w:tc>
              <w:tcPr>
                <w:tcW w:w="1609"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rPr>
                </w:pPr>
                <w:r>
                  <w:rPr>
                    <w:rFonts w:ascii="Arial Narrow" w:hAnsi="Arial Narrow"/>
                  </w:rPr>
                  <w:t>4,708,694.20</w:t>
                </w:r>
              </w:p>
            </w:tc>
            <w:tc>
              <w:tcPr>
                <w:tcW w:w="1638"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rPr>
                </w:pPr>
                <w:r>
                  <w:rPr>
                    <w:rFonts w:ascii="Arial Narrow" w:hAnsi="Arial Narrow"/>
                  </w:rPr>
                  <w:t>4,708,694.20</w:t>
                </w:r>
              </w:p>
            </w:tc>
            <w:tc>
              <w:tcPr>
                <w:tcW w:w="1593" w:type="dxa"/>
                <w:tcBorders>
                  <w:top w:val="single" w:color="auto" w:sz="4" w:space="0"/>
                  <w:left w:val="single" w:color="auto" w:sz="4" w:space="0"/>
                  <w:bottom w:val="single" w:color="auto" w:sz="4" w:space="0"/>
                  <w:right w:val="single" w:color="auto" w:sz="4" w:space="0"/>
                </w:tcBorders>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3a47267e86e4e5f8ca47222510e775d"/>
                <w:id w:val="6775007"/>
                <w:lock w:val="sdtLocked"/>
              </w:sdtPr>
              <w:sdtContent>
                <w:tc>
                  <w:tcPr>
                    <w:tcW w:w="2586" w:type="dxa"/>
                    <w:tcBorders>
                      <w:top w:val="single" w:color="auto" w:sz="6" w:space="0"/>
                      <w:left w:val="single" w:color="auto" w:sz="6" w:space="0"/>
                      <w:bottom w:val="single" w:color="auto" w:sz="6" w:space="0"/>
                      <w:right w:val="single" w:color="auto" w:sz="6" w:space="0"/>
                    </w:tcBorders>
                    <w:shd w:val="clear" w:color="auto" w:fill="auto"/>
                  </w:tcPr>
                  <w:p>
                    <w:r>
                      <w:rPr>
                        <w:rFonts w:hint="eastAsia"/>
                      </w:rPr>
                      <w:t>3、企业年金缴费</w:t>
                    </w:r>
                  </w:p>
                </w:tc>
              </w:sdtContent>
            </w:sdt>
            <w:tc>
              <w:tcPr>
                <w:tcW w:w="1623" w:type="dxa"/>
                <w:tcBorders>
                  <w:top w:val="single" w:color="auto" w:sz="4" w:space="0"/>
                  <w:left w:val="single" w:color="auto" w:sz="6" w:space="0"/>
                  <w:bottom w:val="single" w:color="auto" w:sz="4" w:space="0"/>
                  <w:right w:val="single" w:color="auto" w:sz="4" w:space="0"/>
                </w:tcBorders>
                <w:shd w:val="clear" w:color="auto" w:fill="auto"/>
              </w:tcPr>
              <w:p>
                <w:pPr>
                  <w:jc w:val="right"/>
                </w:pPr>
              </w:p>
            </w:tc>
            <w:tc>
              <w:tcPr>
                <w:tcW w:w="1609"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rPr>
                </w:pPr>
              </w:p>
            </w:tc>
            <w:tc>
              <w:tcPr>
                <w:tcW w:w="1638"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rPr>
                </w:pPr>
              </w:p>
            </w:tc>
            <w:tc>
              <w:tcPr>
                <w:tcW w:w="1593" w:type="dxa"/>
                <w:tcBorders>
                  <w:top w:val="single" w:color="auto" w:sz="4" w:space="0"/>
                  <w:left w:val="single" w:color="auto" w:sz="4" w:space="0"/>
                  <w:bottom w:val="single" w:color="auto" w:sz="4" w:space="0"/>
                  <w:right w:val="single" w:color="auto" w:sz="4" w:space="0"/>
                </w:tcBorders>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be2c89c2b8b4426a1997730a6fc3f32"/>
                <w:id w:val="6775008"/>
                <w:lock w:val="sdtLocked"/>
              </w:sdtPr>
              <w:sdtContent>
                <w:tc>
                  <w:tcPr>
                    <w:tcW w:w="258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合计</w:t>
                    </w:r>
                  </w:p>
                </w:tc>
              </w:sdtContent>
            </w:sdt>
            <w:tc>
              <w:tcPr>
                <w:tcW w:w="1623" w:type="dxa"/>
                <w:tcBorders>
                  <w:top w:val="single" w:color="auto" w:sz="4" w:space="0"/>
                  <w:left w:val="single" w:color="auto" w:sz="6" w:space="0"/>
                  <w:bottom w:val="single" w:color="auto" w:sz="4" w:space="0"/>
                  <w:right w:val="single" w:color="auto" w:sz="4" w:space="0"/>
                </w:tcBorders>
                <w:shd w:val="clear" w:color="auto" w:fill="auto"/>
              </w:tcPr>
              <w:p>
                <w:pPr>
                  <w:jc w:val="right"/>
                </w:pPr>
              </w:p>
            </w:tc>
            <w:tc>
              <w:tcPr>
                <w:tcW w:w="1609"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rPr>
                </w:pPr>
                <w:r>
                  <w:rPr>
                    <w:rFonts w:ascii="Arial Narrow" w:hAnsi="Arial Narrow"/>
                  </w:rPr>
                  <w:t>186,526,313.20</w:t>
                </w:r>
              </w:p>
            </w:tc>
            <w:tc>
              <w:tcPr>
                <w:tcW w:w="1638"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rPr>
                </w:pPr>
                <w:r>
                  <w:rPr>
                    <w:rFonts w:ascii="Arial Narrow" w:hAnsi="Arial Narrow"/>
                  </w:rPr>
                  <w:t>186,526,313.20</w:t>
                </w:r>
              </w:p>
            </w:tc>
            <w:tc>
              <w:tcPr>
                <w:tcW w:w="1593" w:type="dxa"/>
                <w:tcBorders>
                  <w:top w:val="single" w:color="auto" w:sz="4" w:space="0"/>
                  <w:left w:val="single" w:color="auto" w:sz="4" w:space="0"/>
                  <w:bottom w:val="single" w:color="auto" w:sz="4" w:space="0"/>
                  <w:right w:val="single" w:color="auto" w:sz="4" w:space="0"/>
                </w:tcBorders>
                <w:shd w:val="clear" w:color="auto" w:fill="auto"/>
              </w:tcPr>
              <w:p>
                <w:pPr>
                  <w:jc w:val="right"/>
                </w:pPr>
              </w:p>
            </w:tc>
          </w:tr>
        </w:tbl>
        <w:p/>
        <w:p>
          <w:pPr>
            <w:autoSpaceDE w:val="0"/>
            <w:autoSpaceDN w:val="0"/>
            <w:adjustRightInd w:val="0"/>
            <w:rPr>
              <w:szCs w:val="21"/>
            </w:rPr>
          </w:pPr>
        </w:p>
      </w:sdtContent>
    </w:sdt>
    <w:sdt>
      <w:sdtPr>
        <w:rPr>
          <w:rFonts w:hint="eastAsia"/>
          <w:szCs w:val="21"/>
        </w:rPr>
        <w:alias w:val="模块:应付职工薪酬说明"/>
        <w:tag w:val="_SEC_edbce81fdb28449ba35de2db232257b2"/>
        <w:id w:val="6775011"/>
        <w:lock w:val="sdtLocked"/>
        <w:placeholder>
          <w:docPart w:val="GBC22222222222222222222222222222"/>
        </w:placeholder>
      </w:sdtPr>
      <w:sdtEndPr>
        <w:rPr>
          <w:rFonts w:hint="eastAsia"/>
          <w:szCs w:val="21"/>
        </w:rPr>
      </w:sdtEndPr>
      <w:sdtContent>
        <w:p>
          <w:pPr>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6775010"/>
            <w:lock w:val="sdtContentLocked"/>
            <w:placeholder>
              <w:docPart w:val="GBC22222222222222222222222222222"/>
            </w:placeholder>
          </w:sdtPr>
          <w:sdtEndPr>
            <w:rPr>
              <w:szCs w:val="21"/>
            </w:rPr>
          </w:sdtEndPr>
          <w:sdtContent>
            <w:p>
              <w:pPr>
                <w:autoSpaceDE w:val="0"/>
                <w:autoSpaceDN w:val="0"/>
                <w:adjustRightInd w:val="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autoSpaceDE w:val="0"/>
        <w:autoSpaceDN w:val="0"/>
        <w:adjustRightInd w:val="0"/>
        <w:rPr>
          <w:szCs w:val="21"/>
        </w:rPr>
      </w:pPr>
    </w:p>
    <w:sdt>
      <w:sdtPr>
        <w:rPr>
          <w:rFonts w:hint="eastAsia" w:ascii="宋体" w:hAnsi="宋体" w:cs="宋体"/>
          <w:b w:val="0"/>
          <w:bCs w:val="0"/>
          <w:kern w:val="0"/>
          <w:szCs w:val="21"/>
        </w:rPr>
        <w:alias w:val="模块:应交税费"/>
        <w:tag w:val="_SEC_be9a46a3e37649b39960634f96204c34"/>
        <w:id w:val="6775030"/>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应交税费</w:t>
          </w:r>
        </w:p>
        <w:sdt>
          <w:sdtPr>
            <w:alias w:val="是否适用：应交税费[双击切换]"/>
            <w:tag w:val="_GBC_2ed6216b8f4c4523a1de5c2628cc02a2"/>
            <w:id w:val="677501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应交税费"/>
              <w:tag w:val="_GBC_9fe49c1b8a984180ae11c305f9fe5484"/>
              <w:id w:val="67750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67750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2980"/>
            <w:gridCol w:w="2955"/>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6c8ac0907441450eac644085301d6804"/>
                <w:id w:val="6775015"/>
                <w:lock w:val="sdtLocked"/>
              </w:sdtPr>
              <w:sdtContent>
                <w:tc>
                  <w:tcPr>
                    <w:tcW w:w="2980" w:type="dxa"/>
                    <w:vAlign w:val="center"/>
                  </w:tcPr>
                  <w:p>
                    <w:pPr>
                      <w:ind w:right="105"/>
                      <w:jc w:val="center"/>
                      <w:rPr>
                        <w:szCs w:val="21"/>
                      </w:rPr>
                    </w:pPr>
                    <w:r>
                      <w:rPr>
                        <w:rFonts w:hint="eastAsia"/>
                        <w:szCs w:val="21"/>
                      </w:rPr>
                      <w:t>项目</w:t>
                    </w:r>
                  </w:p>
                </w:tc>
              </w:sdtContent>
            </w:sdt>
            <w:sdt>
              <w:sdtPr>
                <w:tag w:val="_PLD_8dab1e5e153c4b93a2d18673e1365591"/>
                <w:id w:val="6775016"/>
                <w:lock w:val="sdtLocked"/>
              </w:sdtPr>
              <w:sdtContent>
                <w:tc>
                  <w:tcPr>
                    <w:tcW w:w="2955" w:type="dxa"/>
                    <w:vAlign w:val="center"/>
                  </w:tcPr>
                  <w:p>
                    <w:pPr>
                      <w:jc w:val="center"/>
                      <w:rPr>
                        <w:szCs w:val="21"/>
                      </w:rPr>
                    </w:pPr>
                    <w:r>
                      <w:rPr>
                        <w:rFonts w:hint="eastAsia"/>
                        <w:szCs w:val="21"/>
                      </w:rPr>
                      <w:t>期末余额</w:t>
                    </w:r>
                  </w:p>
                </w:tc>
              </w:sdtContent>
            </w:sdt>
            <w:sdt>
              <w:sdtPr>
                <w:tag w:val="_PLD_9793c5ba001a43cb914658d949d3dcec"/>
                <w:id w:val="6775017"/>
                <w:lock w:val="sdtLocked"/>
              </w:sdtPr>
              <w:sdtContent>
                <w:tc>
                  <w:tcPr>
                    <w:tcW w:w="2960" w:type="dxa"/>
                    <w:vAlign w:val="center"/>
                  </w:tcPr>
                  <w:p>
                    <w:pPr>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c48b89ee1b074897ad6eca8ff01447a6"/>
                <w:id w:val="6775018"/>
                <w:lock w:val="sdtLocked"/>
              </w:sdtPr>
              <w:sdtContent>
                <w:tc>
                  <w:tcPr>
                    <w:tcW w:w="2980" w:type="dxa"/>
                    <w:shd w:val="clear" w:color="auto" w:fill="auto"/>
                  </w:tcPr>
                  <w:p>
                    <w:pPr>
                      <w:ind w:right="105"/>
                      <w:rPr>
                        <w:szCs w:val="21"/>
                      </w:rPr>
                    </w:pPr>
                    <w:r>
                      <w:rPr>
                        <w:rFonts w:hint="eastAsia"/>
                        <w:szCs w:val="21"/>
                      </w:rPr>
                      <w:t>增值税</w:t>
                    </w:r>
                  </w:p>
                </w:tc>
              </w:sdtContent>
            </w:sdt>
            <w:tc>
              <w:tcPr>
                <w:tcW w:w="2955" w:type="dxa"/>
                <w:shd w:val="clear" w:color="auto" w:fill="auto"/>
              </w:tcPr>
              <w:p>
                <w:pPr>
                  <w:ind w:right="73"/>
                  <w:jc w:val="right"/>
                  <w:rPr>
                    <w:szCs w:val="21"/>
                  </w:rPr>
                </w:pPr>
                <w:r>
                  <w:t>81,377,744.00</w:t>
                </w:r>
              </w:p>
            </w:tc>
            <w:tc>
              <w:tcPr>
                <w:tcW w:w="2960" w:type="dxa"/>
                <w:shd w:val="clear" w:color="auto" w:fill="auto"/>
              </w:tcPr>
              <w:p>
                <w:pPr>
                  <w:jc w:val="right"/>
                  <w:rPr>
                    <w:szCs w:val="21"/>
                  </w:rPr>
                </w:pPr>
                <w:r>
                  <w:t>3,395,129.36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4d030b955a614622b69aba22ad95922f"/>
                <w:id w:val="6775019"/>
                <w:lock w:val="sdtLocked"/>
              </w:sdtPr>
              <w:sdtContent>
                <w:tc>
                  <w:tcPr>
                    <w:tcW w:w="2980" w:type="dxa"/>
                    <w:shd w:val="clear" w:color="auto" w:fill="auto"/>
                  </w:tcPr>
                  <w:p>
                    <w:pPr>
                      <w:ind w:right="105"/>
                      <w:rPr>
                        <w:szCs w:val="21"/>
                      </w:rPr>
                    </w:pPr>
                    <w:r>
                      <w:rPr>
                        <w:rFonts w:hint="eastAsia"/>
                        <w:szCs w:val="21"/>
                      </w:rPr>
                      <w:t>消费税</w:t>
                    </w:r>
                  </w:p>
                </w:tc>
              </w:sdtContent>
            </w:sdt>
            <w:tc>
              <w:tcPr>
                <w:tcW w:w="2955" w:type="dxa"/>
                <w:shd w:val="clear" w:color="auto" w:fill="auto"/>
              </w:tcPr>
              <w:p>
                <w:pPr>
                  <w:ind w:right="73"/>
                  <w:jc w:val="right"/>
                  <w:rPr>
                    <w:szCs w:val="21"/>
                  </w:rPr>
                </w:pPr>
              </w:p>
            </w:tc>
            <w:tc>
              <w:tcPr>
                <w:tcW w:w="2960"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49b8dc872bb9404cb0839f96df5b2cfe"/>
                <w:id w:val="6775020"/>
                <w:lock w:val="sdtLocked"/>
              </w:sdtPr>
              <w:sdtContent>
                <w:tc>
                  <w:tcPr>
                    <w:tcW w:w="2980" w:type="dxa"/>
                    <w:shd w:val="clear" w:color="auto" w:fill="auto"/>
                  </w:tcPr>
                  <w:p>
                    <w:pPr>
                      <w:ind w:right="105"/>
                      <w:rPr>
                        <w:szCs w:val="21"/>
                      </w:rPr>
                    </w:pPr>
                    <w:r>
                      <w:rPr>
                        <w:rFonts w:hint="eastAsia"/>
                        <w:szCs w:val="21"/>
                      </w:rPr>
                      <w:t>企业所得税</w:t>
                    </w:r>
                  </w:p>
                </w:tc>
              </w:sdtContent>
            </w:sdt>
            <w:tc>
              <w:tcPr>
                <w:tcW w:w="2955" w:type="dxa"/>
                <w:shd w:val="clear" w:color="auto" w:fill="auto"/>
              </w:tcPr>
              <w:p>
                <w:pPr>
                  <w:ind w:right="73"/>
                  <w:jc w:val="right"/>
                  <w:rPr>
                    <w:szCs w:val="21"/>
                  </w:rPr>
                </w:pPr>
                <w:r>
                  <w:rPr>
                    <w:rFonts w:cs="Arial"/>
                    <w:szCs w:val="21"/>
                  </w:rPr>
                  <w:t>240,535,080.89</w:t>
                </w:r>
              </w:p>
            </w:tc>
            <w:tc>
              <w:tcPr>
                <w:tcW w:w="2960" w:type="dxa"/>
                <w:shd w:val="clear" w:color="auto" w:fill="auto"/>
              </w:tcPr>
              <w:p>
                <w:pPr>
                  <w:jc w:val="right"/>
                  <w:rPr>
                    <w:szCs w:val="21"/>
                  </w:rPr>
                </w:pPr>
                <w:r>
                  <w:t>3,648,009.35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286bae1276454142bcbbbd304c37de69"/>
                <w:id w:val="6775021"/>
                <w:lock w:val="sdtLocked"/>
              </w:sdtPr>
              <w:sdtContent>
                <w:tc>
                  <w:tcPr>
                    <w:tcW w:w="2980" w:type="dxa"/>
                    <w:shd w:val="clear" w:color="auto" w:fill="auto"/>
                  </w:tcPr>
                  <w:p>
                    <w:pPr>
                      <w:ind w:right="105"/>
                      <w:rPr>
                        <w:szCs w:val="21"/>
                      </w:rPr>
                    </w:pPr>
                    <w:r>
                      <w:rPr>
                        <w:rFonts w:hint="eastAsia"/>
                        <w:szCs w:val="21"/>
                      </w:rPr>
                      <w:t>个人所得税</w:t>
                    </w:r>
                  </w:p>
                </w:tc>
              </w:sdtContent>
            </w:sdt>
            <w:tc>
              <w:tcPr>
                <w:tcW w:w="2955" w:type="dxa"/>
                <w:shd w:val="clear" w:color="auto" w:fill="auto"/>
              </w:tcPr>
              <w:p>
                <w:pPr>
                  <w:ind w:right="73"/>
                  <w:jc w:val="right"/>
                  <w:rPr>
                    <w:szCs w:val="21"/>
                  </w:rPr>
                </w:pPr>
              </w:p>
            </w:tc>
            <w:tc>
              <w:tcPr>
                <w:tcW w:w="2960"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a8b0debdaa39485db785fba69d402925"/>
                <w:id w:val="6775022"/>
                <w:lock w:val="sdtLocked"/>
              </w:sdtPr>
              <w:sdtContent>
                <w:tc>
                  <w:tcPr>
                    <w:tcW w:w="2980" w:type="dxa"/>
                    <w:shd w:val="clear" w:color="auto" w:fill="auto"/>
                  </w:tcPr>
                  <w:p>
                    <w:pPr>
                      <w:ind w:right="105"/>
                      <w:rPr>
                        <w:szCs w:val="21"/>
                      </w:rPr>
                    </w:pPr>
                    <w:r>
                      <w:rPr>
                        <w:rFonts w:hint="eastAsia"/>
                      </w:rPr>
                      <w:t>教育费附加</w:t>
                    </w:r>
                  </w:p>
                </w:tc>
              </w:sdtContent>
            </w:sdt>
            <w:tc>
              <w:tcPr>
                <w:tcW w:w="2955" w:type="dxa"/>
                <w:shd w:val="clear" w:color="auto" w:fill="auto"/>
              </w:tcPr>
              <w:p>
                <w:pPr>
                  <w:ind w:right="73"/>
                  <w:jc w:val="right"/>
                  <w:rPr>
                    <w:szCs w:val="21"/>
                  </w:rPr>
                </w:pPr>
                <w:r>
                  <w:t>3,678,475.87</w:t>
                </w:r>
              </w:p>
            </w:tc>
            <w:tc>
              <w:tcPr>
                <w:tcW w:w="2960" w:type="dxa"/>
                <w:shd w:val="clear" w:color="auto" w:fill="auto"/>
              </w:tcPr>
              <w:p>
                <w:pPr>
                  <w:jc w:val="right"/>
                  <w:rPr>
                    <w:szCs w:val="21"/>
                  </w:rPr>
                </w:pPr>
                <w:r>
                  <w:t>169,899.33</w:t>
                </w:r>
              </w:p>
            </w:tc>
          </w:tr>
          <w:sdt>
            <w:sdtPr>
              <w:rPr>
                <w:rFonts w:hint="eastAsia"/>
                <w:szCs w:val="21"/>
              </w:rPr>
              <w:alias w:val="应交税金明细"/>
              <w:tag w:val="_TUP_36dc5b70803f4b0599ef63bb69424b3f"/>
              <w:id w:val="6775023"/>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ind w:right="105"/>
                      <w:rPr>
                        <w:szCs w:val="21"/>
                      </w:rPr>
                    </w:pPr>
                    <w:r>
                      <w:t>城市维护建设税</w:t>
                    </w:r>
                  </w:p>
                </w:tc>
                <w:tc>
                  <w:tcPr>
                    <w:tcW w:w="2955" w:type="dxa"/>
                  </w:tcPr>
                  <w:p>
                    <w:pPr>
                      <w:ind w:right="73"/>
                      <w:jc w:val="right"/>
                      <w:rPr>
                        <w:szCs w:val="21"/>
                      </w:rPr>
                    </w:pPr>
                    <w:r>
                      <w:t>5,149,866.23</w:t>
                    </w:r>
                  </w:p>
                </w:tc>
                <w:tc>
                  <w:tcPr>
                    <w:tcW w:w="2960" w:type="dxa"/>
                  </w:tcPr>
                  <w:p>
                    <w:pPr>
                      <w:jc w:val="right"/>
                      <w:rPr>
                        <w:szCs w:val="21"/>
                      </w:rPr>
                    </w:pPr>
                    <w:r>
                      <w:t>237,859.06</w:t>
                    </w:r>
                  </w:p>
                </w:tc>
              </w:tr>
            </w:sdtContent>
          </w:sdt>
          <w:sdt>
            <w:sdtPr>
              <w:rPr>
                <w:rFonts w:hint="eastAsia"/>
                <w:szCs w:val="21"/>
              </w:rPr>
              <w:alias w:val="应交税金明细"/>
              <w:tag w:val="_TUP_36dc5b70803f4b0599ef63bb69424b3f"/>
              <w:id w:val="6775024"/>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ind w:right="105"/>
                      <w:rPr>
                        <w:szCs w:val="21"/>
                      </w:rPr>
                    </w:pPr>
                    <w:r>
                      <w:t>房产税</w:t>
                    </w:r>
                  </w:p>
                </w:tc>
                <w:tc>
                  <w:tcPr>
                    <w:tcW w:w="2955" w:type="dxa"/>
                  </w:tcPr>
                  <w:p>
                    <w:pPr>
                      <w:ind w:right="73"/>
                      <w:jc w:val="right"/>
                      <w:rPr>
                        <w:szCs w:val="21"/>
                      </w:rPr>
                    </w:pPr>
                    <w:r>
                      <w:t>9,707,769.16</w:t>
                    </w:r>
                  </w:p>
                </w:tc>
                <w:tc>
                  <w:tcPr>
                    <w:tcW w:w="2960" w:type="dxa"/>
                  </w:tcPr>
                  <w:p>
                    <w:pPr>
                      <w:jc w:val="right"/>
                      <w:rPr>
                        <w:szCs w:val="21"/>
                      </w:rPr>
                    </w:pPr>
                    <w:r>
                      <w:t>7,200.00</w:t>
                    </w:r>
                  </w:p>
                </w:tc>
              </w:tr>
            </w:sdtContent>
          </w:sdt>
          <w:sdt>
            <w:sdtPr>
              <w:rPr>
                <w:rFonts w:hint="eastAsia"/>
                <w:szCs w:val="21"/>
              </w:rPr>
              <w:alias w:val="应交税金明细"/>
              <w:tag w:val="_TUP_36dc5b70803f4b0599ef63bb69424b3f"/>
              <w:id w:val="6775025"/>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ind w:right="105"/>
                      <w:rPr>
                        <w:szCs w:val="21"/>
                      </w:rPr>
                    </w:pPr>
                    <w:r>
                      <w:t>印花税</w:t>
                    </w:r>
                  </w:p>
                </w:tc>
                <w:tc>
                  <w:tcPr>
                    <w:tcW w:w="2955" w:type="dxa"/>
                  </w:tcPr>
                  <w:p>
                    <w:pPr>
                      <w:ind w:right="73"/>
                      <w:jc w:val="right"/>
                      <w:rPr>
                        <w:szCs w:val="21"/>
                      </w:rPr>
                    </w:pPr>
                    <w:r>
                      <w:t>14,644,023.93</w:t>
                    </w:r>
                  </w:p>
                </w:tc>
                <w:tc>
                  <w:tcPr>
                    <w:tcW w:w="2960" w:type="dxa"/>
                  </w:tcPr>
                  <w:p>
                    <w:pPr>
                      <w:jc w:val="right"/>
                      <w:rPr>
                        <w:szCs w:val="21"/>
                      </w:rPr>
                    </w:pPr>
                  </w:p>
                </w:tc>
              </w:tr>
            </w:sdtContent>
          </w:sdt>
          <w:sdt>
            <w:sdtPr>
              <w:rPr>
                <w:rFonts w:hint="eastAsia"/>
                <w:szCs w:val="21"/>
              </w:rPr>
              <w:alias w:val="应交税金明细"/>
              <w:tag w:val="_TUP_36dc5b70803f4b0599ef63bb69424b3f"/>
              <w:id w:val="6775026"/>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ind w:right="105"/>
                      <w:rPr>
                        <w:szCs w:val="21"/>
                      </w:rPr>
                    </w:pPr>
                    <w:r>
                      <w:t>水利建设基金</w:t>
                    </w:r>
                  </w:p>
                </w:tc>
                <w:tc>
                  <w:tcPr>
                    <w:tcW w:w="2955" w:type="dxa"/>
                  </w:tcPr>
                  <w:p>
                    <w:pPr>
                      <w:ind w:right="73"/>
                      <w:jc w:val="right"/>
                      <w:rPr>
                        <w:szCs w:val="21"/>
                      </w:rPr>
                    </w:pPr>
                    <w:r>
                      <w:t>155,228,443.40</w:t>
                    </w:r>
                  </w:p>
                </w:tc>
                <w:tc>
                  <w:tcPr>
                    <w:tcW w:w="2960" w:type="dxa"/>
                  </w:tcPr>
                  <w:p>
                    <w:pPr>
                      <w:jc w:val="right"/>
                      <w:rPr>
                        <w:szCs w:val="21"/>
                      </w:rPr>
                    </w:pPr>
                    <w:r>
                      <w:t>125,027,319.35</w:t>
                    </w:r>
                  </w:p>
                </w:tc>
              </w:tr>
            </w:sdtContent>
          </w:sdt>
          <w:sdt>
            <w:sdtPr>
              <w:rPr>
                <w:rFonts w:hint="eastAsia"/>
                <w:szCs w:val="21"/>
              </w:rPr>
              <w:alias w:val="应交税金明细"/>
              <w:tag w:val="_TUP_36dc5b70803f4b0599ef63bb69424b3f"/>
              <w:id w:val="6775027"/>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ind w:right="105"/>
                      <w:rPr>
                        <w:szCs w:val="21"/>
                      </w:rPr>
                    </w:pPr>
                    <w:r>
                      <w:t>简易计税</w:t>
                    </w:r>
                  </w:p>
                </w:tc>
                <w:tc>
                  <w:tcPr>
                    <w:tcW w:w="2955" w:type="dxa"/>
                  </w:tcPr>
                  <w:p>
                    <w:pPr>
                      <w:ind w:right="73"/>
                      <w:jc w:val="right"/>
                      <w:rPr>
                        <w:szCs w:val="21"/>
                      </w:rPr>
                    </w:pPr>
                    <w:r>
                      <w:t>2,857.14</w:t>
                    </w:r>
                  </w:p>
                </w:tc>
                <w:tc>
                  <w:tcPr>
                    <w:tcW w:w="2960" w:type="dxa"/>
                  </w:tcPr>
                  <w:p>
                    <w:pPr>
                      <w:jc w:val="right"/>
                      <w:rPr>
                        <w:szCs w:val="21"/>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20c6a13df16b42419ce5934e954d56b1"/>
                <w:id w:val="6775028"/>
                <w:lock w:val="sdtLocked"/>
              </w:sdtPr>
              <w:sdtContent>
                <w:tc>
                  <w:tcPr>
                    <w:tcW w:w="2980" w:type="dxa"/>
                    <w:vAlign w:val="center"/>
                  </w:tcPr>
                  <w:p>
                    <w:pPr>
                      <w:ind w:right="105"/>
                      <w:jc w:val="center"/>
                      <w:rPr>
                        <w:szCs w:val="21"/>
                      </w:rPr>
                    </w:pPr>
                    <w:r>
                      <w:rPr>
                        <w:rFonts w:hint="eastAsia"/>
                        <w:szCs w:val="21"/>
                      </w:rPr>
                      <w:t>合计</w:t>
                    </w:r>
                  </w:p>
                </w:tc>
              </w:sdtContent>
            </w:sdt>
            <w:tc>
              <w:tcPr>
                <w:tcW w:w="2955" w:type="dxa"/>
              </w:tcPr>
              <w:p>
                <w:pPr>
                  <w:ind w:right="73"/>
                  <w:jc w:val="right"/>
                  <w:rPr>
                    <w:rFonts w:asciiTheme="minorEastAsia" w:hAnsiTheme="minorEastAsia" w:eastAsiaTheme="minorEastAsia"/>
                    <w:szCs w:val="21"/>
                  </w:rPr>
                </w:pPr>
                <w:r>
                  <w:rPr>
                    <w:rFonts w:asciiTheme="minorEastAsia" w:hAnsiTheme="minorEastAsia" w:eastAsiaTheme="minorEastAsia"/>
                    <w:color w:val="000000"/>
                    <w:szCs w:val="21"/>
                  </w:rPr>
                  <w:t>510,324,260.62</w:t>
                </w:r>
              </w:p>
            </w:tc>
            <w:tc>
              <w:tcPr>
                <w:tcW w:w="2960" w:type="dxa"/>
              </w:tcPr>
              <w:p>
                <w:pPr>
                  <w:jc w:val="right"/>
                  <w:rPr>
                    <w:szCs w:val="21"/>
                  </w:rPr>
                </w:pPr>
                <w:r>
                  <w:t>132,485,416.45</w:t>
                </w:r>
              </w:p>
            </w:tc>
          </w:tr>
        </w:tbl>
      </w:sdtContent>
    </w:sdt>
    <w:p>
      <w:pPr>
        <w:rPr>
          <w:szCs w:val="21"/>
        </w:rPr>
      </w:pPr>
    </w:p>
    <w:sdt>
      <w:sdtPr>
        <w:rPr>
          <w:rFonts w:ascii="宋体" w:hAnsi="宋体" w:cs="宋体"/>
          <w:b w:val="0"/>
          <w:bCs w:val="0"/>
          <w:kern w:val="0"/>
          <w:szCs w:val="22"/>
        </w:rPr>
        <w:alias w:val="模块:应付利息"/>
        <w:tag w:val="_SEC_387989ce789d404fab98beb488dfa010"/>
        <w:id w:val="6775044"/>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应付利息</w:t>
          </w:r>
        </w:p>
        <w:sdt>
          <w:sdtPr>
            <w:alias w:val="是否适用：应付利息[双击切换]"/>
            <w:tag w:val="_GBC_85af862d19904f96b30527124af698c1"/>
            <w:id w:val="677503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应付利息"/>
              <w:tag w:val="_GBC_6223f5d822594ec487ddee3831ea99f4"/>
              <w:id w:val="677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66238a767e724222b162fd16017e574b"/>
              <w:id w:val="6775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2586"/>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953d4c63aa449d7b334043d048f9a4b"/>
                <w:id w:val="6775034"/>
                <w:lock w:val="sdtLocked"/>
              </w:sdtPr>
              <w:sdtContent>
                <w:tc>
                  <w:tcPr>
                    <w:tcW w:w="3415" w:type="dxa"/>
                    <w:tcBorders>
                      <w:top w:val="single" w:color="auto" w:sz="4" w:space="0"/>
                      <w:left w:val="single" w:color="auto" w:sz="4" w:space="0"/>
                      <w:bottom w:val="single" w:color="auto" w:sz="4" w:space="0"/>
                      <w:right w:val="single" w:color="auto" w:sz="4" w:space="0"/>
                    </w:tcBorders>
                    <w:vAlign w:val="bottom"/>
                  </w:tcPr>
                  <w:p>
                    <w:pPr>
                      <w:adjustRightInd w:val="0"/>
                      <w:snapToGrid w:val="0"/>
                      <w:ind w:left="-2" w:leftChars="-2" w:right="19" w:rightChars="9" w:hanging="2" w:hangingChars="1"/>
                      <w:jc w:val="center"/>
                      <w:rPr>
                        <w:szCs w:val="21"/>
                      </w:rPr>
                    </w:pPr>
                    <w:r>
                      <w:rPr>
                        <w:rFonts w:hint="eastAsia"/>
                        <w:szCs w:val="21"/>
                      </w:rPr>
                      <w:t>项目</w:t>
                    </w:r>
                  </w:p>
                </w:tc>
              </w:sdtContent>
            </w:sdt>
            <w:sdt>
              <w:sdtPr>
                <w:tag w:val="_PLD_16e124f3a6ca4ff6a032334578555fc9"/>
                <w:id w:val="6775035"/>
                <w:lock w:val="sdtLocked"/>
              </w:sdtPr>
              <w:sdtContent>
                <w:tc>
                  <w:tcPr>
                    <w:tcW w:w="2586" w:type="dxa"/>
                    <w:tcBorders>
                      <w:top w:val="single" w:color="auto" w:sz="4" w:space="0"/>
                      <w:left w:val="single" w:color="auto" w:sz="4" w:space="0"/>
                      <w:bottom w:val="single" w:color="auto" w:sz="4" w:space="0"/>
                      <w:right w:val="single" w:color="auto" w:sz="4" w:space="0"/>
                    </w:tcBorders>
                    <w:vAlign w:val="bottom"/>
                  </w:tcPr>
                  <w:p>
                    <w:pPr>
                      <w:adjustRightInd w:val="0"/>
                      <w:snapToGrid w:val="0"/>
                      <w:ind w:left="-2" w:leftChars="-2" w:right="19" w:rightChars="9" w:hanging="2" w:hangingChars="1"/>
                      <w:jc w:val="center"/>
                      <w:rPr>
                        <w:szCs w:val="21"/>
                      </w:rPr>
                    </w:pPr>
                    <w:r>
                      <w:rPr>
                        <w:rFonts w:hint="eastAsia"/>
                        <w:szCs w:val="21"/>
                      </w:rPr>
                      <w:t>期末余额</w:t>
                    </w:r>
                  </w:p>
                </w:tc>
              </w:sdtContent>
            </w:sdt>
            <w:sdt>
              <w:sdtPr>
                <w:tag w:val="_PLD_aa839714336a44eeb07df5f45b6511ef"/>
                <w:id w:val="6775036"/>
                <w:lock w:val="sdtLocked"/>
              </w:sdtPr>
              <w:sdtContent>
                <w:tc>
                  <w:tcPr>
                    <w:tcW w:w="3048" w:type="dxa"/>
                    <w:tcBorders>
                      <w:top w:val="single" w:color="auto" w:sz="4" w:space="0"/>
                      <w:left w:val="single" w:color="auto" w:sz="4" w:space="0"/>
                      <w:bottom w:val="single" w:color="auto" w:sz="4" w:space="0"/>
                      <w:right w:val="single" w:color="auto" w:sz="4" w:space="0"/>
                    </w:tcBorders>
                    <w:vAlign w:val="bottom"/>
                  </w:tcPr>
                  <w:p>
                    <w:pPr>
                      <w:adjustRightInd w:val="0"/>
                      <w:snapToGrid w:val="0"/>
                      <w:ind w:left="-2" w:leftChars="-2" w:right="19" w:rightChars="9" w:hanging="2" w:hangingChars="1"/>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102f4f5ad5946888a414ece8c296ba9"/>
                <w:id w:val="6775037"/>
                <w:lock w:val="sdtLocked"/>
              </w:sdtPr>
              <w:sdtContent>
                <w:tc>
                  <w:tcPr>
                    <w:tcW w:w="3415" w:type="dxa"/>
                    <w:tcBorders>
                      <w:top w:val="single" w:color="auto" w:sz="4" w:space="0"/>
                      <w:left w:val="single" w:color="auto" w:sz="4" w:space="0"/>
                      <w:bottom w:val="single" w:color="auto" w:sz="4" w:space="0"/>
                      <w:right w:val="single" w:color="auto" w:sz="4" w:space="0"/>
                    </w:tcBorders>
                  </w:tcPr>
                  <w:p>
                    <w:pPr>
                      <w:adjustRightInd w:val="0"/>
                      <w:snapToGrid w:val="0"/>
                      <w:ind w:left="-2" w:leftChars="-2" w:right="19" w:rightChars="9" w:hanging="2" w:hangingChars="1"/>
                      <w:rPr>
                        <w:szCs w:val="21"/>
                      </w:rPr>
                    </w:pPr>
                    <w:r>
                      <w:rPr>
                        <w:rFonts w:hint="eastAsia"/>
                        <w:szCs w:val="21"/>
                      </w:rPr>
                      <w:t>分期付息到期还本的长期借款利息</w:t>
                    </w:r>
                  </w:p>
                </w:tc>
              </w:sdtContent>
            </w:sdt>
            <w:tc>
              <w:tcPr>
                <w:tcW w:w="2586" w:type="dxa"/>
                <w:tcBorders>
                  <w:top w:val="single" w:color="auto" w:sz="4" w:space="0"/>
                  <w:left w:val="single" w:color="auto" w:sz="4" w:space="0"/>
                  <w:bottom w:val="single" w:color="auto" w:sz="4" w:space="0"/>
                  <w:right w:val="single" w:color="auto" w:sz="4" w:space="0"/>
                </w:tcBorders>
              </w:tcPr>
              <w:p>
                <w:pPr>
                  <w:ind w:right="73"/>
                  <w:jc w:val="right"/>
                  <w:rPr>
                    <w:szCs w:val="21"/>
                  </w:rPr>
                </w:pPr>
              </w:p>
            </w:tc>
            <w:tc>
              <w:tcPr>
                <w:tcW w:w="3048" w:type="dxa"/>
                <w:tcBorders>
                  <w:top w:val="single" w:color="auto" w:sz="4" w:space="0"/>
                  <w:left w:val="single" w:color="auto" w:sz="4" w:space="0"/>
                  <w:bottom w:val="single" w:color="auto" w:sz="4" w:space="0"/>
                  <w:right w:val="single" w:color="auto" w:sz="4"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6f3fb4d168d4e2ca47870f9a37b1990"/>
                <w:id w:val="6775038"/>
                <w:lock w:val="sdtLocked"/>
              </w:sdtPr>
              <w:sdtContent>
                <w:tc>
                  <w:tcPr>
                    <w:tcW w:w="3415" w:type="dxa"/>
                    <w:tcBorders>
                      <w:top w:val="single" w:color="auto" w:sz="4" w:space="0"/>
                      <w:left w:val="single" w:color="auto" w:sz="4" w:space="0"/>
                      <w:bottom w:val="single" w:color="auto" w:sz="4" w:space="0"/>
                      <w:right w:val="single" w:color="auto" w:sz="4" w:space="0"/>
                    </w:tcBorders>
                  </w:tcPr>
                  <w:p>
                    <w:pPr>
                      <w:adjustRightInd w:val="0"/>
                      <w:snapToGrid w:val="0"/>
                      <w:ind w:left="-2" w:leftChars="-2" w:right="19" w:rightChars="9" w:hanging="2" w:hangingChars="1"/>
                      <w:rPr>
                        <w:szCs w:val="21"/>
                      </w:rPr>
                    </w:pPr>
                    <w:r>
                      <w:rPr>
                        <w:rFonts w:hint="eastAsia"/>
                        <w:szCs w:val="21"/>
                      </w:rPr>
                      <w:t>企业债券利息</w:t>
                    </w:r>
                  </w:p>
                </w:tc>
              </w:sdtContent>
            </w:sdt>
            <w:tc>
              <w:tcPr>
                <w:tcW w:w="2586" w:type="dxa"/>
                <w:tcBorders>
                  <w:top w:val="single" w:color="auto" w:sz="4" w:space="0"/>
                  <w:left w:val="single" w:color="auto" w:sz="4" w:space="0"/>
                  <w:bottom w:val="single" w:color="auto" w:sz="4" w:space="0"/>
                  <w:right w:val="single" w:color="auto" w:sz="4" w:space="0"/>
                </w:tcBorders>
              </w:tcPr>
              <w:p>
                <w:pPr>
                  <w:ind w:right="73"/>
                  <w:jc w:val="right"/>
                  <w:rPr>
                    <w:szCs w:val="21"/>
                  </w:rPr>
                </w:pPr>
                <w:r>
                  <w:t>14,149,271.50</w:t>
                </w:r>
              </w:p>
            </w:tc>
            <w:tc>
              <w:tcPr>
                <w:tcW w:w="3048" w:type="dxa"/>
                <w:tcBorders>
                  <w:top w:val="single" w:color="auto" w:sz="4" w:space="0"/>
                  <w:left w:val="single" w:color="auto" w:sz="4" w:space="0"/>
                  <w:bottom w:val="single" w:color="auto" w:sz="4" w:space="0"/>
                  <w:right w:val="single" w:color="auto" w:sz="4" w:space="0"/>
                </w:tcBorders>
              </w:tcPr>
              <w:p>
                <w:pPr>
                  <w:jc w:val="right"/>
                  <w:rPr>
                    <w:szCs w:val="21"/>
                  </w:rPr>
                </w:pPr>
                <w:r>
                  <w:t>14,149,271.50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b379fdb323e4de3b89d2b169206bf3a"/>
                <w:id w:val="6775039"/>
                <w:lock w:val="sdtLocked"/>
              </w:sdtPr>
              <w:sdtContent>
                <w:tc>
                  <w:tcPr>
                    <w:tcW w:w="3415" w:type="dxa"/>
                    <w:tcBorders>
                      <w:top w:val="single" w:color="auto" w:sz="4" w:space="0"/>
                      <w:left w:val="single" w:color="auto" w:sz="4" w:space="0"/>
                      <w:bottom w:val="single" w:color="auto" w:sz="4" w:space="0"/>
                      <w:right w:val="single" w:color="auto" w:sz="4" w:space="0"/>
                    </w:tcBorders>
                  </w:tcPr>
                  <w:p>
                    <w:pPr>
                      <w:adjustRightInd w:val="0"/>
                      <w:snapToGrid w:val="0"/>
                      <w:ind w:left="-2" w:leftChars="-2" w:right="19" w:rightChars="9" w:hanging="2" w:hangingChars="1"/>
                      <w:rPr>
                        <w:szCs w:val="21"/>
                      </w:rPr>
                    </w:pPr>
                    <w:r>
                      <w:rPr>
                        <w:rFonts w:hint="eastAsia"/>
                        <w:szCs w:val="21"/>
                      </w:rPr>
                      <w:t>短期借款应付利息</w:t>
                    </w:r>
                  </w:p>
                </w:tc>
              </w:sdtContent>
            </w:sdt>
            <w:tc>
              <w:tcPr>
                <w:tcW w:w="2586" w:type="dxa"/>
                <w:tcBorders>
                  <w:top w:val="single" w:color="auto" w:sz="4" w:space="0"/>
                  <w:left w:val="single" w:color="auto" w:sz="4" w:space="0"/>
                  <w:bottom w:val="single" w:color="auto" w:sz="4" w:space="0"/>
                  <w:right w:val="single" w:color="auto" w:sz="4" w:space="0"/>
                </w:tcBorders>
              </w:tcPr>
              <w:p>
                <w:pPr>
                  <w:ind w:right="73"/>
                  <w:jc w:val="right"/>
                  <w:rPr>
                    <w:szCs w:val="21"/>
                  </w:rPr>
                </w:pPr>
                <w:r>
                  <w:t>12,805,533.30</w:t>
                </w:r>
              </w:p>
            </w:tc>
            <w:tc>
              <w:tcPr>
                <w:tcW w:w="3048" w:type="dxa"/>
                <w:tcBorders>
                  <w:top w:val="single" w:color="auto" w:sz="4" w:space="0"/>
                  <w:left w:val="single" w:color="auto" w:sz="4" w:space="0"/>
                  <w:bottom w:val="single" w:color="auto" w:sz="4" w:space="0"/>
                  <w:right w:val="single" w:color="auto" w:sz="4" w:space="0"/>
                </w:tcBorders>
              </w:tcPr>
              <w:p>
                <w:pPr>
                  <w:jc w:val="right"/>
                  <w:rPr>
                    <w:szCs w:val="21"/>
                  </w:rPr>
                </w:pPr>
                <w:r>
                  <w:t>14,930,377.09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897f9806f594aa5adb90855733ff003"/>
                <w:id w:val="6775040"/>
                <w:lock w:val="sdtLocked"/>
              </w:sdtPr>
              <w:sdtContent>
                <w:tc>
                  <w:tcPr>
                    <w:tcW w:w="3415" w:type="dxa"/>
                    <w:tcBorders>
                      <w:top w:val="single" w:color="auto" w:sz="4" w:space="0"/>
                      <w:left w:val="single" w:color="auto" w:sz="4" w:space="0"/>
                      <w:bottom w:val="single" w:color="auto" w:sz="4" w:space="0"/>
                      <w:right w:val="single" w:color="auto" w:sz="4" w:space="0"/>
                    </w:tcBorders>
                  </w:tcPr>
                  <w:p>
                    <w:pPr>
                      <w:adjustRightInd w:val="0"/>
                      <w:snapToGrid w:val="0"/>
                      <w:ind w:left="-2" w:leftChars="-2" w:right="19" w:rightChars="9" w:hanging="2" w:hangingChars="1"/>
                      <w:rPr>
                        <w:szCs w:val="21"/>
                      </w:rPr>
                    </w:pPr>
                    <w:r>
                      <w:rPr>
                        <w:rFonts w:hint="eastAsia"/>
                        <w:szCs w:val="21"/>
                      </w:rPr>
                      <w:t>划分为金融负债的优先股\永续债利息</w:t>
                    </w:r>
                  </w:p>
                </w:tc>
              </w:sdtContent>
            </w:sdt>
            <w:tc>
              <w:tcPr>
                <w:tcW w:w="2586" w:type="dxa"/>
                <w:tcBorders>
                  <w:top w:val="single" w:color="auto" w:sz="4" w:space="0"/>
                  <w:left w:val="single" w:color="auto" w:sz="4" w:space="0"/>
                  <w:bottom w:val="single" w:color="auto" w:sz="4" w:space="0"/>
                  <w:right w:val="single" w:color="auto" w:sz="4" w:space="0"/>
                </w:tcBorders>
              </w:tcPr>
              <w:p>
                <w:pPr>
                  <w:ind w:right="73"/>
                  <w:jc w:val="right"/>
                  <w:rPr>
                    <w:szCs w:val="21"/>
                  </w:rPr>
                </w:pPr>
              </w:p>
            </w:tc>
            <w:tc>
              <w:tcPr>
                <w:tcW w:w="3048" w:type="dxa"/>
                <w:tcBorders>
                  <w:top w:val="single" w:color="auto" w:sz="4" w:space="0"/>
                  <w:left w:val="single" w:color="auto" w:sz="4" w:space="0"/>
                  <w:bottom w:val="single" w:color="auto" w:sz="4" w:space="0"/>
                  <w:right w:val="single" w:color="auto" w:sz="4"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58f58bd0c6e499693e3e9f741d26391"/>
                <w:id w:val="6775041"/>
                <w:lock w:val="sdtLocked"/>
              </w:sdtPr>
              <w:sdtContent>
                <w:tc>
                  <w:tcPr>
                    <w:tcW w:w="3415" w:type="dxa"/>
                    <w:tcBorders>
                      <w:top w:val="single" w:color="auto" w:sz="4" w:space="0"/>
                      <w:left w:val="single" w:color="auto" w:sz="4" w:space="0"/>
                      <w:bottom w:val="single" w:color="auto" w:sz="4" w:space="0"/>
                      <w:right w:val="single" w:color="auto" w:sz="4" w:space="0"/>
                    </w:tcBorders>
                  </w:tcPr>
                  <w:p>
                    <w:pPr>
                      <w:jc w:val="center"/>
                      <w:rPr>
                        <w:color w:val="FF0000"/>
                        <w:szCs w:val="21"/>
                      </w:rPr>
                    </w:pPr>
                    <w:r>
                      <w:rPr>
                        <w:rFonts w:hint="eastAsia"/>
                        <w:szCs w:val="21"/>
                      </w:rPr>
                      <w:t>合计</w:t>
                    </w:r>
                  </w:p>
                </w:tc>
              </w:sdtContent>
            </w:sdt>
            <w:tc>
              <w:tcPr>
                <w:tcW w:w="2586" w:type="dxa"/>
                <w:tcBorders>
                  <w:top w:val="single" w:color="auto" w:sz="4" w:space="0"/>
                  <w:left w:val="single" w:color="auto" w:sz="4" w:space="0"/>
                  <w:bottom w:val="single" w:color="auto" w:sz="4" w:space="0"/>
                  <w:right w:val="single" w:color="auto" w:sz="4" w:space="0"/>
                </w:tcBorders>
              </w:tcPr>
              <w:p>
                <w:pPr>
                  <w:jc w:val="right"/>
                  <w:rPr>
                    <w:szCs w:val="21"/>
                  </w:rPr>
                </w:pPr>
                <w:r>
                  <w:t>26,954,804.80</w:t>
                </w:r>
              </w:p>
            </w:tc>
            <w:tc>
              <w:tcPr>
                <w:tcW w:w="3048" w:type="dxa"/>
                <w:tcBorders>
                  <w:top w:val="single" w:color="auto" w:sz="4" w:space="0"/>
                  <w:left w:val="single" w:color="auto" w:sz="4" w:space="0"/>
                  <w:bottom w:val="single" w:color="auto" w:sz="4" w:space="0"/>
                  <w:right w:val="single" w:color="auto" w:sz="4" w:space="0"/>
                </w:tcBorders>
              </w:tcPr>
              <w:p>
                <w:pPr>
                  <w:jc w:val="right"/>
                  <w:rPr>
                    <w:szCs w:val="21"/>
                  </w:rPr>
                </w:pPr>
                <w:r>
                  <w:t>29,079,648.59</w:t>
                </w:r>
              </w:p>
            </w:tc>
          </w:tr>
        </w:tbl>
        <w:p/>
        <w:p>
          <w:pPr>
            <w:rPr>
              <w:szCs w:val="21"/>
            </w:rPr>
          </w:pPr>
          <w:r>
            <w:rPr>
              <w:rFonts w:hint="eastAsia"/>
              <w:szCs w:val="21"/>
            </w:rPr>
            <w:t>重要的已逾期未支付的利息情况：</w:t>
          </w:r>
        </w:p>
        <w:sdt>
          <w:sdtPr>
            <w:rPr>
              <w:szCs w:val="21"/>
            </w:rPr>
            <w:alias w:val="是否适用：重要的已逾期未支付的利息情况[双击切换]"/>
            <w:tag w:val="_GBC_de290e8d11f845ce86d81fcdf51c28e4"/>
            <w:id w:val="6775042"/>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spacing w:before="60" w:after="60"/>
            <w:rPr>
              <w:szCs w:val="21"/>
            </w:rPr>
          </w:pPr>
          <w:r>
            <w:rPr>
              <w:rFonts w:hint="eastAsia"/>
              <w:szCs w:val="21"/>
            </w:rPr>
            <w:t>其他说明：</w:t>
          </w:r>
        </w:p>
        <w:sdt>
          <w:sdtPr>
            <w:rPr>
              <w:szCs w:val="21"/>
            </w:rPr>
            <w:alias w:val="是否适用：应付利息说明[双击切换]"/>
            <w:tag w:val="_GBC_f2437a0f1cbb497bbac71bde3a55162d"/>
            <w:id w:val="6775043"/>
            <w:lock w:val="sdtContentLocked"/>
            <w:placeholder>
              <w:docPart w:val="GBC22222222222222222222222222222"/>
            </w:placeholder>
          </w:sdtPr>
          <w:sdtEndPr>
            <w:rPr>
              <w:szCs w:val="21"/>
            </w:rPr>
          </w:sdtEndPr>
          <w:sdtContent>
            <w:p>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ascii="宋体" w:hAnsi="宋体" w:cs="宋体"/>
          <w:b w:val="0"/>
          <w:bCs w:val="0"/>
          <w:kern w:val="0"/>
          <w:szCs w:val="21"/>
        </w:rPr>
        <w:alias w:val="模块:应付股利"/>
        <w:tag w:val="_SEC_8fa7e393d06b440f9c82ae0d64899eaa"/>
        <w:id w:val="6775046"/>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应付股利</w:t>
          </w:r>
        </w:p>
        <w:sdt>
          <w:sdtPr>
            <w:alias w:val="是否适用：应付股利[双击切换]"/>
            <w:tag w:val="_GBC_57df9a637d8e4610a89d25f277c3a9c3"/>
            <w:id w:val="677504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napToGrid w:val="0"/>
            <w:rPr>
              <w:szCs w:val="21"/>
            </w:rPr>
          </w:pPr>
        </w:p>
      </w:sdtContent>
    </w:sdt>
    <w:p>
      <w:pPr>
        <w:rPr>
          <w:szCs w:val="21"/>
        </w:rPr>
      </w:pPr>
    </w:p>
    <w:sdt>
      <w:sdtPr>
        <w:rPr>
          <w:rFonts w:hint="eastAsia" w:ascii="宋体" w:hAnsi="宋体" w:cs="宋体"/>
          <w:b w:val="0"/>
          <w:bCs w:val="0"/>
          <w:kern w:val="0"/>
          <w:szCs w:val="21"/>
        </w:rPr>
        <w:alias w:val="模块:其他应付款"/>
        <w:tag w:val="_SEC_63718a543ca94cc0ab86d1bd47798003"/>
        <w:id w:val="6775068"/>
        <w:lock w:val="sdtLocked"/>
        <w:placeholder>
          <w:docPart w:val="GBC22222222222222222222222222222"/>
        </w:placeholder>
      </w:sdtPr>
      <w:sdtEndPr>
        <w:rPr>
          <w:rFonts w:hint="default" w:ascii="宋体" w:hAnsi="宋体" w:cs="宋体"/>
          <w:b w:val="0"/>
          <w:bCs w:val="0"/>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其他应付款</w:t>
          </w:r>
        </w:p>
        <w:p>
          <w:pPr>
            <w:pStyle w:val="5"/>
            <w:numPr>
              <w:ilvl w:val="3"/>
              <w:numId w:val="87"/>
            </w:numPr>
            <w:tabs>
              <w:tab w:val="left" w:pos="644"/>
              <w:tab w:val="left" w:pos="709"/>
            </w:tabs>
            <w:rPr>
              <w:rFonts w:ascii="宋体" w:hAnsi="宋体"/>
              <w:szCs w:val="21"/>
            </w:rPr>
          </w:pPr>
          <w:r>
            <w:rPr>
              <w:rFonts w:hint="eastAsia" w:ascii="宋体" w:hAnsi="宋体"/>
              <w:szCs w:val="21"/>
            </w:rPr>
            <w:t>按款项性质列示其他应付款</w:t>
          </w:r>
        </w:p>
        <w:sdt>
          <w:sdtPr>
            <w:alias w:val="是否适用：按款项性质列示其他应付款[双击切换]"/>
            <w:tag w:val="_GBC_2129eaafa70540f79a93d0085630a5fe"/>
            <w:id w:val="677504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其他应付款情况"/>
              <w:tag w:val="_GBC_a6c4e704227646d6b87178ecadaa5fa8"/>
              <w:id w:val="67750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d1b303709a6f4890a0cbd5c559cc7269"/>
              <w:id w:val="6775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2999"/>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ccd20120c59428c9fb5486db901b651"/>
                <w:id w:val="6775050"/>
                <w:lock w:val="sdtLocked"/>
              </w:sdtPr>
              <w:sdtContent>
                <w:tc>
                  <w:tcPr>
                    <w:tcW w:w="2923" w:type="dxa"/>
                    <w:shd w:val="clear" w:color="auto" w:fill="auto"/>
                  </w:tcPr>
                  <w:p>
                    <w:pPr>
                      <w:jc w:val="center"/>
                      <w:rPr>
                        <w:szCs w:val="21"/>
                      </w:rPr>
                    </w:pPr>
                    <w:r>
                      <w:rPr>
                        <w:rFonts w:hint="eastAsia"/>
                        <w:szCs w:val="21"/>
                      </w:rPr>
                      <w:t>项目</w:t>
                    </w:r>
                  </w:p>
                </w:tc>
              </w:sdtContent>
            </w:sdt>
            <w:sdt>
              <w:sdtPr>
                <w:tag w:val="_PLD_e2d62dec5e0841a581c413f632730f49"/>
                <w:id w:val="6775051"/>
                <w:lock w:val="sdtLocked"/>
              </w:sdtPr>
              <w:sdtContent>
                <w:tc>
                  <w:tcPr>
                    <w:tcW w:w="2999" w:type="dxa"/>
                    <w:shd w:val="clear" w:color="auto" w:fill="auto"/>
                  </w:tcPr>
                  <w:p>
                    <w:pPr>
                      <w:jc w:val="center"/>
                      <w:rPr>
                        <w:szCs w:val="21"/>
                      </w:rPr>
                    </w:pPr>
                    <w:r>
                      <w:rPr>
                        <w:rFonts w:hint="eastAsia"/>
                        <w:szCs w:val="21"/>
                      </w:rPr>
                      <w:t>期末余额</w:t>
                    </w:r>
                  </w:p>
                </w:tc>
              </w:sdtContent>
            </w:sdt>
            <w:sdt>
              <w:sdtPr>
                <w:tag w:val="_PLD_7d5bd8bc96cd40388e383699d37c8d10"/>
                <w:id w:val="6775052"/>
                <w:lock w:val="sdtLocked"/>
              </w:sdtPr>
              <w:sdtContent>
                <w:tc>
                  <w:tcPr>
                    <w:tcW w:w="3127" w:type="dxa"/>
                    <w:shd w:val="clear" w:color="auto" w:fill="auto"/>
                  </w:tcPr>
                  <w:p>
                    <w:pPr>
                      <w:jc w:val="center"/>
                      <w:rPr>
                        <w:szCs w:val="21"/>
                      </w:rPr>
                    </w:pPr>
                    <w:r>
                      <w:rPr>
                        <w:rFonts w:hint="eastAsia"/>
                        <w:szCs w:val="21"/>
                      </w:rPr>
                      <w:t>期初余额</w:t>
                    </w:r>
                  </w:p>
                </w:tc>
              </w:sdtContent>
            </w:sdt>
          </w:tr>
          <w:sdt>
            <w:sdtPr>
              <w:rPr>
                <w:rFonts w:hint="eastAsia"/>
                <w:szCs w:val="21"/>
              </w:rPr>
              <w:alias w:val="其他应付款情况明细"/>
              <w:tag w:val="_TUP_c5fd807cf68b4815b97a33bdc075d5e4"/>
              <w:id w:val="6775053"/>
              <w:lock w:val="sdtLocked"/>
            </w:sdtPr>
            <w:sdtEndPr>
              <w:rPr>
                <w:rFonts w:hint="default"/>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3" w:type="dxa"/>
                    <w:shd w:val="clear" w:color="auto" w:fill="auto"/>
                  </w:tcPr>
                  <w:p>
                    <w:pPr>
                      <w:rPr>
                        <w:szCs w:val="21"/>
                      </w:rPr>
                    </w:pPr>
                    <w:r>
                      <w:t>暂收保证金、押金等</w:t>
                    </w:r>
                  </w:p>
                </w:tc>
                <w:tc>
                  <w:tcPr>
                    <w:tcW w:w="2999" w:type="dxa"/>
                    <w:shd w:val="clear" w:color="auto" w:fill="auto"/>
                  </w:tcPr>
                  <w:p>
                    <w:pPr>
                      <w:jc w:val="right"/>
                      <w:rPr>
                        <w:szCs w:val="21"/>
                      </w:rPr>
                    </w:pPr>
                    <w:r>
                      <w:t>132,910,472.96</w:t>
                    </w:r>
                  </w:p>
                </w:tc>
                <w:tc>
                  <w:tcPr>
                    <w:tcW w:w="3127" w:type="dxa"/>
                    <w:shd w:val="clear" w:color="auto" w:fill="auto"/>
                  </w:tcPr>
                  <w:p>
                    <w:pPr>
                      <w:jc w:val="right"/>
                      <w:rPr>
                        <w:szCs w:val="21"/>
                      </w:rPr>
                    </w:pPr>
                    <w:r>
                      <w:t>101,035,892.27</w:t>
                    </w:r>
                  </w:p>
                </w:tc>
              </w:tr>
            </w:sdtContent>
          </w:sdt>
          <w:sdt>
            <w:sdtPr>
              <w:rPr>
                <w:rFonts w:hint="eastAsia"/>
                <w:szCs w:val="21"/>
              </w:rPr>
              <w:alias w:val="其他应付款情况明细"/>
              <w:tag w:val="_TUP_c5fd807cf68b4815b97a33bdc075d5e4"/>
              <w:id w:val="6775054"/>
              <w:lock w:val="sdtLocked"/>
            </w:sdtPr>
            <w:sdtEndPr>
              <w:rPr>
                <w:rFonts w:hint="default"/>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3" w:type="dxa"/>
                    <w:shd w:val="clear" w:color="auto" w:fill="auto"/>
                  </w:tcPr>
                  <w:p>
                    <w:pPr>
                      <w:rPr>
                        <w:szCs w:val="21"/>
                      </w:rPr>
                    </w:pPr>
                    <w:r>
                      <w:t>其他</w:t>
                    </w:r>
                  </w:p>
                </w:tc>
                <w:tc>
                  <w:tcPr>
                    <w:tcW w:w="2999" w:type="dxa"/>
                    <w:shd w:val="clear" w:color="auto" w:fill="auto"/>
                  </w:tcPr>
                  <w:p>
                    <w:pPr>
                      <w:jc w:val="right"/>
                      <w:rPr>
                        <w:szCs w:val="21"/>
                      </w:rPr>
                    </w:pPr>
                    <w:r>
                      <w:t>48,614,043.54</w:t>
                    </w:r>
                  </w:p>
                </w:tc>
                <w:tc>
                  <w:tcPr>
                    <w:tcW w:w="3127" w:type="dxa"/>
                    <w:shd w:val="clear" w:color="auto" w:fill="auto"/>
                  </w:tcPr>
                  <w:p>
                    <w:pPr>
                      <w:jc w:val="right"/>
                      <w:rPr>
                        <w:szCs w:val="21"/>
                      </w:rPr>
                    </w:pPr>
                    <w:r>
                      <w:t>49,689,282.07</w:t>
                    </w:r>
                  </w:p>
                </w:tc>
              </w:tr>
            </w:sdtContent>
          </w:sdt>
          <w:sdt>
            <w:sdtPr>
              <w:rPr>
                <w:rFonts w:hint="eastAsia"/>
                <w:szCs w:val="21"/>
              </w:rPr>
              <w:alias w:val="其他应付款情况明细"/>
              <w:tag w:val="_TUP_c5fd807cf68b4815b97a33bdc075d5e4"/>
              <w:id w:val="6775055"/>
              <w:lock w:val="sdtLocked"/>
            </w:sdtPr>
            <w:sdtEndPr>
              <w:rPr>
                <w:rFonts w:hint="default"/>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3" w:type="dxa"/>
                    <w:shd w:val="clear" w:color="auto" w:fill="auto"/>
                  </w:tcPr>
                  <w:p>
                    <w:pPr>
                      <w:rPr>
                        <w:szCs w:val="21"/>
                      </w:rPr>
                    </w:pPr>
                    <w:r>
                      <w:t>与关联方往来款</w:t>
                    </w:r>
                  </w:p>
                </w:tc>
                <w:tc>
                  <w:tcPr>
                    <w:tcW w:w="2999" w:type="dxa"/>
                    <w:shd w:val="clear" w:color="auto" w:fill="auto"/>
                  </w:tcPr>
                  <w:p>
                    <w:pPr>
                      <w:jc w:val="right"/>
                      <w:rPr>
                        <w:szCs w:val="21"/>
                      </w:rPr>
                    </w:pPr>
                    <w:r>
                      <w:t>15,361,818.72</w:t>
                    </w:r>
                  </w:p>
                </w:tc>
                <w:tc>
                  <w:tcPr>
                    <w:tcW w:w="3127" w:type="dxa"/>
                    <w:shd w:val="clear" w:color="auto" w:fill="auto"/>
                  </w:tcPr>
                  <w:p>
                    <w:pPr>
                      <w:jc w:val="right"/>
                      <w:rPr>
                        <w:szCs w:val="21"/>
                      </w:rPr>
                    </w:pPr>
                    <w:r>
                      <w:t>11,698,109.65</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1f559af9c054f8b851f93ba5dcee683"/>
                <w:id w:val="6775056"/>
                <w:lock w:val="sdtLocked"/>
              </w:sdtPr>
              <w:sdtContent>
                <w:tc>
                  <w:tcPr>
                    <w:tcW w:w="2923" w:type="dxa"/>
                    <w:shd w:val="clear" w:color="auto" w:fill="auto"/>
                  </w:tcPr>
                  <w:p>
                    <w:pPr>
                      <w:jc w:val="center"/>
                      <w:rPr>
                        <w:color w:val="000000" w:themeColor="text1"/>
                        <w:szCs w:val="21"/>
                      </w:rPr>
                    </w:pPr>
                    <w:r>
                      <w:rPr>
                        <w:rFonts w:hint="eastAsia"/>
                        <w:color w:val="000000" w:themeColor="text1"/>
                        <w:szCs w:val="21"/>
                      </w:rPr>
                      <w:t>合计</w:t>
                    </w:r>
                  </w:p>
                </w:tc>
              </w:sdtContent>
            </w:sdt>
            <w:tc>
              <w:tcPr>
                <w:tcW w:w="2999" w:type="dxa"/>
                <w:shd w:val="clear" w:color="auto" w:fill="auto"/>
              </w:tcPr>
              <w:p>
                <w:pPr>
                  <w:jc w:val="right"/>
                  <w:rPr>
                    <w:szCs w:val="21"/>
                  </w:rPr>
                </w:pPr>
                <w:r>
                  <w:t>196,886,335.22</w:t>
                </w:r>
              </w:p>
            </w:tc>
            <w:tc>
              <w:tcPr>
                <w:tcW w:w="3127" w:type="dxa"/>
                <w:shd w:val="clear" w:color="auto" w:fill="auto"/>
              </w:tcPr>
              <w:p>
                <w:pPr>
                  <w:jc w:val="right"/>
                  <w:rPr>
                    <w:szCs w:val="21"/>
                  </w:rPr>
                </w:pPr>
                <w:r>
                  <w:t>162,423,283.99</w:t>
                </w:r>
              </w:p>
            </w:tc>
          </w:tr>
        </w:tbl>
        <w:p/>
        <w:p>
          <w:pPr>
            <w:pStyle w:val="5"/>
            <w:numPr>
              <w:ilvl w:val="3"/>
              <w:numId w:val="87"/>
            </w:numPr>
            <w:tabs>
              <w:tab w:val="left" w:pos="644"/>
              <w:tab w:val="left" w:pos="709"/>
            </w:tabs>
          </w:pPr>
          <w:r>
            <w:rPr>
              <w:rFonts w:hint="eastAsia"/>
            </w:rPr>
            <w:t>账龄超过</w:t>
          </w:r>
          <w:r>
            <w:t>1年的重要其他应付款</w:t>
          </w:r>
        </w:p>
        <w:p>
          <w:sdt>
            <w:sdtPr>
              <w:alias w:val="是否适用：账龄超过1年的重要其他应付款[双击切换]"/>
              <w:tag w:val="_GBC_8c91a7ba05384c71ab6bde19039096ff"/>
              <w:id w:val="6775057"/>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jc w:val="right"/>
          </w:pPr>
          <w:r>
            <w:rPr>
              <w:rFonts w:hint="eastAsia"/>
            </w:rPr>
            <w:t>单位：</w:t>
          </w:r>
          <w:sdt>
            <w:sdtPr>
              <w:rPr>
                <w:rFonts w:hint="eastAsia"/>
              </w:rPr>
              <w:alias w:val="单位：财务附注：账龄超过1年的重要其他应付款"/>
              <w:tag w:val="_GBC_483467483bd848008ea19d2f579d4ad3"/>
              <w:id w:val="677505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bd7144370dea45f08d1b2117e7dd54f2"/>
              <w:id w:val="67750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0"/>
            <w:gridCol w:w="2566"/>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sdt>
              <w:sdtPr>
                <w:tag w:val="_PLD_9c8ea996049c4def9d7d14d20087b3b1"/>
                <w:id w:val="6775060"/>
                <w:lock w:val="sdtLocked"/>
              </w:sdtPr>
              <w:sdtContent>
                <w:tc>
                  <w:tcPr>
                    <w:tcW w:w="3370" w:type="dxa"/>
                    <w:shd w:val="clear" w:color="auto" w:fill="auto"/>
                    <w:vAlign w:val="center"/>
                  </w:tcPr>
                  <w:p>
                    <w:pPr>
                      <w:jc w:val="center"/>
                      <w:rPr>
                        <w:szCs w:val="21"/>
                      </w:rPr>
                    </w:pPr>
                    <w:bookmarkStart w:id="75" w:name="_Toc215903165"/>
                    <w:r>
                      <w:rPr>
                        <w:rFonts w:hint="eastAsia"/>
                        <w:szCs w:val="21"/>
                      </w:rPr>
                      <w:t>项目</w:t>
                    </w:r>
                  </w:p>
                </w:tc>
              </w:sdtContent>
            </w:sdt>
            <w:sdt>
              <w:sdtPr>
                <w:tag w:val="_PLD_cbf69a41aba142df803e5a24615b92d6"/>
                <w:id w:val="6775061"/>
                <w:lock w:val="sdtLocked"/>
              </w:sdtPr>
              <w:sdtContent>
                <w:tc>
                  <w:tcPr>
                    <w:tcW w:w="2566" w:type="dxa"/>
                    <w:shd w:val="clear" w:color="auto" w:fill="auto"/>
                    <w:vAlign w:val="center"/>
                  </w:tcPr>
                  <w:p>
                    <w:pPr>
                      <w:jc w:val="center"/>
                      <w:rPr>
                        <w:szCs w:val="21"/>
                      </w:rPr>
                    </w:pPr>
                    <w:r>
                      <w:rPr>
                        <w:rFonts w:hint="eastAsia"/>
                        <w:szCs w:val="21"/>
                      </w:rPr>
                      <w:t>期末余额</w:t>
                    </w:r>
                  </w:p>
                </w:tc>
              </w:sdtContent>
            </w:sdt>
            <w:sdt>
              <w:sdtPr>
                <w:tag w:val="_PLD_531a09c451564ccb8c2c6f192aca7b55"/>
                <w:id w:val="6775062"/>
                <w:lock w:val="sdtLocked"/>
              </w:sdtPr>
              <w:sdtContent>
                <w:tc>
                  <w:tcPr>
                    <w:tcW w:w="3113" w:type="dxa"/>
                    <w:shd w:val="clear" w:color="auto" w:fill="auto"/>
                    <w:vAlign w:val="center"/>
                  </w:tcPr>
                  <w:p>
                    <w:pPr>
                      <w:jc w:val="center"/>
                      <w:rPr>
                        <w:szCs w:val="21"/>
                      </w:rPr>
                    </w:pPr>
                    <w:r>
                      <w:rPr>
                        <w:rFonts w:hint="eastAsia"/>
                        <w:szCs w:val="21"/>
                      </w:rPr>
                      <w:t>未偿还或结转的原因</w:t>
                    </w:r>
                  </w:p>
                </w:tc>
              </w:sdtContent>
            </w:sdt>
          </w:tr>
          <w:sdt>
            <w:sdtPr>
              <w:rPr>
                <w:szCs w:val="21"/>
              </w:rPr>
              <w:alias w:val="重要的账龄超过1年的其他应付款明细"/>
              <w:tag w:val="_TUP_4ef01219c72943778183f374f1feaf27"/>
              <w:id w:val="6775063"/>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0" w:type="dxa"/>
                    <w:tcBorders>
                      <w:bottom w:val="single" w:color="auto" w:sz="4" w:space="0"/>
                    </w:tcBorders>
                    <w:shd w:val="clear" w:color="auto" w:fill="auto"/>
                  </w:tcPr>
                  <w:p>
                    <w:pPr>
                      <w:rPr>
                        <w:szCs w:val="21"/>
                      </w:rPr>
                    </w:pPr>
                    <w:r>
                      <w:t>柳州市畅通运货运服务有限公司</w:t>
                    </w:r>
                  </w:p>
                </w:tc>
                <w:tc>
                  <w:tcPr>
                    <w:tcW w:w="2566" w:type="dxa"/>
                    <w:shd w:val="clear" w:color="auto" w:fill="auto"/>
                  </w:tcPr>
                  <w:p>
                    <w:pPr>
                      <w:jc w:val="right"/>
                      <w:rPr>
                        <w:szCs w:val="21"/>
                      </w:rPr>
                    </w:pPr>
                    <w:r>
                      <w:t>10,156,141.78</w:t>
                    </w:r>
                  </w:p>
                </w:tc>
                <w:tc>
                  <w:tcPr>
                    <w:tcW w:w="3113" w:type="dxa"/>
                    <w:shd w:val="clear" w:color="auto" w:fill="auto"/>
                  </w:tcPr>
                  <w:p>
                    <w:pPr>
                      <w:rPr>
                        <w:szCs w:val="21"/>
                      </w:rPr>
                    </w:pPr>
                    <w:r>
                      <w:t>未到合同期</w:t>
                    </w:r>
                  </w:p>
                </w:tc>
              </w:tr>
            </w:sdtContent>
          </w:sdt>
          <w:sdt>
            <w:sdtPr>
              <w:rPr>
                <w:szCs w:val="21"/>
              </w:rPr>
              <w:alias w:val="重要的账龄超过1年的其他应付款明细"/>
              <w:tag w:val="_TUP_4ef01219c72943778183f374f1feaf27"/>
              <w:id w:val="6775064"/>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0" w:type="dxa"/>
                    <w:tcBorders>
                      <w:bottom w:val="single" w:color="auto" w:sz="4" w:space="0"/>
                    </w:tcBorders>
                    <w:shd w:val="clear" w:color="auto" w:fill="auto"/>
                  </w:tcPr>
                  <w:p>
                    <w:pPr>
                      <w:rPr>
                        <w:szCs w:val="21"/>
                      </w:rPr>
                    </w:pPr>
                    <w:r>
                      <w:t>广西柳钢国际贸易有限公司</w:t>
                    </w:r>
                  </w:p>
                </w:tc>
                <w:tc>
                  <w:tcPr>
                    <w:tcW w:w="2566" w:type="dxa"/>
                    <w:shd w:val="clear" w:color="auto" w:fill="auto"/>
                  </w:tcPr>
                  <w:p>
                    <w:pPr>
                      <w:jc w:val="right"/>
                      <w:rPr>
                        <w:szCs w:val="21"/>
                      </w:rPr>
                    </w:pPr>
                    <w:r>
                      <w:t>1,</w:t>
                    </w:r>
                    <w:r>
                      <w:rPr>
                        <w:rFonts w:hint="eastAsia"/>
                      </w:rPr>
                      <w:t>587</w:t>
                    </w:r>
                    <w:r>
                      <w:t>,000.00</w:t>
                    </w:r>
                  </w:p>
                </w:tc>
                <w:tc>
                  <w:tcPr>
                    <w:tcW w:w="3113" w:type="dxa"/>
                    <w:shd w:val="clear" w:color="auto" w:fill="auto"/>
                  </w:tcPr>
                  <w:p>
                    <w:pPr>
                      <w:rPr>
                        <w:szCs w:val="21"/>
                      </w:rPr>
                    </w:pPr>
                    <w:r>
                      <w:t>未到合同期</w:t>
                    </w:r>
                  </w:p>
                </w:tc>
              </w:tr>
            </w:sdtContent>
          </w:sdt>
          <w:sdt>
            <w:sdtPr>
              <w:rPr>
                <w:szCs w:val="21"/>
              </w:rPr>
              <w:alias w:val="重要的账龄超过1年的其他应付款明细"/>
              <w:tag w:val="_TUP_4ef01219c72943778183f374f1feaf27"/>
              <w:id w:val="6775065"/>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0" w:type="dxa"/>
                    <w:tcBorders>
                      <w:bottom w:val="single" w:color="auto" w:sz="4" w:space="0"/>
                    </w:tcBorders>
                    <w:shd w:val="clear" w:color="auto" w:fill="auto"/>
                  </w:tcPr>
                  <w:p>
                    <w:pPr>
                      <w:rPr>
                        <w:szCs w:val="21"/>
                      </w:rPr>
                    </w:pPr>
                    <w:r>
                      <w:t>广西柳钢资产经营管理有限公司</w:t>
                    </w:r>
                  </w:p>
                </w:tc>
                <w:tc>
                  <w:tcPr>
                    <w:tcW w:w="2566" w:type="dxa"/>
                    <w:shd w:val="clear" w:color="auto" w:fill="auto"/>
                  </w:tcPr>
                  <w:p>
                    <w:pPr>
                      <w:jc w:val="right"/>
                      <w:rPr>
                        <w:szCs w:val="21"/>
                      </w:rPr>
                    </w:pPr>
                    <w:r>
                      <w:t>1,000,000.00</w:t>
                    </w:r>
                  </w:p>
                </w:tc>
                <w:tc>
                  <w:tcPr>
                    <w:tcW w:w="3113" w:type="dxa"/>
                    <w:shd w:val="clear" w:color="auto" w:fill="auto"/>
                  </w:tcPr>
                  <w:p>
                    <w:pPr>
                      <w:rPr>
                        <w:szCs w:val="21"/>
                      </w:rPr>
                    </w:pPr>
                    <w:r>
                      <w:t>未到合同期</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73beec5c0ab425990f727363af34378"/>
                <w:id w:val="6775066"/>
                <w:lock w:val="sdtLocked"/>
              </w:sdtPr>
              <w:sdtContent>
                <w:tc>
                  <w:tcPr>
                    <w:tcW w:w="3370" w:type="dxa"/>
                    <w:shd w:val="clear" w:color="auto" w:fill="auto"/>
                    <w:vAlign w:val="center"/>
                  </w:tcPr>
                  <w:p>
                    <w:pPr>
                      <w:jc w:val="center"/>
                      <w:rPr>
                        <w:szCs w:val="21"/>
                      </w:rPr>
                    </w:pPr>
                    <w:r>
                      <w:rPr>
                        <w:rFonts w:hint="eastAsia"/>
                        <w:szCs w:val="21"/>
                      </w:rPr>
                      <w:t>合计</w:t>
                    </w:r>
                  </w:p>
                </w:tc>
              </w:sdtContent>
            </w:sdt>
            <w:tc>
              <w:tcPr>
                <w:tcW w:w="2566" w:type="dxa"/>
                <w:shd w:val="clear" w:color="auto" w:fill="auto"/>
              </w:tcPr>
              <w:p>
                <w:pPr>
                  <w:jc w:val="right"/>
                  <w:rPr>
                    <w:szCs w:val="21"/>
                  </w:rPr>
                </w:pPr>
                <w:r>
                  <w:rPr>
                    <w:rFonts w:hint="eastAsia"/>
                    <w:szCs w:val="21"/>
                  </w:rPr>
                  <w:t>12,743,141.78</w:t>
                </w:r>
              </w:p>
            </w:tc>
            <w:tc>
              <w:tcPr>
                <w:tcW w:w="3113" w:type="dxa"/>
                <w:shd w:val="clear" w:color="auto" w:fill="auto"/>
              </w:tcPr>
              <w:p>
                <w:pPr>
                  <w:jc w:val="center"/>
                  <w:rPr>
                    <w:szCs w:val="21"/>
                  </w:rPr>
                </w:pPr>
                <w:r>
                  <w:rPr>
                    <w:rFonts w:hint="eastAsia"/>
                    <w:szCs w:val="21"/>
                  </w:rPr>
                  <w:t>/</w:t>
                </w:r>
              </w:p>
            </w:tc>
          </w:tr>
        </w:tbl>
        <w:p>
          <w:r>
            <w:rPr>
              <w:rFonts w:hint="eastAsia"/>
            </w:rPr>
            <w:t>其他说明</w:t>
          </w:r>
          <w:bookmarkEnd w:id="75"/>
        </w:p>
        <w:sdt>
          <w:sdtPr>
            <w:alias w:val="是否适用：其他应付款的其他说明[双击切换]"/>
            <w:tag w:val="_GBC_0aed5652b81d438d96502aeef7e6dde5"/>
            <w:id w:val="6775067"/>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sdt>
      <w:sdtPr>
        <w:rPr>
          <w:rFonts w:hint="eastAsia" w:ascii="宋体" w:hAnsi="宋体" w:cs="宋体"/>
          <w:b w:val="0"/>
          <w:bCs w:val="0"/>
          <w:kern w:val="0"/>
          <w:szCs w:val="21"/>
        </w:rPr>
        <w:alias w:val="模块:持有待售负债"/>
        <w:tag w:val="_SEC_2c0a95e5ecb74946b3dc14c7a20e5997"/>
        <w:id w:val="6775070"/>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66"/>
            </w:numPr>
            <w:tabs>
              <w:tab w:val="left" w:pos="504"/>
            </w:tabs>
            <w:rPr>
              <w:szCs w:val="21"/>
            </w:rPr>
          </w:pPr>
          <w:r>
            <w:rPr>
              <w:rFonts w:hint="eastAsia" w:ascii="宋体" w:hAnsi="宋体"/>
              <w:szCs w:val="21"/>
            </w:rPr>
            <w:t>持有</w:t>
          </w:r>
          <w:r>
            <w:rPr>
              <w:rFonts w:hint="eastAsia"/>
              <w:szCs w:val="21"/>
            </w:rPr>
            <w:t>待售负债</w:t>
          </w:r>
        </w:p>
        <w:sdt>
          <w:sdtPr>
            <w:alias w:val="是否适用：划分为持有待售的负债[双击切换]"/>
            <w:tag w:val="_GBC_4ea9b2c6d4024d74b39e491f80a07798"/>
            <w:id w:val="677506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p>
      <w:pPr>
        <w:rPr>
          <w:szCs w:val="21"/>
        </w:rPr>
      </w:pPr>
    </w:p>
    <w:sdt>
      <w:sdtPr>
        <w:rPr>
          <w:rFonts w:hint="eastAsia" w:ascii="宋体" w:hAnsi="宋体" w:cs="宋体"/>
          <w:b w:val="0"/>
          <w:bCs w:val="0"/>
          <w:kern w:val="0"/>
          <w:szCs w:val="21"/>
        </w:rPr>
        <w:alias w:val="模块:1年内到期的非流动负债"/>
        <w:tag w:val="_SEC_7d69c48a60a34405b349ddceb0a418a8"/>
        <w:id w:val="6775082"/>
        <w:lock w:val="sdtLocked"/>
        <w:placeholder>
          <w:docPart w:val="GBC22222222222222222222222222222"/>
        </w:placeholder>
      </w:sdtPr>
      <w:sdtEndPr>
        <w:rPr>
          <w:rFonts w:hint="default" w:ascii="宋体" w:hAnsi="宋体" w:cs="宋体"/>
          <w:b w:val="0"/>
          <w:bCs w:val="0"/>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1年内到期的非流动负债</w:t>
          </w:r>
        </w:p>
        <w:sdt>
          <w:sdtPr>
            <w:alias w:val="是否适用：1年内到期的非流动负债[双击切换]"/>
            <w:tag w:val="_GBC_bf40c7464345405f8470856436e2c6a3"/>
            <w:id w:val="677507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1年内到期的非流动负债情况"/>
              <w:tag w:val="_GBC_fc5bef9f043c4967ab706b443fc31d3c"/>
              <w:id w:val="677507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67750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3037"/>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c5c4f1f50324a238e95fc9699f81e34"/>
                <w:id w:val="6775074"/>
                <w:lock w:val="sdtLocked"/>
              </w:sdtPr>
              <w:sdtContent>
                <w:tc>
                  <w:tcPr>
                    <w:tcW w:w="2908" w:type="dxa"/>
                    <w:shd w:val="clear" w:color="auto" w:fill="auto"/>
                  </w:tcPr>
                  <w:p>
                    <w:pPr>
                      <w:jc w:val="center"/>
                      <w:rPr>
                        <w:szCs w:val="21"/>
                      </w:rPr>
                    </w:pPr>
                    <w:r>
                      <w:rPr>
                        <w:rFonts w:hint="eastAsia"/>
                        <w:szCs w:val="21"/>
                      </w:rPr>
                      <w:t>项目</w:t>
                    </w:r>
                  </w:p>
                </w:tc>
              </w:sdtContent>
            </w:sdt>
            <w:sdt>
              <w:sdtPr>
                <w:tag w:val="_PLD_89c00ac7bce245808a01f5e6290ff83e"/>
                <w:id w:val="6775075"/>
                <w:lock w:val="sdtLocked"/>
              </w:sdtPr>
              <w:sdtContent>
                <w:tc>
                  <w:tcPr>
                    <w:tcW w:w="3037" w:type="dxa"/>
                    <w:shd w:val="clear" w:color="auto" w:fill="auto"/>
                  </w:tcPr>
                  <w:p>
                    <w:pPr>
                      <w:jc w:val="center"/>
                      <w:rPr>
                        <w:szCs w:val="21"/>
                      </w:rPr>
                    </w:pPr>
                    <w:r>
                      <w:rPr>
                        <w:rFonts w:hint="eastAsia"/>
                        <w:szCs w:val="21"/>
                      </w:rPr>
                      <w:t>期末余额</w:t>
                    </w:r>
                  </w:p>
                </w:tc>
              </w:sdtContent>
            </w:sdt>
            <w:sdt>
              <w:sdtPr>
                <w:tag w:val="_PLD_a37ba9da0b99448cb5350fe51fd13768"/>
                <w:id w:val="6775076"/>
                <w:lock w:val="sdtLocked"/>
              </w:sdtPr>
              <w:sdtContent>
                <w:tc>
                  <w:tcPr>
                    <w:tcW w:w="3104" w:type="dxa"/>
                    <w:shd w:val="clear" w:color="auto" w:fill="auto"/>
                  </w:tcPr>
                  <w:p>
                    <w:pPr>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65196d4b47947808b780ed8c7b660a7"/>
                <w:id w:val="6775077"/>
                <w:lock w:val="sdtLocked"/>
              </w:sdtPr>
              <w:sdtContent>
                <w:tc>
                  <w:tcPr>
                    <w:tcW w:w="2908" w:type="dxa"/>
                    <w:shd w:val="clear" w:color="auto" w:fill="auto"/>
                  </w:tcPr>
                  <w:p>
                    <w:pPr>
                      <w:rPr>
                        <w:szCs w:val="21"/>
                      </w:rPr>
                    </w:pPr>
                    <w:r>
                      <w:rPr>
                        <w:rFonts w:hint="eastAsia"/>
                        <w:szCs w:val="21"/>
                      </w:rPr>
                      <w:t>1年内到期的长期借款</w:t>
                    </w:r>
                  </w:p>
                </w:tc>
              </w:sdtContent>
            </w:sdt>
            <w:tc>
              <w:tcPr>
                <w:tcW w:w="3037" w:type="dxa"/>
                <w:shd w:val="clear" w:color="auto" w:fill="auto"/>
              </w:tcPr>
              <w:p>
                <w:pPr>
                  <w:jc w:val="right"/>
                  <w:rPr>
                    <w:szCs w:val="21"/>
                  </w:rPr>
                </w:pPr>
                <w:r>
                  <w:t>1,091,004,800.00</w:t>
                </w:r>
              </w:p>
            </w:tc>
            <w:tc>
              <w:tcPr>
                <w:tcW w:w="3104" w:type="dxa"/>
                <w:shd w:val="clear" w:color="auto" w:fill="auto"/>
              </w:tcPr>
              <w:p>
                <w:pPr>
                  <w:jc w:val="right"/>
                  <w:rPr>
                    <w:szCs w:val="21"/>
                  </w:rPr>
                </w:pPr>
                <w:r>
                  <w:t>67,000,000.00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21d7959a27449078772f06026d895d2"/>
                <w:id w:val="6775078"/>
                <w:lock w:val="sdtLocked"/>
              </w:sdtPr>
              <w:sdtContent>
                <w:tc>
                  <w:tcPr>
                    <w:tcW w:w="2908" w:type="dxa"/>
                    <w:shd w:val="clear" w:color="auto" w:fill="auto"/>
                  </w:tcPr>
                  <w:p>
                    <w:pPr>
                      <w:rPr>
                        <w:szCs w:val="21"/>
                      </w:rPr>
                    </w:pPr>
                    <w:r>
                      <w:rPr>
                        <w:rFonts w:hint="eastAsia"/>
                        <w:szCs w:val="21"/>
                      </w:rPr>
                      <w:t>1年内到期的应付债券</w:t>
                    </w:r>
                  </w:p>
                </w:tc>
              </w:sdtContent>
            </w:sdt>
            <w:tc>
              <w:tcPr>
                <w:tcW w:w="3037" w:type="dxa"/>
                <w:shd w:val="clear" w:color="auto" w:fill="auto"/>
              </w:tcPr>
              <w:p>
                <w:pPr>
                  <w:jc w:val="right"/>
                  <w:rPr>
                    <w:szCs w:val="21"/>
                  </w:rPr>
                </w:pPr>
              </w:p>
            </w:tc>
            <w:tc>
              <w:tcPr>
                <w:tcW w:w="3104"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93693b99ec94333ac34f4635129b7a7"/>
                <w:id w:val="6775079"/>
                <w:lock w:val="sdtLocked"/>
              </w:sdtPr>
              <w:sdtContent>
                <w:tc>
                  <w:tcPr>
                    <w:tcW w:w="2908" w:type="dxa"/>
                    <w:shd w:val="clear" w:color="auto" w:fill="auto"/>
                  </w:tcPr>
                  <w:p>
                    <w:pPr>
                      <w:rPr>
                        <w:szCs w:val="21"/>
                      </w:rPr>
                    </w:pPr>
                    <w:r>
                      <w:rPr>
                        <w:rFonts w:hint="eastAsia"/>
                        <w:szCs w:val="21"/>
                      </w:rPr>
                      <w:t>1年内到期的长期应付款</w:t>
                    </w:r>
                  </w:p>
                </w:tc>
              </w:sdtContent>
            </w:sdt>
            <w:tc>
              <w:tcPr>
                <w:tcW w:w="3037" w:type="dxa"/>
                <w:shd w:val="clear" w:color="auto" w:fill="auto"/>
              </w:tcPr>
              <w:p>
                <w:pPr>
                  <w:jc w:val="right"/>
                  <w:rPr>
                    <w:szCs w:val="21"/>
                  </w:rPr>
                </w:pPr>
              </w:p>
            </w:tc>
            <w:tc>
              <w:tcPr>
                <w:tcW w:w="3104"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03a7681bf1843639228dc74442e74f8"/>
                <w:id w:val="6775080"/>
                <w:lock w:val="sdtLocked"/>
              </w:sdtPr>
              <w:sdtContent>
                <w:tc>
                  <w:tcPr>
                    <w:tcW w:w="2908" w:type="dxa"/>
                    <w:shd w:val="clear" w:color="auto" w:fill="auto"/>
                  </w:tcPr>
                  <w:p>
                    <w:pPr>
                      <w:jc w:val="center"/>
                      <w:rPr>
                        <w:szCs w:val="21"/>
                      </w:rPr>
                    </w:pPr>
                    <w:r>
                      <w:rPr>
                        <w:rFonts w:hint="eastAsia"/>
                        <w:szCs w:val="21"/>
                      </w:rPr>
                      <w:t>合计</w:t>
                    </w:r>
                  </w:p>
                </w:tc>
              </w:sdtContent>
            </w:sdt>
            <w:tc>
              <w:tcPr>
                <w:tcW w:w="3037" w:type="dxa"/>
                <w:shd w:val="clear" w:color="auto" w:fill="auto"/>
              </w:tcPr>
              <w:p>
                <w:pPr>
                  <w:jc w:val="right"/>
                  <w:rPr>
                    <w:szCs w:val="21"/>
                  </w:rPr>
                </w:pPr>
                <w:r>
                  <w:t>1,091,004,800.00</w:t>
                </w:r>
              </w:p>
            </w:tc>
            <w:tc>
              <w:tcPr>
                <w:tcW w:w="3104" w:type="dxa"/>
                <w:shd w:val="clear" w:color="auto" w:fill="auto"/>
              </w:tcPr>
              <w:p>
                <w:pPr>
                  <w:jc w:val="right"/>
                  <w:rPr>
                    <w:szCs w:val="21"/>
                  </w:rPr>
                </w:pPr>
                <w:r>
                  <w:t>67,000,000.00</w:t>
                </w:r>
              </w:p>
            </w:tc>
          </w:tr>
        </w:tbl>
      </w:sdtContent>
    </w:sdt>
    <w:p>
      <w:pPr>
        <w:pStyle w:val="4"/>
        <w:numPr>
          <w:ilvl w:val="0"/>
          <w:numId w:val="66"/>
        </w:numPr>
        <w:tabs>
          <w:tab w:val="left" w:pos="504"/>
        </w:tabs>
        <w:rPr>
          <w:rFonts w:ascii="宋体" w:hAnsi="宋体"/>
          <w:szCs w:val="21"/>
        </w:rPr>
      </w:pPr>
      <w:r>
        <w:rPr>
          <w:rFonts w:hint="eastAsia" w:ascii="宋体" w:hAnsi="宋体"/>
          <w:szCs w:val="21"/>
        </w:rPr>
        <w:t>其他流动负债</w:t>
      </w:r>
    </w:p>
    <w:sdt>
      <w:sdtPr>
        <w:rPr>
          <w:rFonts w:hint="eastAsia"/>
          <w:szCs w:val="21"/>
        </w:rPr>
        <w:alias w:val="模块:其他流动负债"/>
        <w:tag w:val="_SEC_028ee94ad65744bca4ead55dc3233ca9"/>
        <w:id w:val="6775084"/>
        <w:lock w:val="sdtLocked"/>
        <w:placeholder>
          <w:docPart w:val="GBC22222222222222222222222222222"/>
        </w:placeholder>
      </w:sdtPr>
      <w:sdtEndPr>
        <w:rPr>
          <w:rFonts w:hint="default"/>
          <w:color w:val="000000" w:themeColor="text1"/>
          <w:szCs w:val="21"/>
        </w:rPr>
      </w:sdtEndPr>
      <w:sdtContent>
        <w:p>
          <w:pPr>
            <w:rPr>
              <w:szCs w:val="21"/>
            </w:rPr>
          </w:pPr>
          <w:r>
            <w:rPr>
              <w:rFonts w:hint="eastAsia"/>
              <w:szCs w:val="21"/>
            </w:rPr>
            <w:t>其他流动负债情况</w:t>
          </w:r>
        </w:p>
        <w:p>
          <w:pPr>
            <w:rPr>
              <w:szCs w:val="21"/>
            </w:rPr>
          </w:pPr>
          <w:sdt>
            <w:sdtPr>
              <w:rPr>
                <w:rFonts w:hint="eastAsia"/>
                <w:szCs w:val="21"/>
              </w:rPr>
              <w:alias w:val="是否适用：其他流动负债情况 [双击切换]"/>
              <w:tag w:val="_GBC_3a22a2f53f5a42af992cd1cc40727d45"/>
              <w:id w:val="6775083"/>
              <w:lock w:val="sdtContentLocked"/>
              <w:placeholder>
                <w:docPart w:val="GBC22222222222222222222222222222"/>
              </w:placeholder>
            </w:sdtPr>
            <w:sdtEndPr>
              <w:rPr>
                <w:rFonts w:hint="eastAsia"/>
                <w:szCs w:val="21"/>
              </w:rPr>
            </w:sdtEndPr>
            <w:sdtContent>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Content>
    </w:sdt>
    <w:sdt>
      <w:sdtPr>
        <w:rPr>
          <w:rFonts w:hint="eastAsia" w:asciiTheme="minorHAnsi" w:hAnsiTheme="minorHAnsi" w:eastAsiaTheme="minorEastAsia"/>
          <w:bCs/>
          <w:szCs w:val="22"/>
        </w:rPr>
        <w:alias w:val="模块:短期应付债券的增减变动"/>
        <w:tag w:val="_SEC_f5491fa163be4d50a9964567324132ed"/>
        <w:id w:val="6775086"/>
        <w:lock w:val="sdtLocked"/>
        <w:placeholder>
          <w:docPart w:val="GBC22222222222222222222222222222"/>
        </w:placeholder>
      </w:sdtPr>
      <w:sdtEndPr>
        <w:rPr>
          <w:rFonts w:hint="default" w:ascii="宋体" w:hAnsi="宋体" w:eastAsia="宋体" w:cstheme="minorBidi"/>
          <w:bCs w:val="0"/>
          <w:color w:val="000000" w:themeColor="text1"/>
          <w:kern w:val="2"/>
          <w:szCs w:val="21"/>
        </w:rPr>
      </w:sdtEndPr>
      <w:sdtContent>
        <w:p>
          <w:r>
            <w:rPr>
              <w:rFonts w:hint="eastAsia"/>
            </w:rPr>
            <w:t>短期</w:t>
          </w:r>
          <w:r>
            <w:t>应付债券的增减变动</w:t>
          </w:r>
          <w:r>
            <w:rPr>
              <w:rFonts w:hint="eastAsia"/>
            </w:rPr>
            <w:t>：</w:t>
          </w:r>
        </w:p>
        <w:sdt>
          <w:sdtPr>
            <w:alias w:val="是否适用：短期应付债券的增减变动[双击切换]"/>
            <w:tag w:val="_GBC_9702365af41547e6b7eeb62225fd79a4"/>
            <w:id w:val="6775085"/>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其他流动负债说明"/>
        <w:tag w:val="_SEC_72acc7f2df254db9a8e7b1d2c0a85c65"/>
        <w:id w:val="6775088"/>
        <w:lock w:val="sdtLocked"/>
        <w:placeholder>
          <w:docPart w:val="GBC22222222222222222222222222222"/>
        </w:placeholder>
      </w:sdtPr>
      <w:sdtEndPr>
        <w:rPr>
          <w:rFonts w:hint="default"/>
          <w:color w:val="000000" w:themeColor="text1"/>
          <w:szCs w:val="21"/>
        </w:rPr>
      </w:sdtEndPr>
      <w:sdtContent>
        <w:p>
          <w:pPr>
            <w:spacing w:before="60" w:after="60"/>
            <w:rPr>
              <w:szCs w:val="21"/>
            </w:rPr>
          </w:pPr>
          <w:r>
            <w:rPr>
              <w:rFonts w:hint="eastAsia"/>
              <w:szCs w:val="21"/>
            </w:rPr>
            <w:t>其他说明：</w:t>
          </w:r>
        </w:p>
        <w:sdt>
          <w:sdtPr>
            <w:rPr>
              <w:szCs w:val="21"/>
            </w:rPr>
            <w:alias w:val="是否适用：其他流动负债说明[双击切换]"/>
            <w:tag w:val="_GBC_137d3b80ab3041c1a1b255a500c3d52c"/>
            <w:id w:val="6775087"/>
            <w:lock w:val="sdtContentLocked"/>
            <w:placeholder>
              <w:docPart w:val="GBC22222222222222222222222222222"/>
            </w:placeholder>
          </w:sdtPr>
          <w:sdtEndPr>
            <w:rPr>
              <w:szCs w:val="21"/>
            </w:rPr>
          </w:sdtEndPr>
          <w:sdtContent>
            <w:p>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长期借款</w:t>
      </w:r>
    </w:p>
    <w:sdt>
      <w:sdtPr>
        <w:rPr>
          <w:rFonts w:hint="eastAsia" w:ascii="宋体" w:hAnsi="宋体" w:cs="宋体"/>
          <w:b w:val="0"/>
          <w:bCs w:val="0"/>
          <w:kern w:val="0"/>
          <w:szCs w:val="22"/>
        </w:rPr>
        <w:alias w:val="模块:长期借款分类 "/>
        <w:tag w:val="_SEC_bb20abc8fd5f49a68916f9dc55e11723"/>
        <w:id w:val="6775101"/>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5"/>
            <w:numPr>
              <w:ilvl w:val="0"/>
              <w:numId w:val="88"/>
            </w:numPr>
            <w:tabs>
              <w:tab w:val="left" w:pos="630"/>
            </w:tabs>
            <w:ind w:left="420"/>
            <w:rPr>
              <w:rFonts w:ascii="宋体" w:hAnsi="宋体"/>
              <w:szCs w:val="21"/>
            </w:rPr>
          </w:pPr>
          <w:r>
            <w:rPr>
              <w:rFonts w:hint="eastAsia" w:ascii="宋体" w:hAnsi="宋体"/>
              <w:szCs w:val="21"/>
            </w:rPr>
            <w:t>长期借款分类</w:t>
          </w:r>
        </w:p>
        <w:sdt>
          <w:sdtPr>
            <w:alias w:val="是否适用：长期借款分类[双击切换]"/>
            <w:tag w:val="_GBC_f97d0882083646ed86769469b3ee8875"/>
            <w:id w:val="677508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长期借款分类"/>
              <w:tag w:val="_GBC_1469e55f5b66428a857f07acaf1e4ae0"/>
              <w:id w:val="677509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02e1603886284ce797acd755be7f672a"/>
              <w:id w:val="6775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998"/>
            <w:gridCol w:w="2999"/>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4e1b60888e3248369c96087fd1f19eed"/>
                <w:id w:val="6775092"/>
                <w:lock w:val="sdtLocked"/>
              </w:sdtPr>
              <w:sdtContent>
                <w:tc>
                  <w:tcPr>
                    <w:tcW w:w="2998" w:type="dxa"/>
                  </w:tcPr>
                  <w:p>
                    <w:pPr>
                      <w:autoSpaceDE w:val="0"/>
                      <w:autoSpaceDN w:val="0"/>
                      <w:adjustRightInd w:val="0"/>
                      <w:snapToGrid w:val="0"/>
                      <w:jc w:val="center"/>
                      <w:rPr>
                        <w:szCs w:val="21"/>
                      </w:rPr>
                    </w:pPr>
                    <w:r>
                      <w:rPr>
                        <w:rFonts w:hint="eastAsia"/>
                        <w:szCs w:val="21"/>
                      </w:rPr>
                      <w:t>项目</w:t>
                    </w:r>
                  </w:p>
                </w:tc>
              </w:sdtContent>
            </w:sdt>
            <w:sdt>
              <w:sdtPr>
                <w:tag w:val="_PLD_5eb33a0c1cde49ff9ed499493463ec46"/>
                <w:id w:val="6775093"/>
                <w:lock w:val="sdtLocked"/>
              </w:sdtPr>
              <w:sdtContent>
                <w:tc>
                  <w:tcPr>
                    <w:tcW w:w="2999" w:type="dxa"/>
                  </w:tcPr>
                  <w:p>
                    <w:pPr>
                      <w:jc w:val="center"/>
                      <w:rPr>
                        <w:szCs w:val="21"/>
                      </w:rPr>
                    </w:pPr>
                    <w:r>
                      <w:rPr>
                        <w:rFonts w:hint="eastAsia"/>
                        <w:szCs w:val="21"/>
                      </w:rPr>
                      <w:t>期末余额</w:t>
                    </w:r>
                  </w:p>
                </w:tc>
              </w:sdtContent>
            </w:sdt>
            <w:sdt>
              <w:sdtPr>
                <w:tag w:val="_PLD_9b129c446a5847edb58141b866ffac5d"/>
                <w:id w:val="6775094"/>
                <w:lock w:val="sdtLocked"/>
              </w:sdtPr>
              <w:sdtContent>
                <w:tc>
                  <w:tcPr>
                    <w:tcW w:w="2896" w:type="dxa"/>
                  </w:tcPr>
                  <w:p>
                    <w:pPr>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50db6eab66ba43ef842b4b6366b79cfd"/>
                <w:id w:val="6775095"/>
                <w:lock w:val="sdtLocked"/>
              </w:sdtPr>
              <w:sdtContent>
                <w:tc>
                  <w:tcPr>
                    <w:tcW w:w="2998" w:type="dxa"/>
                    <w:shd w:val="clear" w:color="auto" w:fill="auto"/>
                  </w:tcPr>
                  <w:p>
                    <w:pPr>
                      <w:autoSpaceDE w:val="0"/>
                      <w:autoSpaceDN w:val="0"/>
                      <w:adjustRightInd w:val="0"/>
                      <w:snapToGrid w:val="0"/>
                      <w:rPr>
                        <w:szCs w:val="21"/>
                      </w:rPr>
                    </w:pPr>
                    <w:r>
                      <w:rPr>
                        <w:rFonts w:hint="eastAsia"/>
                        <w:szCs w:val="21"/>
                      </w:rPr>
                      <w:t>质押借款</w:t>
                    </w:r>
                  </w:p>
                </w:tc>
              </w:sdtContent>
            </w:sdt>
            <w:tc>
              <w:tcPr>
                <w:tcW w:w="2999" w:type="dxa"/>
                <w:shd w:val="clear" w:color="auto" w:fill="auto"/>
              </w:tcPr>
              <w:p>
                <w:pPr>
                  <w:autoSpaceDE w:val="0"/>
                  <w:autoSpaceDN w:val="0"/>
                  <w:adjustRightInd w:val="0"/>
                  <w:snapToGrid w:val="0"/>
                  <w:ind w:right="180"/>
                  <w:jc w:val="right"/>
                  <w:rPr>
                    <w:szCs w:val="21"/>
                  </w:rPr>
                </w:pPr>
              </w:p>
            </w:tc>
            <w:tc>
              <w:tcPr>
                <w:tcW w:w="2896"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1c11b47f4af543b4aa427608cf6764fd"/>
                <w:id w:val="6775096"/>
                <w:lock w:val="sdtLocked"/>
              </w:sdtPr>
              <w:sdtContent>
                <w:tc>
                  <w:tcPr>
                    <w:tcW w:w="2998" w:type="dxa"/>
                    <w:shd w:val="clear" w:color="auto" w:fill="auto"/>
                  </w:tcPr>
                  <w:p>
                    <w:pPr>
                      <w:autoSpaceDE w:val="0"/>
                      <w:autoSpaceDN w:val="0"/>
                      <w:adjustRightInd w:val="0"/>
                      <w:snapToGrid w:val="0"/>
                      <w:rPr>
                        <w:szCs w:val="21"/>
                      </w:rPr>
                    </w:pPr>
                    <w:r>
                      <w:rPr>
                        <w:rFonts w:hint="eastAsia"/>
                        <w:szCs w:val="21"/>
                      </w:rPr>
                      <w:t>抵押借款</w:t>
                    </w:r>
                  </w:p>
                </w:tc>
              </w:sdtContent>
            </w:sdt>
            <w:tc>
              <w:tcPr>
                <w:tcW w:w="2999" w:type="dxa"/>
                <w:shd w:val="clear" w:color="auto" w:fill="auto"/>
              </w:tcPr>
              <w:p>
                <w:pPr>
                  <w:autoSpaceDE w:val="0"/>
                  <w:autoSpaceDN w:val="0"/>
                  <w:adjustRightInd w:val="0"/>
                  <w:snapToGrid w:val="0"/>
                  <w:ind w:right="180"/>
                  <w:jc w:val="right"/>
                  <w:rPr>
                    <w:szCs w:val="21"/>
                  </w:rPr>
                </w:pPr>
              </w:p>
            </w:tc>
            <w:tc>
              <w:tcPr>
                <w:tcW w:w="2896"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d23eeeb97a724409bbb7298a6f3f16c7"/>
                <w:id w:val="6775097"/>
                <w:lock w:val="sdtLocked"/>
              </w:sdtPr>
              <w:sdtContent>
                <w:tc>
                  <w:tcPr>
                    <w:tcW w:w="2998" w:type="dxa"/>
                    <w:shd w:val="clear" w:color="auto" w:fill="auto"/>
                  </w:tcPr>
                  <w:p>
                    <w:pPr>
                      <w:autoSpaceDE w:val="0"/>
                      <w:autoSpaceDN w:val="0"/>
                      <w:adjustRightInd w:val="0"/>
                      <w:snapToGrid w:val="0"/>
                      <w:rPr>
                        <w:szCs w:val="21"/>
                      </w:rPr>
                    </w:pPr>
                    <w:r>
                      <w:rPr>
                        <w:rFonts w:hint="eastAsia"/>
                        <w:szCs w:val="21"/>
                      </w:rPr>
                      <w:t>保证借款</w:t>
                    </w:r>
                  </w:p>
                </w:tc>
              </w:sdtContent>
            </w:sdt>
            <w:tc>
              <w:tcPr>
                <w:tcW w:w="2999" w:type="dxa"/>
                <w:shd w:val="clear" w:color="auto" w:fill="auto"/>
              </w:tcPr>
              <w:p>
                <w:pPr>
                  <w:autoSpaceDE w:val="0"/>
                  <w:autoSpaceDN w:val="0"/>
                  <w:adjustRightInd w:val="0"/>
                  <w:snapToGrid w:val="0"/>
                  <w:ind w:right="180"/>
                  <w:jc w:val="right"/>
                  <w:rPr>
                    <w:szCs w:val="21"/>
                  </w:rPr>
                </w:pPr>
              </w:p>
            </w:tc>
            <w:tc>
              <w:tcPr>
                <w:tcW w:w="2896" w:type="dxa"/>
                <w:shd w:val="clear" w:color="auto" w:fill="auto"/>
              </w:tcPr>
              <w:p>
                <w:pPr>
                  <w:jc w:val="right"/>
                  <w:rPr>
                    <w:szCs w:val="21"/>
                  </w:rPr>
                </w:pPr>
                <w:r>
                  <w:t>1,116,728,000.00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ec8135b6a6214b58bd1402866b228c16"/>
                <w:id w:val="6775098"/>
                <w:lock w:val="sdtLocked"/>
              </w:sdtPr>
              <w:sdtContent>
                <w:tc>
                  <w:tcPr>
                    <w:tcW w:w="2998" w:type="dxa"/>
                    <w:shd w:val="clear" w:color="auto" w:fill="auto"/>
                  </w:tcPr>
                  <w:p>
                    <w:pPr>
                      <w:autoSpaceDE w:val="0"/>
                      <w:autoSpaceDN w:val="0"/>
                      <w:adjustRightInd w:val="0"/>
                      <w:snapToGrid w:val="0"/>
                      <w:rPr>
                        <w:szCs w:val="21"/>
                      </w:rPr>
                    </w:pPr>
                    <w:r>
                      <w:rPr>
                        <w:rFonts w:hint="eastAsia"/>
                        <w:szCs w:val="21"/>
                      </w:rPr>
                      <w:t>信用借款</w:t>
                    </w:r>
                  </w:p>
                </w:tc>
              </w:sdtContent>
            </w:sdt>
            <w:tc>
              <w:tcPr>
                <w:tcW w:w="2999" w:type="dxa"/>
                <w:shd w:val="clear" w:color="auto" w:fill="auto"/>
              </w:tcPr>
              <w:p>
                <w:pPr>
                  <w:autoSpaceDE w:val="0"/>
                  <w:autoSpaceDN w:val="0"/>
                  <w:adjustRightInd w:val="0"/>
                  <w:snapToGrid w:val="0"/>
                  <w:ind w:right="180"/>
                  <w:jc w:val="right"/>
                  <w:rPr>
                    <w:szCs w:val="21"/>
                  </w:rPr>
                </w:pPr>
              </w:p>
            </w:tc>
            <w:tc>
              <w:tcPr>
                <w:tcW w:w="2896"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e6034e23ef2945f2985731ac9af771d2"/>
                <w:id w:val="6775099"/>
                <w:lock w:val="sdtLocked"/>
              </w:sdtPr>
              <w:sdtContent>
                <w:tc>
                  <w:tcPr>
                    <w:tcW w:w="2998" w:type="dxa"/>
                    <w:vAlign w:val="center"/>
                  </w:tcPr>
                  <w:p>
                    <w:pPr>
                      <w:autoSpaceDE w:val="0"/>
                      <w:autoSpaceDN w:val="0"/>
                      <w:adjustRightInd w:val="0"/>
                      <w:snapToGrid w:val="0"/>
                      <w:jc w:val="center"/>
                      <w:rPr>
                        <w:szCs w:val="21"/>
                      </w:rPr>
                    </w:pPr>
                    <w:r>
                      <w:rPr>
                        <w:rFonts w:hint="eastAsia"/>
                        <w:szCs w:val="21"/>
                      </w:rPr>
                      <w:t>合计</w:t>
                    </w:r>
                  </w:p>
                </w:tc>
              </w:sdtContent>
            </w:sdt>
            <w:tc>
              <w:tcPr>
                <w:tcW w:w="2999" w:type="dxa"/>
              </w:tcPr>
              <w:p>
                <w:pPr>
                  <w:autoSpaceDE w:val="0"/>
                  <w:autoSpaceDN w:val="0"/>
                  <w:adjustRightInd w:val="0"/>
                  <w:snapToGrid w:val="0"/>
                  <w:ind w:right="180"/>
                  <w:jc w:val="right"/>
                  <w:rPr>
                    <w:szCs w:val="21"/>
                  </w:rPr>
                </w:pPr>
              </w:p>
            </w:tc>
            <w:tc>
              <w:tcPr>
                <w:tcW w:w="2896" w:type="dxa"/>
              </w:tcPr>
              <w:p>
                <w:pPr>
                  <w:jc w:val="right"/>
                  <w:rPr>
                    <w:szCs w:val="21"/>
                  </w:rPr>
                </w:pPr>
                <w:r>
                  <w:t>1,116,728,000.00</w:t>
                </w:r>
              </w:p>
            </w:tc>
          </w:tr>
        </w:tbl>
        <w:p/>
        <w:p>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b89f86a2a8054eb2892900c86ecbdcb3"/>
            <w:id w:val="6775100"/>
            <w:lock w:val="sdtLocked"/>
            <w:placeholder>
              <w:docPart w:val="GBC22222222222222222222222222222"/>
            </w:placeholder>
          </w:sdtPr>
          <w:sdtEndPr>
            <w:rPr>
              <w:szCs w:val="21"/>
            </w:rPr>
          </w:sdtEndPr>
          <w:sdtContent>
            <w:p>
              <w:pPr>
                <w:rPr>
                  <w:szCs w:val="21"/>
                </w:rPr>
              </w:pPr>
              <w:r>
                <w:rPr>
                  <w:rFonts w:hint="eastAsia"/>
                  <w:szCs w:val="21"/>
                </w:rPr>
                <w:t>本公司按照取得该借款的方式或条件确定借款类别。</w:t>
              </w:r>
            </w:p>
            <w:p>
              <w:pPr>
                <w:snapToGrid w:val="0"/>
                <w:rPr>
                  <w:rFonts w:cstheme="minorBidi"/>
                  <w:color w:val="000000" w:themeColor="text1"/>
                  <w:kern w:val="2"/>
                  <w:szCs w:val="21"/>
                </w:rPr>
              </w:pPr>
            </w:p>
          </w:sdtContent>
        </w:sdt>
      </w:sdtContent>
    </w:sdt>
    <w:sdt>
      <w:sdtPr>
        <w:rPr>
          <w:rFonts w:hint="eastAsia"/>
          <w:color w:val="000000" w:themeColor="text1"/>
          <w:szCs w:val="21"/>
        </w:rPr>
        <w:alias w:val="模块:长期借款的说明"/>
        <w:tag w:val="_SEC_b151024fbb7f40ea95abd833b296ecf2"/>
        <w:id w:val="6775104"/>
        <w:lock w:val="sdtLocked"/>
        <w:placeholder>
          <w:docPart w:val="GBC22222222222222222222222222222"/>
        </w:placeholder>
      </w:sdtPr>
      <w:sdtEndPr>
        <w:rPr>
          <w:rFonts w:hint="default"/>
          <w:color w:val="auto"/>
          <w:szCs w:val="21"/>
        </w:rPr>
      </w:sdtEndPr>
      <w:sdtContent>
        <w:p>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81b19a673078421a910ba8721333fbbe"/>
            <w:id w:val="6775102"/>
            <w:lock w:val="sdtContentLocked"/>
            <w:placeholder>
              <w:docPart w:val="GBC22222222222222222222222222222"/>
            </w:placeholder>
          </w:sdtPr>
          <w:sdtEndPr>
            <w:rPr>
              <w:color w:val="000000" w:themeColor="text1"/>
              <w:szCs w:val="21"/>
            </w:rPr>
          </w:sdtEndPr>
          <w:sdtContent>
            <w:p>
              <w:pPr>
                <w:snapToGrid w:val="0"/>
                <w:rPr>
                  <w:color w:val="000000" w:themeColor="text1"/>
                  <w:szCs w:val="21"/>
                </w:rPr>
              </w:pPr>
              <w:r>
                <w:rPr>
                  <w:color w:val="000000" w:themeColor="text1"/>
                  <w:szCs w:val="21"/>
                </w:rPr>
                <w:fldChar w:fldCharType="begin"/>
              </w:r>
              <w:r>
                <w:rPr>
                  <w:color w:val="000000" w:themeColor="text1"/>
                  <w:szCs w:val="21"/>
                </w:rPr>
                <w:instrText xml:space="preserve">MACROBUTTON  SnrToggleCheckbox √适用 </w:instrText>
              </w:r>
              <w:r>
                <w:rPr>
                  <w:color w:val="000000" w:themeColor="text1"/>
                  <w:szCs w:val="21"/>
                </w:rPr>
                <w:fldChar w:fldCharType="end"/>
              </w:r>
              <w:r>
                <w:rPr>
                  <w:color w:val="000000" w:themeColor="text1"/>
                  <w:szCs w:val="21"/>
                </w:rPr>
                <w:fldChar w:fldCharType="begin"/>
              </w:r>
              <w:r>
                <w:rPr>
                  <w:color w:val="000000" w:themeColor="text1"/>
                  <w:szCs w:val="21"/>
                </w:rPr>
                <w:instrText xml:space="preserve"> MACROBUTTON  SnrToggleCheckbox □不适用 </w:instrText>
              </w:r>
              <w:r>
                <w:rPr>
                  <w:color w:val="000000" w:themeColor="text1"/>
                  <w:szCs w:val="21"/>
                </w:rPr>
                <w:fldChar w:fldCharType="end"/>
              </w:r>
            </w:p>
          </w:sdtContent>
        </w:sdt>
        <w:p>
          <w:pPr>
            <w:snapToGrid w:val="0"/>
            <w:rPr>
              <w:szCs w:val="21"/>
            </w:rPr>
          </w:pPr>
          <w:sdt>
            <w:sdtPr>
              <w:rPr>
                <w:szCs w:val="21"/>
              </w:rPr>
              <w:alias w:val="长期借款的说明"/>
              <w:tag w:val="_GBC_5848bb69eab4491191dfd1df2d6dde23"/>
              <w:id w:val="6775103"/>
              <w:lock w:val="sdtLocked"/>
              <w:placeholder>
                <w:docPart w:val="GBC22222222222222222222222222222"/>
              </w:placeholder>
            </w:sdtPr>
            <w:sdtEndPr>
              <w:rPr>
                <w:szCs w:val="21"/>
              </w:rPr>
            </w:sdtEndPr>
            <w:sdtContent>
              <w:r>
                <w:rPr>
                  <w:rFonts w:hint="eastAsia"/>
                  <w:szCs w:val="21"/>
                </w:rPr>
                <w:t>长期借款利率区间：美元：</w:t>
              </w:r>
              <w:r>
                <w:rPr>
                  <w:szCs w:val="21"/>
                </w:rPr>
                <w:t>3%；人民币：4.75%</w:t>
              </w:r>
            </w:sdtContent>
          </w:sdt>
        </w:p>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应付债券</w:t>
      </w:r>
    </w:p>
    <w:sdt>
      <w:sdtPr>
        <w:rPr>
          <w:rFonts w:hint="eastAsia" w:ascii="宋体" w:hAnsi="宋体" w:cs="宋体"/>
          <w:b w:val="0"/>
          <w:bCs w:val="0"/>
          <w:kern w:val="0"/>
          <w:szCs w:val="24"/>
        </w:rPr>
        <w:alias w:val="模块:应付债券"/>
        <w:tag w:val="_SEC_9fc1d89fd58b4dd7a11252f59005bfc6"/>
        <w:id w:val="6775113"/>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89"/>
            </w:numPr>
            <w:tabs>
              <w:tab w:val="left" w:pos="672"/>
            </w:tabs>
            <w:rPr>
              <w:rFonts w:ascii="宋体" w:hAnsi="宋体"/>
              <w:szCs w:val="21"/>
            </w:rPr>
          </w:pPr>
          <w:r>
            <w:rPr>
              <w:rFonts w:hint="eastAsia"/>
            </w:rPr>
            <w:t>应付</w:t>
          </w:r>
          <w:r>
            <w:rPr>
              <w:rFonts w:hint="eastAsia" w:ascii="宋体" w:hAnsi="宋体"/>
              <w:szCs w:val="21"/>
            </w:rPr>
            <w:t>债券</w:t>
          </w:r>
        </w:p>
        <w:sdt>
          <w:sdtPr>
            <w:alias w:val="是否适用：应付债券[双击切换]"/>
            <w:tag w:val="_GBC_645b020b25af4284b8eff88f14f8c5c2"/>
            <w:id w:val="677510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附注：应付债券"/>
              <w:tag w:val="_GBC_57b3a408d4a84bb0a330d1831f7c6f29"/>
              <w:id w:val="677510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债券"/>
              <w:tag w:val="_GBC_058298e5284a4aa58bf3ef0038f20732"/>
              <w:id w:val="67751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999"/>
            <w:gridCol w:w="3022"/>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52" w:hRule="atLeast"/>
            </w:trPr>
            <w:sdt>
              <w:sdtPr>
                <w:tag w:val="_PLD_b1ab73cce61a4f81a37c70a551b42047"/>
                <w:id w:val="6775108"/>
                <w:lock w:val="sdtLocked"/>
              </w:sdtPr>
              <w:sdtContent>
                <w:tc>
                  <w:tcPr>
                    <w:tcW w:w="2999" w:type="dxa"/>
                    <w:shd w:val="clear" w:color="auto" w:fill="auto"/>
                  </w:tcPr>
                  <w:p>
                    <w:pPr>
                      <w:jc w:val="center"/>
                    </w:pPr>
                    <w:r>
                      <w:rPr>
                        <w:rFonts w:hint="eastAsia"/>
                      </w:rPr>
                      <w:t>项目</w:t>
                    </w:r>
                  </w:p>
                </w:tc>
              </w:sdtContent>
            </w:sdt>
            <w:sdt>
              <w:sdtPr>
                <w:tag w:val="_PLD_3d8bcc7ecd3e4fd5ad328c296fbe1164"/>
                <w:id w:val="6775109"/>
                <w:lock w:val="sdtLocked"/>
              </w:sdtPr>
              <w:sdtContent>
                <w:tc>
                  <w:tcPr>
                    <w:tcW w:w="3022" w:type="dxa"/>
                    <w:shd w:val="clear" w:color="auto" w:fill="auto"/>
                  </w:tcPr>
                  <w:p>
                    <w:pPr>
                      <w:adjustRightInd w:val="0"/>
                      <w:snapToGrid w:val="0"/>
                      <w:ind w:left="-2" w:leftChars="-2" w:right="19" w:rightChars="9" w:hanging="2" w:hangingChars="1"/>
                      <w:jc w:val="center"/>
                      <w:rPr>
                        <w:b/>
                        <w:szCs w:val="21"/>
                      </w:rPr>
                    </w:pPr>
                    <w:r>
                      <w:rPr>
                        <w:rFonts w:hint="eastAsia"/>
                        <w:szCs w:val="21"/>
                      </w:rPr>
                      <w:t>期末余额</w:t>
                    </w:r>
                  </w:p>
                </w:tc>
              </w:sdtContent>
            </w:sdt>
            <w:sdt>
              <w:sdtPr>
                <w:tag w:val="_PLD_82ec823678804bd3ba2932976400cc89"/>
                <w:id w:val="6775110"/>
                <w:lock w:val="sdtLocked"/>
              </w:sdtPr>
              <w:sdtContent>
                <w:tc>
                  <w:tcPr>
                    <w:tcW w:w="2872" w:type="dxa"/>
                    <w:shd w:val="clear" w:color="auto" w:fill="auto"/>
                  </w:tcPr>
                  <w:p>
                    <w:pPr>
                      <w:adjustRightInd w:val="0"/>
                      <w:snapToGrid w:val="0"/>
                      <w:ind w:left="-2" w:leftChars="-2" w:right="19" w:rightChars="9" w:hanging="2" w:hangingChars="1"/>
                      <w:jc w:val="center"/>
                      <w:rPr>
                        <w:szCs w:val="21"/>
                      </w:rPr>
                    </w:pPr>
                    <w:r>
                      <w:rPr>
                        <w:rFonts w:hint="eastAsia"/>
                        <w:szCs w:val="21"/>
                      </w:rPr>
                      <w:t>期初余额</w:t>
                    </w:r>
                  </w:p>
                </w:tc>
              </w:sdtContent>
            </w:sdt>
          </w:tr>
          <w:sdt>
            <w:sdtPr>
              <w:alias w:val="应付债券情况明细"/>
              <w:tag w:val="_TUP_891a694944f845269d9b162162205fbd"/>
              <w:id w:val="6775111"/>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tc>
                  <w:tcPr>
                    <w:tcW w:w="2999" w:type="dxa"/>
                    <w:shd w:val="clear" w:color="auto" w:fill="auto"/>
                  </w:tcPr>
                  <w:p>
                    <w:r>
                      <w:t>11柳钢债</w:t>
                    </w:r>
                  </w:p>
                </w:tc>
                <w:tc>
                  <w:tcPr>
                    <w:tcW w:w="3022" w:type="dxa"/>
                    <w:shd w:val="clear" w:color="auto" w:fill="auto"/>
                  </w:tcPr>
                  <w:p>
                    <w:pPr>
                      <w:jc w:val="right"/>
                    </w:pPr>
                    <w:r>
                      <w:t>424,057,411.28</w:t>
                    </w:r>
                  </w:p>
                </w:tc>
                <w:tc>
                  <w:tcPr>
                    <w:tcW w:w="2872" w:type="dxa"/>
                    <w:shd w:val="clear" w:color="auto" w:fill="auto"/>
                  </w:tcPr>
                  <w:p>
                    <w:pPr>
                      <w:jc w:val="right"/>
                    </w:pPr>
                    <w:r>
                      <w:t>423,075,398.24</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994687a6f10f4e6fab953d39f76d4054"/>
                <w:id w:val="6775112"/>
                <w:lock w:val="sdtLocked"/>
              </w:sdtPr>
              <w:sdtContent>
                <w:tc>
                  <w:tcPr>
                    <w:tcW w:w="2999" w:type="dxa"/>
                    <w:shd w:val="clear" w:color="auto" w:fill="auto"/>
                  </w:tcPr>
                  <w:p>
                    <w:pPr>
                      <w:jc w:val="center"/>
                    </w:pPr>
                    <w:r>
                      <w:rPr>
                        <w:rFonts w:hint="eastAsia"/>
                      </w:rPr>
                      <w:t>合计</w:t>
                    </w:r>
                  </w:p>
                </w:tc>
              </w:sdtContent>
            </w:sdt>
            <w:tc>
              <w:tcPr>
                <w:tcW w:w="3022" w:type="dxa"/>
                <w:shd w:val="clear" w:color="auto" w:fill="auto"/>
              </w:tcPr>
              <w:p>
                <w:pPr>
                  <w:jc w:val="right"/>
                </w:pPr>
                <w:r>
                  <w:t>424,057,411.28</w:t>
                </w:r>
              </w:p>
            </w:tc>
            <w:tc>
              <w:tcPr>
                <w:tcW w:w="2872" w:type="dxa"/>
                <w:shd w:val="clear" w:color="auto" w:fill="auto"/>
              </w:tcPr>
              <w:p>
                <w:pPr>
                  <w:jc w:val="right"/>
                </w:pPr>
                <w:r>
                  <w:t>423,075,398.24</w:t>
                </w:r>
              </w:p>
            </w:tc>
          </w:tr>
        </w:tbl>
        <w:p/>
      </w:sdtContent>
    </w:sdt>
    <w:sdt>
      <w:sdtPr>
        <w:rPr>
          <w:rFonts w:asciiTheme="minorHAnsi" w:hAnsiTheme="minorHAnsi" w:eastAsiaTheme="minorEastAsia" w:cstheme="minorBidi"/>
          <w:b w:val="0"/>
          <w:bCs w:val="0"/>
          <w:kern w:val="0"/>
          <w:szCs w:val="22"/>
        </w:rPr>
        <w:alias w:val="模块:应付债券的增减变动"/>
        <w:tag w:val="_SEC_bd8994c3194244c3a4761d3ba9630357"/>
        <w:id w:val="6775130"/>
        <w:lock w:val="sdtLocked"/>
        <w:placeholder>
          <w:docPart w:val="GBC22222222222222222222222222222"/>
        </w:placeholder>
      </w:sdtPr>
      <w:sdtEndPr>
        <w:rPr>
          <w:rFonts w:hint="eastAsia" w:ascii="宋体" w:hAnsi="宋体" w:eastAsia="宋体" w:cstheme="minorBidi"/>
          <w:b/>
          <w:bCs/>
          <w:color w:val="000000" w:themeColor="text1"/>
          <w:kern w:val="0"/>
          <w:szCs w:val="21"/>
        </w:rPr>
      </w:sdtEndPr>
      <w:sdtContent>
        <w:p>
          <w:pPr>
            <w:pStyle w:val="5"/>
            <w:numPr>
              <w:ilvl w:val="0"/>
              <w:numId w:val="89"/>
            </w:numPr>
            <w:tabs>
              <w:tab w:val="left" w:pos="672"/>
            </w:tabs>
            <w:rPr>
              <w:rFonts w:ascii="宋体" w:hAnsi="宋体"/>
              <w:szCs w:val="21"/>
            </w:rPr>
          </w:pPr>
          <w:r>
            <w:rPr>
              <w:rFonts w:ascii="宋体" w:hAnsi="宋体"/>
              <w:szCs w:val="21"/>
            </w:rPr>
            <w:t>应付债券的增减变动</w:t>
          </w:r>
          <w:r>
            <w:rPr>
              <w:rFonts w:hint="eastAsia" w:ascii="宋体" w:hAnsi="宋体"/>
              <w:szCs w:val="21"/>
            </w:rPr>
            <w:t>：（不包括划分为金融负债的优先股、永续债等其他金融工具）</w:t>
          </w:r>
        </w:p>
        <w:sdt>
          <w:sdtPr>
            <w:alias w:val="是否适用：应付债券的增减变动[双击切换]"/>
            <w:tag w:val="_GBC_a682f35f6b7c4d8b840f80705a81f19c"/>
            <w:id w:val="677511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附注：应付债券的增减变动"/>
              <w:tag w:val="_GBC_221366b8136447aca9359e6115acb07a"/>
              <w:id w:val="677511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债券的增减变动"/>
              <w:tag w:val="_GBC_ab4475cd02fd49449e15ccf7e0fadc42"/>
              <w:id w:val="67751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780" w:type="dxa"/>
            <w:tblInd w:w="-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851"/>
            <w:gridCol w:w="1236"/>
            <w:gridCol w:w="635"/>
            <w:gridCol w:w="240"/>
            <w:gridCol w:w="1210"/>
            <w:gridCol w:w="1087"/>
            <w:gridCol w:w="416"/>
            <w:gridCol w:w="1005"/>
            <w:gridCol w:w="962"/>
            <w:gridCol w:w="100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90" w:hRule="atLeast"/>
            </w:trPr>
            <w:sdt>
              <w:sdtPr>
                <w:rPr>
                  <w:rFonts w:asciiTheme="minorEastAsia" w:hAnsiTheme="minorEastAsia" w:eastAsiaTheme="minorEastAsia"/>
                  <w:sz w:val="18"/>
                  <w:szCs w:val="18"/>
                </w:rPr>
                <w:tag w:val="_PLD_e802e0473fe74b70b94a2bc1ff9e6120"/>
                <w:id w:val="6775117"/>
                <w:lock w:val="sdtLocked"/>
              </w:sdtPr>
              <w:sdtEndPr>
                <w:rPr>
                  <w:rFonts w:asciiTheme="minorEastAsia" w:hAnsiTheme="minorEastAsia" w:eastAsiaTheme="minorEastAsia"/>
                  <w:sz w:val="18"/>
                  <w:szCs w:val="18"/>
                </w:rPr>
              </w:sdtEndPr>
              <w:sdtContent>
                <w:tc>
                  <w:tcPr>
                    <w:tcW w:w="851"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债券</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名称</w:t>
                    </w:r>
                  </w:p>
                </w:tc>
              </w:sdtContent>
            </w:sdt>
            <w:sdt>
              <w:sdtPr>
                <w:rPr>
                  <w:rFonts w:asciiTheme="minorEastAsia" w:hAnsiTheme="minorEastAsia" w:eastAsiaTheme="minorEastAsia"/>
                  <w:sz w:val="18"/>
                  <w:szCs w:val="18"/>
                </w:rPr>
                <w:tag w:val="_PLD_3305820c0a7b4304abdad6fc20766aa3"/>
                <w:id w:val="6775118"/>
                <w:lock w:val="sdtLocked"/>
              </w:sdtPr>
              <w:sdtEndPr>
                <w:rPr>
                  <w:rFonts w:asciiTheme="minorEastAsia" w:hAnsiTheme="minorEastAsia" w:eastAsiaTheme="minorEastAsia"/>
                  <w:sz w:val="18"/>
                  <w:szCs w:val="18"/>
                </w:rPr>
              </w:sdtEndPr>
              <w:sdtContent>
                <w:tc>
                  <w:tcPr>
                    <w:tcW w:w="1236"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面值</w:t>
                    </w:r>
                  </w:p>
                </w:tc>
              </w:sdtContent>
            </w:sdt>
            <w:sdt>
              <w:sdtPr>
                <w:rPr>
                  <w:rFonts w:asciiTheme="minorEastAsia" w:hAnsiTheme="minorEastAsia" w:eastAsiaTheme="minorEastAsia"/>
                  <w:sz w:val="18"/>
                  <w:szCs w:val="18"/>
                </w:rPr>
                <w:tag w:val="_PLD_ee6ba2e107ad4013b8b8d3efeae50c26"/>
                <w:id w:val="6775119"/>
                <w:lock w:val="sdtLocked"/>
              </w:sdtPr>
              <w:sdtEndPr>
                <w:rPr>
                  <w:rFonts w:asciiTheme="minorEastAsia" w:hAnsiTheme="minorEastAsia" w:eastAsiaTheme="minorEastAsia"/>
                  <w:sz w:val="18"/>
                  <w:szCs w:val="18"/>
                </w:rPr>
              </w:sdtEndPr>
              <w:sdtContent>
                <w:tc>
                  <w:tcPr>
                    <w:tcW w:w="635"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发行</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日期</w:t>
                    </w:r>
                  </w:p>
                </w:tc>
              </w:sdtContent>
            </w:sdt>
            <w:sdt>
              <w:sdtPr>
                <w:rPr>
                  <w:rFonts w:asciiTheme="minorEastAsia" w:hAnsiTheme="minorEastAsia" w:eastAsiaTheme="minorEastAsia"/>
                  <w:sz w:val="18"/>
                  <w:szCs w:val="18"/>
                </w:rPr>
                <w:tag w:val="_PLD_124bbea948a54d48a0375b121ca28abc"/>
                <w:id w:val="6775120"/>
                <w:lock w:val="sdtLocked"/>
              </w:sdtPr>
              <w:sdtEndPr>
                <w:rPr>
                  <w:rFonts w:asciiTheme="minorEastAsia" w:hAnsiTheme="minorEastAsia" w:eastAsiaTheme="minorEastAsia"/>
                  <w:sz w:val="18"/>
                  <w:szCs w:val="18"/>
                </w:rPr>
              </w:sdtEndPr>
              <w:sdtContent>
                <w:tc>
                  <w:tcPr>
                    <w:tcW w:w="240"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债券</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期限</w:t>
                    </w:r>
                  </w:p>
                </w:tc>
              </w:sdtContent>
            </w:sdt>
            <w:sdt>
              <w:sdtPr>
                <w:rPr>
                  <w:rFonts w:asciiTheme="minorEastAsia" w:hAnsiTheme="minorEastAsia" w:eastAsiaTheme="minorEastAsia"/>
                  <w:sz w:val="18"/>
                  <w:szCs w:val="18"/>
                </w:rPr>
                <w:tag w:val="_PLD_7049ab93920145468e81fe6c529385fb"/>
                <w:id w:val="6775121"/>
                <w:lock w:val="sdtLocked"/>
              </w:sdtPr>
              <w:sdtEndPr>
                <w:rPr>
                  <w:rFonts w:asciiTheme="minorEastAsia" w:hAnsiTheme="minorEastAsia" w:eastAsiaTheme="minorEastAsia"/>
                  <w:sz w:val="18"/>
                  <w:szCs w:val="18"/>
                </w:rPr>
              </w:sdtEndPr>
              <w:sdtContent>
                <w:tc>
                  <w:tcPr>
                    <w:tcW w:w="1210"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发行</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金额</w:t>
                    </w:r>
                  </w:p>
                </w:tc>
              </w:sdtContent>
            </w:sdt>
            <w:sdt>
              <w:sdtPr>
                <w:rPr>
                  <w:rFonts w:asciiTheme="minorEastAsia" w:hAnsiTheme="minorEastAsia" w:eastAsiaTheme="minorEastAsia"/>
                  <w:sz w:val="18"/>
                  <w:szCs w:val="18"/>
                </w:rPr>
                <w:tag w:val="_PLD_38d9b1ec51834164a4568a000acee069"/>
                <w:id w:val="6775122"/>
                <w:lock w:val="sdtLocked"/>
              </w:sdtPr>
              <w:sdtEndPr>
                <w:rPr>
                  <w:rFonts w:asciiTheme="minorEastAsia" w:hAnsiTheme="minorEastAsia" w:eastAsiaTheme="minorEastAsia"/>
                  <w:sz w:val="18"/>
                  <w:szCs w:val="18"/>
                </w:rPr>
              </w:sdtEndPr>
              <w:sdtContent>
                <w:tc>
                  <w:tcPr>
                    <w:tcW w:w="1087"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期初</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余额</w:t>
                    </w:r>
                  </w:p>
                </w:tc>
              </w:sdtContent>
            </w:sdt>
            <w:sdt>
              <w:sdtPr>
                <w:rPr>
                  <w:rFonts w:asciiTheme="minorEastAsia" w:hAnsiTheme="minorEastAsia" w:eastAsiaTheme="minorEastAsia"/>
                  <w:sz w:val="18"/>
                  <w:szCs w:val="18"/>
                </w:rPr>
                <w:tag w:val="_PLD_631bbacf370944efab46658f1d2b4f3d"/>
                <w:id w:val="6775123"/>
                <w:lock w:val="sdtLocked"/>
              </w:sdtPr>
              <w:sdtEndPr>
                <w:rPr>
                  <w:rFonts w:asciiTheme="minorEastAsia" w:hAnsiTheme="minorEastAsia" w:eastAsiaTheme="minorEastAsia"/>
                  <w:sz w:val="18"/>
                  <w:szCs w:val="18"/>
                </w:rPr>
              </w:sdtEndPr>
              <w:sdtContent>
                <w:tc>
                  <w:tcPr>
                    <w:tcW w:w="416"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本期</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发行</w:t>
                    </w:r>
                  </w:p>
                </w:tc>
              </w:sdtContent>
            </w:sdt>
            <w:sdt>
              <w:sdtPr>
                <w:rPr>
                  <w:rFonts w:asciiTheme="minorEastAsia" w:hAnsiTheme="minorEastAsia" w:eastAsiaTheme="minorEastAsia"/>
                  <w:sz w:val="18"/>
                  <w:szCs w:val="18"/>
                </w:rPr>
                <w:tag w:val="_PLD_46ecadb6d93742c196106f528dc587fb"/>
                <w:id w:val="6775124"/>
                <w:lock w:val="sdtLocked"/>
              </w:sdtPr>
              <w:sdtEndPr>
                <w:rPr>
                  <w:rFonts w:asciiTheme="minorEastAsia" w:hAnsiTheme="minorEastAsia" w:eastAsiaTheme="minorEastAsia"/>
                  <w:sz w:val="18"/>
                  <w:szCs w:val="18"/>
                </w:rPr>
              </w:sdtEndPr>
              <w:sdtContent>
                <w:tc>
                  <w:tcPr>
                    <w:tcW w:w="1005"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按面值计提利息</w:t>
                    </w:r>
                  </w:p>
                </w:tc>
              </w:sdtContent>
            </w:sdt>
            <w:sdt>
              <w:sdtPr>
                <w:rPr>
                  <w:rFonts w:asciiTheme="minorEastAsia" w:hAnsiTheme="minorEastAsia" w:eastAsiaTheme="minorEastAsia"/>
                  <w:sz w:val="18"/>
                  <w:szCs w:val="18"/>
                </w:rPr>
                <w:tag w:val="_PLD_ae4bf5f0a7024d7494d06729dd783ba4"/>
                <w:id w:val="6775125"/>
                <w:lock w:val="sdtLocked"/>
              </w:sdtPr>
              <w:sdtEndPr>
                <w:rPr>
                  <w:rFonts w:asciiTheme="minorEastAsia" w:hAnsiTheme="minorEastAsia" w:eastAsiaTheme="minorEastAsia"/>
                  <w:sz w:val="18"/>
                  <w:szCs w:val="18"/>
                </w:rPr>
              </w:sdtEndPr>
              <w:sdtContent>
                <w:tc>
                  <w:tcPr>
                    <w:tcW w:w="962"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溢折价摊销</w:t>
                    </w:r>
                  </w:p>
                </w:tc>
              </w:sdtContent>
            </w:sdt>
            <w:sdt>
              <w:sdtPr>
                <w:rPr>
                  <w:rFonts w:asciiTheme="minorEastAsia" w:hAnsiTheme="minorEastAsia" w:eastAsiaTheme="minorEastAsia"/>
                  <w:sz w:val="18"/>
                  <w:szCs w:val="18"/>
                </w:rPr>
                <w:tag w:val="_PLD_4b5846bfb9664157a5fbfb5219160105"/>
                <w:id w:val="6775126"/>
                <w:lock w:val="sdtLocked"/>
              </w:sdtPr>
              <w:sdtEndPr>
                <w:rPr>
                  <w:rFonts w:asciiTheme="minorEastAsia" w:hAnsiTheme="minorEastAsia" w:eastAsiaTheme="minorEastAsia"/>
                  <w:sz w:val="18"/>
                  <w:szCs w:val="18"/>
                </w:rPr>
              </w:sdtEndPr>
              <w:sdtContent>
                <w:tc>
                  <w:tcPr>
                    <w:tcW w:w="1005"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本期</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偿还</w:t>
                    </w:r>
                  </w:p>
                </w:tc>
              </w:sdtContent>
            </w:sdt>
            <w:sdt>
              <w:sdtPr>
                <w:rPr>
                  <w:rFonts w:asciiTheme="minorEastAsia" w:hAnsiTheme="minorEastAsia" w:eastAsiaTheme="minorEastAsia"/>
                  <w:sz w:val="18"/>
                  <w:szCs w:val="18"/>
                </w:rPr>
                <w:tag w:val="_PLD_a12b5b0e009f4c31a176550ce24d537b"/>
                <w:id w:val="6775127"/>
                <w:lock w:val="sdtLocked"/>
              </w:sdtPr>
              <w:sdtEndPr>
                <w:rPr>
                  <w:rFonts w:asciiTheme="minorEastAsia" w:hAnsiTheme="minorEastAsia" w:eastAsiaTheme="minorEastAsia"/>
                  <w:sz w:val="18"/>
                  <w:szCs w:val="18"/>
                </w:rPr>
              </w:sdtEndPr>
              <w:sdtContent>
                <w:tc>
                  <w:tcPr>
                    <w:tcW w:w="1133"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期末</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余额</w:t>
                    </w:r>
                  </w:p>
                </w:tc>
              </w:sdtContent>
            </w:sdt>
          </w:tr>
          <w:sdt>
            <w:sdtPr>
              <w:rPr>
                <w:rFonts w:asciiTheme="minorEastAsia" w:hAnsiTheme="minorEastAsia" w:eastAsiaTheme="minorEastAsia"/>
                <w:sz w:val="18"/>
                <w:szCs w:val="18"/>
              </w:rPr>
              <w:alias w:val="应付债券明细"/>
              <w:tag w:val="_TUP_483a6814da9c434391de215e945c94f6"/>
              <w:id w:val="6775128"/>
              <w:lock w:val="sdtLocked"/>
            </w:sdtPr>
            <w:sdtEndPr>
              <w:rPr>
                <w:rFonts w:ascii="Arial Narrow" w:hAnsi="Arial Narrow"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66" w:hRule="atLeast"/>
                </w:trPr>
                <w:tc>
                  <w:tcPr>
                    <w:tcW w:w="851" w:type="dxa"/>
                    <w:shd w:val="clear" w:color="auto" w:fill="auto"/>
                  </w:tcPr>
                  <w:p>
                    <w:pPr>
                      <w:rPr>
                        <w:rFonts w:asciiTheme="minorEastAsia" w:hAnsiTheme="minorEastAsia" w:eastAsiaTheme="minorEastAsia"/>
                        <w:sz w:val="18"/>
                        <w:szCs w:val="18"/>
                      </w:rPr>
                    </w:pPr>
                    <w:r>
                      <w:rPr>
                        <w:rFonts w:asciiTheme="minorEastAsia" w:hAnsiTheme="minorEastAsia" w:eastAsiaTheme="minorEastAsia"/>
                        <w:sz w:val="18"/>
                        <w:szCs w:val="18"/>
                      </w:rPr>
                      <w:t>11柳钢债</w:t>
                    </w:r>
                  </w:p>
                </w:tc>
                <w:tc>
                  <w:tcPr>
                    <w:tcW w:w="1236"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2,000,000,000</w:t>
                    </w:r>
                    <w:r>
                      <w:rPr>
                        <w:rFonts w:hint="eastAsia" w:ascii="Arial Narrow" w:hAnsi="Arial Narrow" w:eastAsiaTheme="minorEastAsia"/>
                        <w:sz w:val="18"/>
                        <w:szCs w:val="18"/>
                      </w:rPr>
                      <w:t>.00</w:t>
                    </w:r>
                  </w:p>
                </w:tc>
                <w:tc>
                  <w:tcPr>
                    <w:tcW w:w="635"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2011.6.1</w:t>
                    </w:r>
                  </w:p>
                </w:tc>
                <w:tc>
                  <w:tcPr>
                    <w:tcW w:w="240" w:type="dxa"/>
                    <w:shd w:val="clear" w:color="auto" w:fill="auto"/>
                  </w:tcPr>
                  <w:p>
                    <w:pPr>
                      <w:rPr>
                        <w:rFonts w:ascii="Arial Narrow" w:hAnsi="Arial Narrow" w:eastAsiaTheme="minorEastAsia"/>
                        <w:sz w:val="18"/>
                        <w:szCs w:val="18"/>
                      </w:rPr>
                    </w:pPr>
                    <w:r>
                      <w:rPr>
                        <w:rFonts w:ascii="Arial Narrow" w:hAnsi="Arial Narrow" w:eastAsiaTheme="minorEastAsia"/>
                        <w:sz w:val="18"/>
                        <w:szCs w:val="18"/>
                      </w:rPr>
                      <w:t>8年</w:t>
                    </w:r>
                  </w:p>
                </w:tc>
                <w:tc>
                  <w:tcPr>
                    <w:tcW w:w="1210"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1,967,000,000.00</w:t>
                    </w:r>
                  </w:p>
                </w:tc>
                <w:tc>
                  <w:tcPr>
                    <w:tcW w:w="1087"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423,075,398.24</w:t>
                    </w:r>
                  </w:p>
                </w:tc>
                <w:tc>
                  <w:tcPr>
                    <w:tcW w:w="416" w:type="dxa"/>
                    <w:shd w:val="clear" w:color="auto" w:fill="auto"/>
                  </w:tcPr>
                  <w:p>
                    <w:pPr>
                      <w:jc w:val="right"/>
                      <w:rPr>
                        <w:rFonts w:ascii="Arial Narrow" w:hAnsi="Arial Narrow" w:eastAsiaTheme="minorEastAsia"/>
                        <w:sz w:val="18"/>
                        <w:szCs w:val="18"/>
                      </w:rPr>
                    </w:pPr>
                  </w:p>
                </w:tc>
                <w:tc>
                  <w:tcPr>
                    <w:tcW w:w="1005"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24,255,894.00</w:t>
                    </w:r>
                  </w:p>
                </w:tc>
                <w:tc>
                  <w:tcPr>
                    <w:tcW w:w="962"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982,013.04</w:t>
                    </w:r>
                  </w:p>
                </w:tc>
                <w:tc>
                  <w:tcPr>
                    <w:tcW w:w="1005"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24,255,894.00</w:t>
                    </w:r>
                  </w:p>
                </w:tc>
                <w:tc>
                  <w:tcPr>
                    <w:tcW w:w="1133"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424,057,411.28</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66" w:hRule="atLeast"/>
            </w:trPr>
            <w:sdt>
              <w:sdtPr>
                <w:rPr>
                  <w:rFonts w:asciiTheme="minorEastAsia" w:hAnsiTheme="minorEastAsia" w:eastAsiaTheme="minorEastAsia"/>
                  <w:sz w:val="18"/>
                  <w:szCs w:val="18"/>
                </w:rPr>
                <w:tag w:val="_PLD_41192c0475024a44a2c97d36651ee82d"/>
                <w:id w:val="6775129"/>
                <w:lock w:val="sdtLocked"/>
              </w:sdtPr>
              <w:sdtEndPr>
                <w:rPr>
                  <w:rFonts w:asciiTheme="minorEastAsia" w:hAnsiTheme="minorEastAsia" w:eastAsiaTheme="minorEastAsia"/>
                  <w:sz w:val="18"/>
                  <w:szCs w:val="18"/>
                </w:rPr>
              </w:sdtEndPr>
              <w:sdtContent>
                <w:tc>
                  <w:tcPr>
                    <w:tcW w:w="851" w:type="dxa"/>
                    <w:shd w:val="clear" w:color="auto" w:fill="auto"/>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合计</w:t>
                    </w:r>
                  </w:p>
                </w:tc>
              </w:sdtContent>
            </w:sdt>
            <w:tc>
              <w:tcPr>
                <w:tcW w:w="1236" w:type="dxa"/>
                <w:shd w:val="clear" w:color="auto" w:fill="auto"/>
              </w:tcPr>
              <w:p>
                <w:pPr>
                  <w:jc w:val="center"/>
                  <w:rPr>
                    <w:rFonts w:ascii="Arial Narrow" w:hAnsi="Arial Narrow" w:eastAsiaTheme="minorEastAsia"/>
                    <w:sz w:val="18"/>
                    <w:szCs w:val="18"/>
                  </w:rPr>
                </w:pPr>
                <w:r>
                  <w:rPr>
                    <w:rFonts w:ascii="Arial Narrow" w:hAnsi="Arial Narrow" w:eastAsiaTheme="minorEastAsia"/>
                    <w:sz w:val="18"/>
                    <w:szCs w:val="18"/>
                  </w:rPr>
                  <w:t>/</w:t>
                </w:r>
              </w:p>
            </w:tc>
            <w:tc>
              <w:tcPr>
                <w:tcW w:w="635" w:type="dxa"/>
                <w:shd w:val="clear" w:color="auto" w:fill="auto"/>
              </w:tcPr>
              <w:p>
                <w:pPr>
                  <w:jc w:val="center"/>
                  <w:rPr>
                    <w:rFonts w:ascii="Arial Narrow" w:hAnsi="Arial Narrow" w:eastAsiaTheme="minorEastAsia"/>
                    <w:sz w:val="18"/>
                    <w:szCs w:val="18"/>
                  </w:rPr>
                </w:pPr>
                <w:r>
                  <w:rPr>
                    <w:rFonts w:ascii="Arial Narrow" w:hAnsi="Arial Narrow" w:eastAsiaTheme="minorEastAsia"/>
                    <w:sz w:val="18"/>
                    <w:szCs w:val="18"/>
                  </w:rPr>
                  <w:t>/</w:t>
                </w:r>
              </w:p>
            </w:tc>
            <w:tc>
              <w:tcPr>
                <w:tcW w:w="240" w:type="dxa"/>
                <w:shd w:val="clear" w:color="auto" w:fill="auto"/>
              </w:tcPr>
              <w:p>
                <w:pPr>
                  <w:jc w:val="center"/>
                  <w:rPr>
                    <w:rFonts w:ascii="Arial Narrow" w:hAnsi="Arial Narrow" w:eastAsiaTheme="minorEastAsia"/>
                    <w:sz w:val="18"/>
                    <w:szCs w:val="18"/>
                  </w:rPr>
                </w:pPr>
                <w:r>
                  <w:rPr>
                    <w:rFonts w:ascii="Arial Narrow" w:hAnsi="Arial Narrow" w:eastAsiaTheme="minorEastAsia"/>
                    <w:sz w:val="18"/>
                    <w:szCs w:val="18"/>
                  </w:rPr>
                  <w:t>/</w:t>
                </w:r>
              </w:p>
            </w:tc>
            <w:tc>
              <w:tcPr>
                <w:tcW w:w="1210"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1,967,000,000.00</w:t>
                </w:r>
              </w:p>
            </w:tc>
            <w:tc>
              <w:tcPr>
                <w:tcW w:w="1087"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423,075,398.24</w:t>
                </w:r>
              </w:p>
            </w:tc>
            <w:tc>
              <w:tcPr>
                <w:tcW w:w="416" w:type="dxa"/>
                <w:shd w:val="clear" w:color="auto" w:fill="auto"/>
              </w:tcPr>
              <w:p>
                <w:pPr>
                  <w:jc w:val="right"/>
                  <w:rPr>
                    <w:rFonts w:ascii="Arial Narrow" w:hAnsi="Arial Narrow" w:eastAsiaTheme="minorEastAsia"/>
                    <w:sz w:val="18"/>
                    <w:szCs w:val="18"/>
                  </w:rPr>
                </w:pPr>
              </w:p>
            </w:tc>
            <w:tc>
              <w:tcPr>
                <w:tcW w:w="1005"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24,255,894.00</w:t>
                </w:r>
              </w:p>
            </w:tc>
            <w:tc>
              <w:tcPr>
                <w:tcW w:w="962"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982,013.04</w:t>
                </w:r>
              </w:p>
            </w:tc>
            <w:tc>
              <w:tcPr>
                <w:tcW w:w="1005"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24,255,894.00</w:t>
                </w:r>
              </w:p>
            </w:tc>
            <w:tc>
              <w:tcPr>
                <w:tcW w:w="1133" w:type="dxa"/>
                <w:shd w:val="clear" w:color="auto" w:fill="auto"/>
              </w:tcPr>
              <w:p>
                <w:pPr>
                  <w:jc w:val="right"/>
                  <w:rPr>
                    <w:rFonts w:ascii="Arial Narrow" w:hAnsi="Arial Narrow" w:eastAsiaTheme="minorEastAsia"/>
                    <w:sz w:val="18"/>
                    <w:szCs w:val="18"/>
                  </w:rPr>
                </w:pPr>
                <w:r>
                  <w:rPr>
                    <w:rFonts w:ascii="Arial Narrow" w:hAnsi="Arial Narrow" w:eastAsiaTheme="minorEastAsia"/>
                    <w:sz w:val="18"/>
                    <w:szCs w:val="18"/>
                  </w:rPr>
                  <w:t>424,057,411.28</w:t>
                </w:r>
              </w:p>
            </w:tc>
          </w:tr>
        </w:tbl>
        <w:p/>
      </w:sdtContent>
    </w:sdt>
    <w:sdt>
      <w:sdtPr>
        <w:rPr>
          <w:rFonts w:hint="eastAsia" w:ascii="宋体" w:hAnsi="宋体" w:cs="宋体"/>
          <w:b w:val="0"/>
          <w:bCs w:val="0"/>
          <w:kern w:val="0"/>
          <w:szCs w:val="21"/>
        </w:rPr>
        <w:alias w:val="模块:可转换公司债券的转股条件、转股时间说明："/>
        <w:tag w:val="_SEC_757001457d924ad38aa4781484c5ba39"/>
        <w:id w:val="6775132"/>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89"/>
            </w:numPr>
            <w:tabs>
              <w:tab w:val="left" w:pos="672"/>
            </w:tabs>
            <w:rPr>
              <w:szCs w:val="21"/>
            </w:rPr>
          </w:pPr>
          <w:bookmarkStart w:id="76" w:name="OLE_LINK18"/>
          <w:bookmarkStart w:id="77" w:name="OLE_LINK16"/>
          <w:r>
            <w:rPr>
              <w:rFonts w:hint="eastAsia"/>
              <w:szCs w:val="21"/>
            </w:rPr>
            <w:t>可</w:t>
          </w:r>
          <w:r>
            <w:rPr>
              <w:rFonts w:hint="eastAsia" w:ascii="宋体" w:hAnsi="宋体"/>
              <w:szCs w:val="21"/>
            </w:rPr>
            <w:t>转换公司债</w:t>
          </w:r>
          <w:r>
            <w:rPr>
              <w:rFonts w:hint="eastAsia"/>
              <w:szCs w:val="21"/>
            </w:rPr>
            <w:t>券的转股条件、转股时间说明：</w:t>
          </w:r>
        </w:p>
        <w:sdt>
          <w:sdtPr>
            <w:rPr>
              <w:rFonts w:hint="eastAsia"/>
              <w:szCs w:val="21"/>
            </w:rPr>
            <w:alias w:val="是否适用：可转换公司债券的转股条件、转股时间说明[双击切换]"/>
            <w:tag w:val="_GBC_2b6cb515ba4c417781662a31ccbd84e3"/>
            <w:id w:val="6775131"/>
            <w:lock w:val="sdtContentLocked"/>
            <w:placeholder>
              <w:docPart w:val="GBC22222222222222222222222222222"/>
            </w:placeholder>
          </w:sdtPr>
          <w:sdtEndPr>
            <w:rPr>
              <w:rFonts w:hint="eastAsia"/>
              <w:szCs w:val="21"/>
            </w:rPr>
          </w:sdtEndPr>
          <w:sdtContent>
            <w:p>
              <w:pPr>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bookmarkEnd w:id="76"/>
    <w:bookmarkEnd w:id="77"/>
    <w:sdt>
      <w:sdtPr>
        <w:rPr>
          <w:rFonts w:hint="eastAsia" w:ascii="宋体" w:hAnsi="宋体" w:cs="宋体"/>
          <w:b w:val="0"/>
          <w:bCs w:val="0"/>
          <w:kern w:val="0"/>
          <w:szCs w:val="21"/>
        </w:rPr>
        <w:alias w:val="模块:划分为金融负债的其他金融工具说明"/>
        <w:tag w:val="_SEC_a518acf97f30496fb599ce9199c16315"/>
        <w:id w:val="6775136"/>
        <w:lock w:val="sdtLocked"/>
        <w:placeholder>
          <w:docPart w:val="GBC22222222222222222222222222222"/>
        </w:placeholder>
      </w:sdtPr>
      <w:sdtEndPr>
        <w:rPr>
          <w:rFonts w:hint="default" w:ascii="宋体" w:hAnsi="宋体" w:cs="宋体"/>
          <w:b w:val="0"/>
          <w:bCs w:val="0"/>
          <w:kern w:val="0"/>
          <w:szCs w:val="21"/>
        </w:rPr>
      </w:sdtEndPr>
      <w:sdtContent>
        <w:p>
          <w:pPr>
            <w:pStyle w:val="5"/>
            <w:numPr>
              <w:ilvl w:val="0"/>
              <w:numId w:val="89"/>
            </w:numPr>
            <w:tabs>
              <w:tab w:val="left" w:pos="672"/>
            </w:tabs>
            <w:rPr>
              <w:szCs w:val="21"/>
            </w:rPr>
          </w:pPr>
          <w:r>
            <w:rPr>
              <w:rFonts w:hint="eastAsia"/>
              <w:szCs w:val="21"/>
            </w:rPr>
            <w:t>划分为金融负债的其他金融工具说明：</w:t>
          </w:r>
        </w:p>
        <w:p>
          <w:r>
            <w:rPr>
              <w:rFonts w:hint="eastAsia"/>
            </w:rPr>
            <w:t>期末发行在外的优先股、永续债等其他金融工具基本情况</w:t>
          </w:r>
        </w:p>
        <w:sdt>
          <w:sdtPr>
            <w:alias w:val="是否适用：划分为金融负债的其他金融工具说明[双击切换]"/>
            <w:tag w:val="_GBC_354a73ce52fe4fcaa9d974bff59ad9cc"/>
            <w:id w:val="6775133"/>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p>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0ff8720c33d04083ad5271ea8df21c89"/>
            <w:id w:val="6775134"/>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b66a33df1ece41d79e36976486595871"/>
            <w:id w:val="6775135"/>
            <w:lock w:val="sdtContentLocked"/>
            <w:placeholder>
              <w:docPart w:val="GBC22222222222222222222222222222"/>
            </w:placeholder>
          </w:sdtPr>
          <w:sdtEndPr>
            <w:rPr>
              <w:szCs w:val="21"/>
            </w:rPr>
          </w:sdtEndPr>
          <w:sdtContent>
            <w:p>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hint="eastAsia"/>
          <w:szCs w:val="21"/>
        </w:rPr>
        <w:alias w:val="模块:应付债券其他说明"/>
        <w:tag w:val="_SEC_a77cb0c0ba82436b82a7d5bb3bde2ada"/>
        <w:id w:val="6775138"/>
        <w:lock w:val="sdtLocked"/>
        <w:placeholder>
          <w:docPart w:val="GBC22222222222222222222222222222"/>
        </w:placeholder>
      </w:sdtPr>
      <w:sdtEndPr>
        <w:rPr>
          <w:rFonts w:hint="eastAsia"/>
          <w:szCs w:val="21"/>
        </w:rPr>
      </w:sdtEndPr>
      <w:sdtContent>
        <w:p>
          <w:pPr>
            <w:spacing w:before="60" w:after="60"/>
            <w:rPr>
              <w:szCs w:val="21"/>
            </w:rPr>
          </w:pPr>
          <w:r>
            <w:rPr>
              <w:rFonts w:hint="eastAsia"/>
              <w:szCs w:val="21"/>
            </w:rPr>
            <w:t>其他说明：</w:t>
          </w:r>
        </w:p>
        <w:sdt>
          <w:sdtPr>
            <w:rPr>
              <w:szCs w:val="21"/>
            </w:rPr>
            <w:alias w:val="是否适用：应付债券的其他说明[双击切换]"/>
            <w:tag w:val="_GBC_2068e4e6d2994d6f8cfa9ecc26b171d4"/>
            <w:id w:val="6775137"/>
            <w:lock w:val="sdtContentLocked"/>
            <w:placeholder>
              <w:docPart w:val="GBC22222222222222222222222222222"/>
            </w:placeholder>
          </w:sdtPr>
          <w:sdtEndPr>
            <w:rPr>
              <w:szCs w:val="21"/>
            </w:rPr>
          </w:sdtEndPr>
          <w:sdtContent>
            <w:p>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长期</w:t>
      </w:r>
      <w:r>
        <w:rPr>
          <w:rFonts w:hint="eastAsia"/>
          <w:szCs w:val="21"/>
        </w:rPr>
        <w:t>应付</w:t>
      </w:r>
      <w:r>
        <w:rPr>
          <w:rFonts w:hint="eastAsia" w:ascii="宋体" w:hAnsi="宋体"/>
          <w:szCs w:val="21"/>
        </w:rPr>
        <w:t>款</w:t>
      </w:r>
    </w:p>
    <w:sdt>
      <w:sdtPr>
        <w:rPr>
          <w:rFonts w:asciiTheme="minorHAnsi" w:hAnsiTheme="minorHAnsi" w:eastAsiaTheme="minorEastAsia" w:cstheme="minorBidi"/>
          <w:bCs/>
          <w:kern w:val="0"/>
          <w:szCs w:val="24"/>
        </w:rPr>
        <w:alias w:val="模块:按款项性质列示长期应付款"/>
        <w:tag w:val="_SEC_7376b335bb274b24970a93a74d17b7c6"/>
        <w:id w:val="6775140"/>
        <w:lock w:val="sdtLocked"/>
        <w:placeholder>
          <w:docPart w:val="GBC22222222222222222222222222222"/>
        </w:placeholder>
      </w:sdtPr>
      <w:sdtEndPr>
        <w:rPr>
          <w:rFonts w:ascii="宋体" w:hAnsi="宋体" w:eastAsia="宋体" w:cstheme="minorBidi"/>
          <w:bCs w:val="0"/>
          <w:kern w:val="0"/>
          <w:szCs w:val="21"/>
        </w:rPr>
      </w:sdtEndPr>
      <w:sdtContent>
        <w:p>
          <w:pPr>
            <w:pStyle w:val="53"/>
            <w:numPr>
              <w:ilvl w:val="0"/>
              <w:numId w:val="90"/>
            </w:numPr>
            <w:ind w:firstLineChars="0"/>
            <w:outlineLvl w:val="3"/>
            <w:rPr>
              <w:b/>
            </w:rPr>
          </w:pPr>
          <w:r>
            <w:rPr>
              <w:rFonts w:hint="eastAsia"/>
              <w:b/>
            </w:rPr>
            <w:t>按款项性质列示长期应付款：</w:t>
          </w:r>
        </w:p>
        <w:sdt>
          <w:sdtPr>
            <w:alias w:val="是否适用：按款项性质列示长期应付款[双击切换]"/>
            <w:tag w:val="_GBC_6a4cca7cce5341018cd4836f32746cd9"/>
            <w:id w:val="6775139"/>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napToGrid w:val="0"/>
            <w:spacing w:line="240" w:lineRule="atLeast"/>
            <w:rPr>
              <w:szCs w:val="21"/>
            </w:rPr>
          </w:pPr>
        </w:p>
        <w:p>
          <w:pPr>
            <w:rPr>
              <w:rFonts w:cstheme="minorBidi"/>
              <w:szCs w:val="21"/>
            </w:rPr>
          </w:pPr>
        </w:p>
      </w:sdtContent>
    </w:sdt>
    <w:p>
      <w:pPr>
        <w:pStyle w:val="4"/>
        <w:numPr>
          <w:ilvl w:val="0"/>
          <w:numId w:val="66"/>
        </w:numPr>
        <w:tabs>
          <w:tab w:val="left" w:pos="504"/>
        </w:tabs>
        <w:rPr>
          <w:szCs w:val="21"/>
        </w:rPr>
      </w:pPr>
      <w:r>
        <w:rPr>
          <w:rFonts w:hint="eastAsia"/>
          <w:szCs w:val="21"/>
        </w:rPr>
        <w:t>长期应付职工薪酬</w:t>
      </w:r>
    </w:p>
    <w:sdt>
      <w:sdtPr>
        <w:alias w:val="是否适用：长期应付职工薪酬[双击切换]"/>
        <w:tag w:val="_GBC_24f9546075204a64926cf2cb24e64f0e"/>
        <w:id w:val="6775141"/>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p>
      <w:pPr>
        <w:rPr>
          <w:szCs w:val="21"/>
        </w:rPr>
      </w:pPr>
    </w:p>
    <w:sdt>
      <w:sdtPr>
        <w:rPr>
          <w:rFonts w:hint="eastAsia" w:ascii="宋体" w:hAnsi="宋体" w:cs="宋体"/>
          <w:b w:val="0"/>
          <w:bCs w:val="0"/>
          <w:kern w:val="0"/>
          <w:szCs w:val="21"/>
        </w:rPr>
        <w:alias w:val="模块:专项应付款"/>
        <w:tag w:val="_SEC_0a84e0b09fc64975bf9a126557085875"/>
        <w:id w:val="6775143"/>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专项应付款</w:t>
          </w:r>
        </w:p>
        <w:sdt>
          <w:sdtPr>
            <w:alias w:val="是否适用：专项应付款[双击切换]"/>
            <w:tag w:val="_GBC_857ddecb5bce4a0f99e428cd2635aa03"/>
            <w:id w:val="677514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napToGrid w:val="0"/>
            <w:rPr>
              <w:szCs w:val="21"/>
            </w:rPr>
          </w:pPr>
        </w:p>
      </w:sdtContent>
    </w:sdt>
    <w:p>
      <w:pPr>
        <w:rPr>
          <w:szCs w:val="21"/>
        </w:rPr>
      </w:pPr>
    </w:p>
    <w:sdt>
      <w:sdtPr>
        <w:rPr>
          <w:rFonts w:hint="eastAsia" w:ascii="宋体" w:hAnsi="宋体" w:cs="宋体"/>
          <w:b w:val="0"/>
          <w:bCs w:val="0"/>
          <w:kern w:val="0"/>
          <w:szCs w:val="21"/>
        </w:rPr>
        <w:alias w:val="模块:预计负债"/>
        <w:tag w:val="_SEC_f21973cd15af4f4f8cba4c68d4e9e36f"/>
        <w:id w:val="6775145"/>
        <w:lock w:val="sdtLocked"/>
        <w:placeholder>
          <w:docPart w:val="GBC22222222222222222222222222222"/>
        </w:placeholder>
      </w:sdtPr>
      <w:sdtEndPr>
        <w:rPr>
          <w:rFonts w:hint="default" w:ascii="宋体" w:hAnsi="宋体" w:cstheme="minorBidi"/>
          <w:b w:val="0"/>
          <w:bCs w:val="0"/>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预计负债</w:t>
          </w:r>
        </w:p>
        <w:sdt>
          <w:sdtPr>
            <w:alias w:val="是否适用：预计负债[双击切换]"/>
            <w:tag w:val="_GBC_51b76dddc9894cf0b5e73194dd14f1d7"/>
            <w:id w:val="677514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autoSpaceDE w:val="0"/>
            <w:autoSpaceDN w:val="0"/>
            <w:adjustRightInd w:val="0"/>
            <w:rPr>
              <w:szCs w:val="21"/>
            </w:rPr>
          </w:pPr>
        </w:p>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递延收益</w:t>
      </w:r>
    </w:p>
    <w:sdt>
      <w:sdtPr>
        <w:rPr>
          <w:rFonts w:hint="eastAsia" w:ascii="宋体" w:hAnsi="宋体" w:cs="宋体"/>
          <w:kern w:val="0"/>
          <w:szCs w:val="21"/>
        </w:rPr>
        <w:alias w:val="模块:递延收益"/>
        <w:tag w:val="_SEC_77e89ee1eab949ef9b025afd8f005609"/>
        <w:id w:val="6775157"/>
        <w:lock w:val="sdtLocked"/>
        <w:placeholder>
          <w:docPart w:val="GBC22222222222222222222222222222"/>
        </w:placeholder>
      </w:sdtPr>
      <w:sdtEndPr>
        <w:rPr>
          <w:rFonts w:hint="eastAsia" w:ascii="宋体" w:hAnsi="宋体" w:cs="宋体"/>
          <w:kern w:val="0"/>
          <w:szCs w:val="24"/>
        </w:rPr>
      </w:sdtEndPr>
      <w:sdtContent>
        <w:p>
          <w:pPr>
            <w:pStyle w:val="53"/>
            <w:ind w:firstLine="0" w:firstLineChars="0"/>
            <w:jc w:val="left"/>
            <w:rPr>
              <w:rFonts w:ascii="宋体" w:hAnsi="宋体" w:cs="宋体"/>
              <w:kern w:val="0"/>
              <w:szCs w:val="21"/>
            </w:rPr>
          </w:pPr>
          <w:r>
            <w:rPr>
              <w:rFonts w:hint="eastAsia" w:ascii="宋体" w:hAnsi="宋体" w:cs="宋体"/>
              <w:kern w:val="0"/>
              <w:szCs w:val="21"/>
            </w:rPr>
            <w:t>递延收益情况</w:t>
          </w:r>
        </w:p>
        <w:sdt>
          <w:sdtPr>
            <w:rPr>
              <w:rFonts w:hint="eastAsia" w:ascii="宋体" w:hAnsi="宋体" w:cs="宋体"/>
              <w:kern w:val="0"/>
              <w:szCs w:val="21"/>
            </w:rPr>
            <w:alias w:val="是否适用：递延收益情况 [双击切换]"/>
            <w:tag w:val="_GBC_1dc89c2a3092474186405d574af5f0a9"/>
            <w:id w:val="6775146"/>
            <w:lock w:val="sdtContentLocked"/>
            <w:placeholder>
              <w:docPart w:val="GBC22222222222222222222222222222"/>
            </w:placeholder>
          </w:sdtPr>
          <w:sdtEndPr>
            <w:rPr>
              <w:rFonts w:hint="eastAsia" w:ascii="宋体" w:hAnsi="宋体" w:cs="宋体"/>
              <w:kern w:val="0"/>
              <w:szCs w:val="21"/>
            </w:rPr>
          </w:sdtEndPr>
          <w:sdtContent>
            <w:p>
              <w:pPr>
                <w:pStyle w:val="53"/>
                <w:ind w:firstLine="0" w:firstLineChars="0"/>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pPr>
            <w:pStyle w:val="53"/>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递延收益"/>
              <w:tag w:val="_GBC_302facde74424f4893f0a42db0d6e1ba"/>
              <w:id w:val="677514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财务附注：递延收益"/>
              <w:tag w:val="_GBC_99380f3ab3514d54aa39945566772fb3"/>
              <w:id w:val="67751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83"/>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22"/>
            <w:gridCol w:w="1559"/>
            <w:gridCol w:w="1419"/>
            <w:gridCol w:w="1418"/>
            <w:gridCol w:w="1426"/>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35" w:hRule="atLeast"/>
            </w:trPr>
            <w:sdt>
              <w:sdtPr>
                <w:tag w:val="_PLD_06c0ddfa4a2746ca8f12eddff124e05c"/>
                <w:id w:val="6775149"/>
                <w:lock w:val="sdtLocked"/>
              </w:sdtPr>
              <w:sdtContent>
                <w:tc>
                  <w:tcPr>
                    <w:tcW w:w="1022" w:type="dxa"/>
                    <w:shd w:val="clear" w:color="auto" w:fill="auto"/>
                    <w:vAlign w:val="center"/>
                  </w:tcPr>
                  <w:p>
                    <w:pPr>
                      <w:jc w:val="center"/>
                      <w:rPr>
                        <w:szCs w:val="21"/>
                      </w:rPr>
                    </w:pPr>
                    <w:r>
                      <w:rPr>
                        <w:rFonts w:hint="eastAsia"/>
                        <w:szCs w:val="21"/>
                      </w:rPr>
                      <w:t>项目</w:t>
                    </w:r>
                  </w:p>
                </w:tc>
              </w:sdtContent>
            </w:sdt>
            <w:sdt>
              <w:sdtPr>
                <w:tag w:val="_PLD_4c41187d18a94eb4908c030c31b5a141"/>
                <w:id w:val="6775150"/>
                <w:lock w:val="sdtLocked"/>
              </w:sdtPr>
              <w:sdtContent>
                <w:tc>
                  <w:tcPr>
                    <w:tcW w:w="1559" w:type="dxa"/>
                    <w:shd w:val="clear" w:color="auto" w:fill="auto"/>
                    <w:vAlign w:val="center"/>
                  </w:tcPr>
                  <w:p>
                    <w:pPr>
                      <w:jc w:val="center"/>
                      <w:rPr>
                        <w:szCs w:val="21"/>
                      </w:rPr>
                    </w:pPr>
                    <w:r>
                      <w:rPr>
                        <w:rFonts w:hint="eastAsia"/>
                        <w:szCs w:val="21"/>
                      </w:rPr>
                      <w:t>期初余额</w:t>
                    </w:r>
                  </w:p>
                </w:tc>
              </w:sdtContent>
            </w:sdt>
            <w:sdt>
              <w:sdtPr>
                <w:tag w:val="_PLD_7823db68b61845e58a185dffbbfd2804"/>
                <w:id w:val="6775151"/>
                <w:lock w:val="sdtLocked"/>
              </w:sdtPr>
              <w:sdtContent>
                <w:tc>
                  <w:tcPr>
                    <w:tcW w:w="1419" w:type="dxa"/>
                    <w:shd w:val="clear" w:color="auto" w:fill="auto"/>
                    <w:vAlign w:val="center"/>
                  </w:tcPr>
                  <w:p>
                    <w:pPr>
                      <w:jc w:val="center"/>
                      <w:rPr>
                        <w:szCs w:val="21"/>
                      </w:rPr>
                    </w:pPr>
                    <w:r>
                      <w:rPr>
                        <w:rFonts w:hint="eastAsia"/>
                        <w:szCs w:val="21"/>
                      </w:rPr>
                      <w:t>本期增加</w:t>
                    </w:r>
                  </w:p>
                </w:tc>
              </w:sdtContent>
            </w:sdt>
            <w:sdt>
              <w:sdtPr>
                <w:tag w:val="_PLD_53b43bfd28984007852c2e00c870c71e"/>
                <w:id w:val="6775152"/>
                <w:lock w:val="sdtLocked"/>
              </w:sdtPr>
              <w:sdtContent>
                <w:tc>
                  <w:tcPr>
                    <w:tcW w:w="1418" w:type="dxa"/>
                    <w:shd w:val="clear" w:color="auto" w:fill="auto"/>
                    <w:vAlign w:val="center"/>
                  </w:tcPr>
                  <w:p>
                    <w:pPr>
                      <w:jc w:val="center"/>
                      <w:rPr>
                        <w:szCs w:val="21"/>
                      </w:rPr>
                    </w:pPr>
                    <w:r>
                      <w:rPr>
                        <w:rFonts w:hint="eastAsia"/>
                        <w:szCs w:val="21"/>
                      </w:rPr>
                      <w:t>本期减少</w:t>
                    </w:r>
                  </w:p>
                </w:tc>
              </w:sdtContent>
            </w:sdt>
            <w:sdt>
              <w:sdtPr>
                <w:tag w:val="_PLD_f07e96209c8b4d728b2a1b24ad38bcf7"/>
                <w:id w:val="6775153"/>
                <w:lock w:val="sdtLocked"/>
              </w:sdtPr>
              <w:sdtContent>
                <w:tc>
                  <w:tcPr>
                    <w:tcW w:w="1426" w:type="dxa"/>
                    <w:shd w:val="clear" w:color="auto" w:fill="auto"/>
                    <w:vAlign w:val="center"/>
                  </w:tcPr>
                  <w:p>
                    <w:pPr>
                      <w:jc w:val="center"/>
                      <w:rPr>
                        <w:szCs w:val="21"/>
                      </w:rPr>
                    </w:pPr>
                    <w:r>
                      <w:rPr>
                        <w:rFonts w:hint="eastAsia"/>
                        <w:szCs w:val="21"/>
                      </w:rPr>
                      <w:t>期末余额</w:t>
                    </w:r>
                  </w:p>
                </w:tc>
              </w:sdtContent>
            </w:sdt>
            <w:sdt>
              <w:sdtPr>
                <w:tag w:val="_PLD_86dc51c05b1340c5968feded0e64c1f1"/>
                <w:id w:val="6775154"/>
                <w:lock w:val="sdtLocked"/>
              </w:sdtPr>
              <w:sdtContent>
                <w:tc>
                  <w:tcPr>
                    <w:tcW w:w="2259" w:type="dxa"/>
                    <w:shd w:val="clear" w:color="auto" w:fill="auto"/>
                    <w:vAlign w:val="center"/>
                  </w:tcPr>
                  <w:p>
                    <w:pPr>
                      <w:jc w:val="center"/>
                      <w:rPr>
                        <w:szCs w:val="21"/>
                      </w:rPr>
                    </w:pPr>
                    <w:r>
                      <w:rPr>
                        <w:rFonts w:hint="eastAsia"/>
                        <w:szCs w:val="21"/>
                      </w:rPr>
                      <w:t>形成原因</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8dc45c68aab84586a2df4b6838458b87"/>
                <w:id w:val="6775155"/>
                <w:lock w:val="sdtLocked"/>
              </w:sdtPr>
              <w:sdtContent>
                <w:tc>
                  <w:tcPr>
                    <w:tcW w:w="1022" w:type="dxa"/>
                    <w:shd w:val="clear" w:color="auto" w:fill="auto"/>
                    <w:vAlign w:val="center"/>
                  </w:tcPr>
                  <w:p>
                    <w:pPr>
                      <w:rPr>
                        <w:szCs w:val="21"/>
                      </w:rPr>
                    </w:pPr>
                    <w:r>
                      <w:rPr>
                        <w:rFonts w:hint="eastAsia"/>
                        <w:szCs w:val="21"/>
                      </w:rPr>
                      <w:t>政府补助</w:t>
                    </w:r>
                  </w:p>
                </w:tc>
              </w:sdtContent>
            </w:sdt>
            <w:tc>
              <w:tcPr>
                <w:tcW w:w="1559" w:type="dxa"/>
                <w:shd w:val="clear" w:color="auto" w:fill="auto"/>
              </w:tcPr>
              <w:p>
                <w:pPr>
                  <w:jc w:val="right"/>
                  <w:rPr>
                    <w:szCs w:val="21"/>
                  </w:rPr>
                </w:pPr>
                <w:r>
                  <w:t>79,949,845.21</w:t>
                </w:r>
              </w:p>
            </w:tc>
            <w:tc>
              <w:tcPr>
                <w:tcW w:w="1419" w:type="dxa"/>
                <w:shd w:val="clear" w:color="auto" w:fill="auto"/>
              </w:tcPr>
              <w:p>
                <w:pPr>
                  <w:jc w:val="right"/>
                  <w:rPr>
                    <w:szCs w:val="21"/>
                  </w:rPr>
                </w:pPr>
                <w:r>
                  <w:t>2,880,000.00</w:t>
                </w:r>
              </w:p>
            </w:tc>
            <w:tc>
              <w:tcPr>
                <w:tcW w:w="1418" w:type="dxa"/>
                <w:shd w:val="clear" w:color="auto" w:fill="auto"/>
              </w:tcPr>
              <w:p>
                <w:pPr>
                  <w:jc w:val="right"/>
                  <w:rPr>
                    <w:szCs w:val="21"/>
                  </w:rPr>
                </w:pPr>
                <w:r>
                  <w:t>6,391,737.60</w:t>
                </w:r>
              </w:p>
            </w:tc>
            <w:tc>
              <w:tcPr>
                <w:tcW w:w="1426" w:type="dxa"/>
                <w:shd w:val="clear" w:color="auto" w:fill="auto"/>
              </w:tcPr>
              <w:p>
                <w:pPr>
                  <w:jc w:val="right"/>
                  <w:rPr>
                    <w:szCs w:val="21"/>
                  </w:rPr>
                </w:pPr>
                <w:r>
                  <w:t>76,438,107.61</w:t>
                </w:r>
              </w:p>
            </w:tc>
            <w:tc>
              <w:tcPr>
                <w:tcW w:w="2259" w:type="dxa"/>
                <w:shd w:val="clear" w:color="auto" w:fill="auto"/>
              </w:tcPr>
              <w:p>
                <w:pPr>
                  <w:rPr>
                    <w:szCs w:val="21"/>
                  </w:rPr>
                </w:pPr>
                <w:r>
                  <w:rPr>
                    <w:rFonts w:hint="eastAsia"/>
                    <w:szCs w:val="21"/>
                  </w:rPr>
                  <w:t>与资产相关的政府补助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ae092bfcbb914e4ea850ab4195c0f4b9"/>
                <w:id w:val="6775156"/>
                <w:lock w:val="sdtLocked"/>
              </w:sdtPr>
              <w:sdtContent>
                <w:tc>
                  <w:tcPr>
                    <w:tcW w:w="1022" w:type="dxa"/>
                    <w:shd w:val="clear" w:color="auto" w:fill="auto"/>
                    <w:vAlign w:val="center"/>
                  </w:tcPr>
                  <w:p>
                    <w:pPr>
                      <w:jc w:val="center"/>
                      <w:rPr>
                        <w:szCs w:val="21"/>
                      </w:rPr>
                    </w:pPr>
                    <w:r>
                      <w:rPr>
                        <w:rFonts w:hint="eastAsia"/>
                        <w:szCs w:val="21"/>
                      </w:rPr>
                      <w:t>合计</w:t>
                    </w:r>
                  </w:p>
                </w:tc>
              </w:sdtContent>
            </w:sdt>
            <w:tc>
              <w:tcPr>
                <w:tcW w:w="1559" w:type="dxa"/>
                <w:shd w:val="clear" w:color="auto" w:fill="auto"/>
              </w:tcPr>
              <w:p>
                <w:pPr>
                  <w:jc w:val="right"/>
                  <w:rPr>
                    <w:szCs w:val="21"/>
                  </w:rPr>
                </w:pPr>
                <w:r>
                  <w:t>79,949,845.21</w:t>
                </w:r>
              </w:p>
            </w:tc>
            <w:tc>
              <w:tcPr>
                <w:tcW w:w="1419" w:type="dxa"/>
                <w:shd w:val="clear" w:color="auto" w:fill="auto"/>
              </w:tcPr>
              <w:p>
                <w:pPr>
                  <w:jc w:val="right"/>
                  <w:rPr>
                    <w:szCs w:val="21"/>
                  </w:rPr>
                </w:pPr>
                <w:r>
                  <w:t>2,880,000.00</w:t>
                </w:r>
              </w:p>
            </w:tc>
            <w:tc>
              <w:tcPr>
                <w:tcW w:w="1418" w:type="dxa"/>
                <w:shd w:val="clear" w:color="auto" w:fill="auto"/>
              </w:tcPr>
              <w:p>
                <w:pPr>
                  <w:jc w:val="right"/>
                  <w:rPr>
                    <w:szCs w:val="21"/>
                  </w:rPr>
                </w:pPr>
                <w:r>
                  <w:t>6,391,737.60</w:t>
                </w:r>
              </w:p>
            </w:tc>
            <w:tc>
              <w:tcPr>
                <w:tcW w:w="1426" w:type="dxa"/>
                <w:shd w:val="clear" w:color="auto" w:fill="auto"/>
              </w:tcPr>
              <w:p>
                <w:pPr>
                  <w:jc w:val="right"/>
                  <w:rPr>
                    <w:szCs w:val="21"/>
                  </w:rPr>
                </w:pPr>
                <w:r>
                  <w:t>76,438,107.61</w:t>
                </w:r>
              </w:p>
            </w:tc>
            <w:tc>
              <w:tcPr>
                <w:tcW w:w="2259" w:type="dxa"/>
                <w:shd w:val="clear" w:color="auto" w:fill="auto"/>
              </w:tcPr>
              <w:p>
                <w:pPr>
                  <w:jc w:val="center"/>
                  <w:rPr>
                    <w:szCs w:val="21"/>
                  </w:rPr>
                </w:pPr>
                <w:r>
                  <w:rPr>
                    <w:rFonts w:hint="eastAsia"/>
                    <w:szCs w:val="21"/>
                  </w:rPr>
                  <w:t>/</w:t>
                </w:r>
              </w:p>
            </w:tc>
          </w:tr>
        </w:tbl>
        <w:p/>
      </w:sdtContent>
    </w:sdt>
    <w:p>
      <w:pPr>
        <w:rPr>
          <w:szCs w:val="21"/>
        </w:rPr>
      </w:pPr>
    </w:p>
    <w:sdt>
      <w:sdtPr>
        <w:rPr>
          <w:rFonts w:hint="eastAsia"/>
          <w:szCs w:val="21"/>
        </w:rPr>
        <w:alias w:val="模块:涉及政府补助的负债项目"/>
        <w:tag w:val="_SEC_8d3befcc5cef4618a8781744946ac9ad"/>
        <w:id w:val="6775192"/>
        <w:lock w:val="sdtLocked"/>
        <w:placeholder>
          <w:docPart w:val="GBC22222222222222222222222222222"/>
        </w:placeholder>
      </w:sdtPr>
      <w:sdtEndPr>
        <w:rPr>
          <w:rFonts w:hint="eastAsia"/>
          <w:szCs w:val="24"/>
        </w:rPr>
      </w:sdtEndPr>
      <w:sdtContent>
        <w:p>
          <w:pPr>
            <w:spacing w:before="60" w:after="60"/>
            <w:rPr>
              <w:szCs w:val="21"/>
            </w:rPr>
          </w:pPr>
          <w:r>
            <w:rPr>
              <w:rFonts w:hint="eastAsia"/>
              <w:szCs w:val="21"/>
            </w:rPr>
            <w:t>涉及政府补助的项目：</w:t>
          </w:r>
        </w:p>
        <w:sdt>
          <w:sdtPr>
            <w:rPr>
              <w:szCs w:val="21"/>
            </w:rPr>
            <w:alias w:val="是否适用：涉及政府补助的项目_递延收益[双击切换]"/>
            <w:tag w:val="_GBC_feac278b5163472d8d82d1371d429354"/>
            <w:id w:val="6775158"/>
            <w:lock w:val="sdtContentLocked"/>
            <w:placeholder>
              <w:docPart w:val="GBC22222222222222222222222222222"/>
            </w:placeholder>
          </w:sdtPr>
          <w:sdtEndPr>
            <w:rPr>
              <w:szCs w:val="21"/>
            </w:rPr>
          </w:sdtEndPr>
          <w:sdtContent>
            <w:p>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spacing w:before="60" w:after="60"/>
            <w:jc w:val="right"/>
            <w:rPr>
              <w:szCs w:val="21"/>
            </w:rPr>
          </w:pPr>
          <w:r>
            <w:rPr>
              <w:rFonts w:hint="eastAsia"/>
              <w:szCs w:val="21"/>
            </w:rPr>
            <w:t>单位：</w:t>
          </w:r>
          <w:sdt>
            <w:sdtPr>
              <w:rPr>
                <w:rFonts w:hint="eastAsia"/>
                <w:szCs w:val="21"/>
              </w:rPr>
              <w:alias w:val="单位：财务附注：涉及政府补助的负债项目"/>
              <w:tag w:val="_GBC_433d268782694a7abe28e55e16022277"/>
              <w:id w:val="677515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2dcc2f407f4247dbb48491588947d724"/>
              <w:id w:val="67751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10197" w:type="dxa"/>
            <w:jc w:val="center"/>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234"/>
            <w:gridCol w:w="1134"/>
            <w:gridCol w:w="1134"/>
            <w:gridCol w:w="1048"/>
            <w:gridCol w:w="1220"/>
            <w:gridCol w:w="1191"/>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sdt>
              <w:sdtPr>
                <w:rPr>
                  <w:sz w:val="18"/>
                  <w:szCs w:val="18"/>
                </w:rPr>
                <w:tag w:val="_PLD_32eff034d92d4cfdac78650437120e87"/>
                <w:id w:val="6775161"/>
                <w:lock w:val="sdtLocked"/>
              </w:sdtPr>
              <w:sdtEndPr>
                <w:rPr>
                  <w:sz w:val="18"/>
                  <w:szCs w:val="18"/>
                </w:rPr>
              </w:sdtEndPr>
              <w:sdtContent>
                <w:tc>
                  <w:tcPr>
                    <w:tcW w:w="32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负债项目</w:t>
                    </w:r>
                  </w:p>
                </w:tc>
              </w:sdtContent>
            </w:sdt>
            <w:sdt>
              <w:sdtPr>
                <w:rPr>
                  <w:sz w:val="18"/>
                  <w:szCs w:val="18"/>
                </w:rPr>
                <w:tag w:val="_PLD_6b8b04d30cad4566aa98e48a212cd018"/>
                <w:id w:val="6775162"/>
                <w:lock w:val="sdtLocked"/>
              </w:sdtPr>
              <w:sdtEndPr>
                <w:rPr>
                  <w:sz w:val="18"/>
                  <w:szCs w:val="18"/>
                </w:rPr>
              </w:sdtEndPr>
              <w:sdtContent>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期初余额</w:t>
                    </w:r>
                  </w:p>
                </w:tc>
              </w:sdtContent>
            </w:sdt>
            <w:sdt>
              <w:sdtPr>
                <w:rPr>
                  <w:sz w:val="18"/>
                  <w:szCs w:val="18"/>
                </w:rPr>
                <w:tag w:val="_PLD_e3f7db3d344d46f3a8ac40a6c0f54b04"/>
                <w:id w:val="6775163"/>
                <w:lock w:val="sdtLocked"/>
              </w:sdtPr>
              <w:sdtEndPr>
                <w:rPr>
                  <w:sz w:val="18"/>
                  <w:szCs w:val="18"/>
                </w:rPr>
              </w:sdtEndPr>
              <w:sdtContent>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本期新增补助金额</w:t>
                    </w:r>
                  </w:p>
                </w:tc>
              </w:sdtContent>
            </w:sdt>
            <w:sdt>
              <w:sdtPr>
                <w:rPr>
                  <w:sz w:val="18"/>
                  <w:szCs w:val="18"/>
                </w:rPr>
                <w:tag w:val="_PLD_e0684930f8044d8fb633a5b3b2b7015f"/>
                <w:id w:val="6775164"/>
                <w:lock w:val="sdtLocked"/>
              </w:sdtPr>
              <w:sdtEndPr>
                <w:rPr>
                  <w:sz w:val="18"/>
                  <w:szCs w:val="18"/>
                </w:rPr>
              </w:sdtEndPr>
              <w:sdtContent>
                <w:tc>
                  <w:tcPr>
                    <w:tcW w:w="104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本期计入</w:t>
                    </w:r>
                    <w:r>
                      <w:rPr>
                        <w:rFonts w:hint="eastAsia"/>
                        <w:sz w:val="18"/>
                        <w:szCs w:val="18"/>
                      </w:rPr>
                      <w:t>其他收益</w:t>
                    </w:r>
                    <w:r>
                      <w:rPr>
                        <w:sz w:val="18"/>
                        <w:szCs w:val="18"/>
                      </w:rPr>
                      <w:t>金额</w:t>
                    </w:r>
                  </w:p>
                </w:tc>
              </w:sdtContent>
            </w:sdt>
            <w:sdt>
              <w:sdtPr>
                <w:rPr>
                  <w:sz w:val="18"/>
                  <w:szCs w:val="18"/>
                </w:rPr>
                <w:tag w:val="_PLD_61a1de166e8e440b8f858efc3615c33f"/>
                <w:id w:val="6775165"/>
                <w:lock w:val="sdtLocked"/>
              </w:sdtPr>
              <w:sdtEndPr>
                <w:rPr>
                  <w:sz w:val="18"/>
                  <w:szCs w:val="18"/>
                </w:rPr>
              </w:sdtEndPr>
              <w:sdtContent>
                <w:tc>
                  <w:tcPr>
                    <w:tcW w:w="122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其他变动</w:t>
                    </w:r>
                  </w:p>
                </w:tc>
              </w:sdtContent>
            </w:sdt>
            <w:sdt>
              <w:sdtPr>
                <w:rPr>
                  <w:sz w:val="18"/>
                  <w:szCs w:val="18"/>
                </w:rPr>
                <w:tag w:val="_PLD_5e7663577b4c4e42aabbd04ac10ecfbb"/>
                <w:id w:val="6775166"/>
                <w:lock w:val="sdtLocked"/>
              </w:sdtPr>
              <w:sdtEndPr>
                <w:rPr>
                  <w:sz w:val="18"/>
                  <w:szCs w:val="18"/>
                </w:rPr>
              </w:sdtEndPr>
              <w:sdtContent>
                <w:tc>
                  <w:tcPr>
                    <w:tcW w:w="119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期末余额</w:t>
                    </w:r>
                  </w:p>
                </w:tc>
              </w:sdtContent>
            </w:sdt>
            <w:sdt>
              <w:sdtPr>
                <w:rPr>
                  <w:sz w:val="18"/>
                  <w:szCs w:val="18"/>
                </w:rPr>
                <w:tag w:val="_PLD_b3abd7b748b949d4b39849146d1b03f2"/>
                <w:id w:val="6775167"/>
                <w:lock w:val="sdtLocked"/>
              </w:sdtPr>
              <w:sdtEndPr>
                <w:rPr>
                  <w:sz w:val="18"/>
                  <w:szCs w:val="18"/>
                </w:rPr>
              </w:sdtEndPr>
              <w:sdtContent>
                <w:tc>
                  <w:tcPr>
                    <w:tcW w:w="123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与资产相关/与收益相关</w:t>
                    </w:r>
                  </w:p>
                </w:tc>
              </w:sdtContent>
            </w:sdt>
          </w:tr>
          <w:sdt>
            <w:sdtPr>
              <w:rPr>
                <w:sz w:val="18"/>
                <w:szCs w:val="18"/>
              </w:rPr>
              <w:alias w:val="涉及政府补助的负债项目明细"/>
              <w:tag w:val="_TUP_18b74354bae84fc8af0f06e77d03f295"/>
              <w:id w:val="677516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三焦加煤、推焦除尘地面站改造工程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4,355,728.59</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197,987.64</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4,157,740.95</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6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焦化干熄焦节能改造工程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3,774,192.41</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637,891.68</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3,136,300.73</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7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3#、4#干熄焦节能改造工程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4,768,886.39</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539,874.00</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4,229,012.39</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7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160吨/小时干熄焦节能改造工程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3,483,844.27</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440,064.48</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3,043,779.79</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7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焦炉煤气氨气回收综合利用工程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1,622,797.80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181,995.96</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1,440,801.84</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7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110M2、265M2烧结机头烟气脱硫工程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2,699,110.69</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337,388.88</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2,361,721.81</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7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1#烧结机（360M2烧结机）技术改造工程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3,261,322.05</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536,107.68</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2,725,214.37</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7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第二高速线材技术改造工程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2,778,958.15</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330,173.28</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2,448,784.87</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7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合金棒材生产线技术改造(三棒）工程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1,659,292.09</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199,115.04</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1,460,177.05</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7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150T转炉节能技术改造工程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1,687,657.27</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266,472.24</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1,421,185.03</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7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2*360M2烧结机头烟气脱硫工程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16,102,499.90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1,431,333.36</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14,671,166.54</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7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焦化全干熄焦配套完善工程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1,466,666.72</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133,333.32</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1,333,333.40</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8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棒线厂第四棒材生产线技术改造工程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1,791,666.70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166,666.68</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1,625,000.02</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8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焦化230万吨/年煤调湿工程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9,386,111.04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726,666.72</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8,659,444.32</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8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球团烟气脱硫技术改造工程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3,711,111.14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266,666.64</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3,444,444.50</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8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焦化废水深度处理工程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800,000.00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800,000.00</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8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120万吨氧化球团电除尘改造</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900,000.00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900,000.00</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8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256㎡烧结机尾电除尘器升级改造</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350,000.00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350,000.00</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8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炼铁厂三运焦区域物料转运场扬尘治理</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230,000.00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230,000.00</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8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东部老喷煤系统除尘改造</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120,000.00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120,000.00</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8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转炉烟气除尘技术改造（一期）</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15,000,000.00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15,000,000.00</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8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炼铁厂AV71鼓风机脱失鼓风改造</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2,000,000.00</w:t>
                    </w: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2,000,000.00</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sz w:val="18"/>
                <w:szCs w:val="18"/>
              </w:rPr>
              <w:alias w:val="涉及政府补助的负债项目明细"/>
              <w:tag w:val="_TUP_18b74354bae84fc8af0f06e77d03f295"/>
              <w:id w:val="677519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焦化废水生化处理系统升级改造工程</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880,000.00</w:t>
                    </w: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880,000.00</w:t>
                    </w:r>
                  </w:p>
                </w:tc>
                <w:tc>
                  <w:tcPr>
                    <w:tcW w:w="1236"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80" w:hRule="atLeast"/>
              <w:jc w:val="center"/>
            </w:trPr>
            <w:sdt>
              <w:sdtPr>
                <w:rPr>
                  <w:sz w:val="18"/>
                  <w:szCs w:val="18"/>
                </w:rPr>
                <w:tag w:val="_PLD_e2c84f4965364af3a335198f249d3f46"/>
                <w:id w:val="6775191"/>
                <w:lock w:val="sdtLocked"/>
              </w:sdtPr>
              <w:sdtEndPr>
                <w:rPr>
                  <w:sz w:val="18"/>
                  <w:szCs w:val="18"/>
                </w:rPr>
              </w:sdtEndPr>
              <w:sdtContent>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合计</w:t>
                    </w:r>
                  </w:p>
                </w:tc>
              </w:sdtContent>
            </w:sdt>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79,949,845.21</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2,880,000.00</w:t>
                </w:r>
              </w:p>
            </w:tc>
            <w:tc>
              <w:tcPr>
                <w:tcW w:w="1048"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6,391,737.60</w:t>
                </w:r>
              </w:p>
            </w:tc>
            <w:tc>
              <w:tcPr>
                <w:tcW w:w="1220"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76,438,107.61</w:t>
                </w:r>
              </w:p>
            </w:tc>
            <w:tc>
              <w:tcPr>
                <w:tcW w:w="1236"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w:t>
                </w:r>
              </w:p>
            </w:tc>
          </w:tr>
        </w:tbl>
        <w:p/>
      </w:sdtContent>
    </w:sdt>
    <w:p>
      <w:pPr>
        <w:pStyle w:val="53"/>
        <w:ind w:left="704" w:firstLine="0" w:firstLineChars="0"/>
        <w:rPr>
          <w:rFonts w:ascii="宋体" w:hAnsi="宋体"/>
          <w:szCs w:val="21"/>
        </w:rPr>
      </w:pPr>
    </w:p>
    <w:sdt>
      <w:sdtPr>
        <w:rPr>
          <w:rFonts w:hint="eastAsia"/>
          <w:szCs w:val="21"/>
        </w:rPr>
        <w:alias w:val="模块:递延收益其他说明"/>
        <w:tag w:val="_SEC_7cd38d14438443479401d71c7f066fdf"/>
        <w:id w:val="6775195"/>
        <w:lock w:val="sdtLocked"/>
        <w:placeholder>
          <w:docPart w:val="GBC22222222222222222222222222222"/>
        </w:placeholder>
      </w:sdtPr>
      <w:sdtEndPr>
        <w:rPr>
          <w:rFonts w:hint="default"/>
          <w:szCs w:val="21"/>
        </w:rPr>
      </w:sdtEndPr>
      <w:sdtContent>
        <w:p>
          <w:pPr>
            <w:spacing w:before="60" w:after="60"/>
            <w:rPr>
              <w:szCs w:val="21"/>
            </w:rPr>
          </w:pPr>
          <w:bookmarkStart w:id="78" w:name="OLE_LINK84"/>
          <w:bookmarkStart w:id="79" w:name="OLE_LINK85"/>
          <w:r>
            <w:rPr>
              <w:rFonts w:hint="eastAsia"/>
              <w:szCs w:val="21"/>
            </w:rPr>
            <w:t>其他说明：</w:t>
          </w:r>
        </w:p>
        <w:sdt>
          <w:sdtPr>
            <w:rPr>
              <w:szCs w:val="21"/>
            </w:rPr>
            <w:alias w:val="是否适用：递延收益的其他说明[双击切换]"/>
            <w:tag w:val="_GBC_0c28db54a76349869056f2b92b5d9400"/>
            <w:id w:val="6775193"/>
            <w:lock w:val="sdtContentLocked"/>
            <w:placeholder>
              <w:docPart w:val="GBC22222222222222222222222222222"/>
            </w:placeholder>
          </w:sdtPr>
          <w:sdtEndPr>
            <w:rPr>
              <w:szCs w:val="21"/>
            </w:rPr>
          </w:sdtEndPr>
          <w:sdtContent>
            <w:p>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递延收益的其他说明"/>
            <w:tag w:val="_GBC_032268b156254a52ab5d507bf377f9f4"/>
            <w:id w:val="6775194"/>
            <w:lock w:val="sdtLocked"/>
            <w:showingPlcHdr/>
          </w:sdtPr>
          <w:sdtEndPr>
            <w:rPr>
              <w:szCs w:val="21"/>
            </w:rPr>
          </w:sdtEndPr>
          <w:sdtContent>
            <w:p>
              <w:pPr>
                <w:rPr>
                  <w:szCs w:val="21"/>
                </w:rPr>
              </w:pPr>
              <w:r>
                <w:rPr>
                  <w:rFonts w:hint="eastAsia"/>
                  <w:color w:val="0000FF"/>
                  <w:szCs w:val="21"/>
                  <w:u w:val="single"/>
                </w:rPr>
                <w:t>　　　</w:t>
              </w:r>
            </w:p>
          </w:sdtContent>
        </w:sdt>
        <w:p>
          <w:pPr>
            <w:spacing w:before="60" w:after="60"/>
            <w:rPr>
              <w:szCs w:val="21"/>
            </w:rPr>
          </w:pPr>
        </w:p>
      </w:sdtContent>
    </w:sdt>
    <w:bookmarkEnd w:id="78"/>
    <w:bookmarkEnd w:id="79"/>
    <w:p>
      <w:pPr>
        <w:snapToGrid w:val="0"/>
        <w:spacing w:line="240" w:lineRule="atLeast"/>
        <w:rPr>
          <w:szCs w:val="21"/>
        </w:rPr>
      </w:pPr>
    </w:p>
    <w:sdt>
      <w:sdtPr>
        <w:rPr>
          <w:rFonts w:hint="eastAsia" w:ascii="宋体" w:hAnsi="宋体" w:cs="宋体"/>
          <w:b w:val="0"/>
          <w:bCs w:val="0"/>
          <w:kern w:val="0"/>
          <w:szCs w:val="21"/>
        </w:rPr>
        <w:alias w:val="模块:其他非流动负债"/>
        <w:tag w:val="_SEC_e6f817e4d74a4d95acbb17b048314a10"/>
        <w:id w:val="6775197"/>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其他非流动负债</w:t>
          </w:r>
        </w:p>
        <w:sdt>
          <w:sdtPr>
            <w:alias w:val="是否适用：其他非流动负债[双击切换]"/>
            <w:tag w:val="_GBC_fff5958d23de44c78e3365ba931c6b58"/>
            <w:id w:val="677519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p>
      <w:pPr>
        <w:rPr>
          <w:szCs w:val="21"/>
        </w:rPr>
      </w:pPr>
    </w:p>
    <w:sdt>
      <w:sdtPr>
        <w:rPr>
          <w:rFonts w:hint="eastAsia" w:ascii="宋体" w:hAnsi="宋体" w:cs="宋体"/>
          <w:b w:val="0"/>
          <w:bCs w:val="0"/>
          <w:kern w:val="0"/>
          <w:szCs w:val="21"/>
        </w:rPr>
        <w:alias w:val="模块:股本"/>
        <w:tag w:val="_SEC_8a6ae55fcdf4458585bca7ece234d93f"/>
        <w:id w:val="6775211"/>
        <w:lock w:val="sdtLocked"/>
        <w:placeholder>
          <w:docPart w:val="GBC22222222222222222222222222222"/>
        </w:placeholder>
      </w:sdtPr>
      <w:sdtEndPr>
        <w:rPr>
          <w:rFonts w:hint="default" w:ascii="宋体" w:hAnsi="宋体" w:cstheme="minorBidi"/>
          <w:b w:val="0"/>
          <w:bCs w:val="0"/>
          <w:color w:val="000000" w:themeColor="text1"/>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股本</w:t>
          </w:r>
        </w:p>
        <w:sdt>
          <w:sdtPr>
            <w:alias w:val="是否适用：股本[双击切换]"/>
            <w:tag w:val="_GBC_a2069fb3657946ee9810a9154eb11422"/>
            <w:id w:val="677519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股本"/>
              <w:tag w:val="_GBC_e2cacf7f2d9f4ad78dce53a3e345569e"/>
              <w:id w:val="677519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67752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2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896"/>
            <w:gridCol w:w="813"/>
            <w:gridCol w:w="814"/>
            <w:gridCol w:w="886"/>
            <w:gridCol w:w="900"/>
            <w:gridCol w:w="873"/>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147" w:type="dxa"/>
                <w:vMerge w:val="restart"/>
                <w:tcBorders>
                  <w:top w:val="single" w:color="auto" w:sz="4" w:space="0"/>
                  <w:left w:val="single" w:color="auto" w:sz="4" w:space="0"/>
                  <w:bottom w:val="single" w:color="auto" w:sz="4" w:space="0"/>
                  <w:right w:val="single" w:color="auto" w:sz="4" w:space="0"/>
                </w:tcBorders>
              </w:tcPr>
              <w:p>
                <w:pPr>
                  <w:jc w:val="center"/>
                  <w:rPr>
                    <w:szCs w:val="21"/>
                  </w:rPr>
                </w:pPr>
              </w:p>
            </w:tc>
            <w:sdt>
              <w:sdtPr>
                <w:tag w:val="_PLD_fd63a619db16496bad52eeb145839158"/>
                <w:id w:val="6775201"/>
                <w:lock w:val="sdtLocked"/>
              </w:sdtPr>
              <w:sdtContent>
                <w:tc>
                  <w:tcPr>
                    <w:tcW w:w="1896"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期初余额</w:t>
                    </w:r>
                  </w:p>
                </w:tc>
              </w:sdtContent>
            </w:sdt>
            <w:sdt>
              <w:sdtPr>
                <w:tag w:val="_PLD_2cb33d9d8b0d47539581498c039e86aa"/>
                <w:id w:val="6775202"/>
                <w:lock w:val="sdtLocked"/>
              </w:sdtPr>
              <w:sdtContent>
                <w:tc>
                  <w:tcPr>
                    <w:tcW w:w="4286"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本次变动增减（+、一）</w:t>
                    </w:r>
                  </w:p>
                </w:tc>
              </w:sdtContent>
            </w:sdt>
            <w:sdt>
              <w:sdtPr>
                <w:tag w:val="_PLD_e579078cb28f47a09273701ab9e2e37a"/>
                <w:id w:val="6775203"/>
                <w:lock w:val="sdtLocked"/>
              </w:sdtPr>
              <w:sdtContent>
                <w:tc>
                  <w:tcPr>
                    <w:tcW w:w="1896"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147" w:type="dxa"/>
                <w:vMerge w:val="continue"/>
                <w:tcBorders>
                  <w:top w:val="single" w:color="auto" w:sz="4" w:space="0"/>
                  <w:left w:val="single" w:color="auto" w:sz="4" w:space="0"/>
                  <w:bottom w:val="single" w:color="auto" w:sz="4" w:space="0"/>
                  <w:right w:val="single" w:color="auto" w:sz="4" w:space="0"/>
                </w:tcBorders>
              </w:tcPr>
              <w:p>
                <w:pPr>
                  <w:rPr>
                    <w:szCs w:val="21"/>
                  </w:rPr>
                </w:pPr>
              </w:p>
            </w:tc>
            <w:tc>
              <w:tcPr>
                <w:tcW w:w="1896" w:type="dxa"/>
                <w:vMerge w:val="continue"/>
                <w:tcBorders>
                  <w:left w:val="single" w:color="auto" w:sz="4" w:space="0"/>
                  <w:bottom w:val="single" w:color="auto" w:sz="4" w:space="0"/>
                  <w:right w:val="single" w:color="auto" w:sz="4" w:space="0"/>
                </w:tcBorders>
              </w:tcPr>
              <w:p>
                <w:pPr>
                  <w:ind w:left="-250" w:leftChars="-119" w:firstLine="249" w:firstLineChars="119"/>
                  <w:rPr>
                    <w:szCs w:val="21"/>
                  </w:rPr>
                </w:pPr>
              </w:p>
            </w:tc>
            <w:sdt>
              <w:sdtPr>
                <w:tag w:val="_PLD_2f067dcfa40a4e2d896a383f16e2e483"/>
                <w:id w:val="6775204"/>
                <w:lock w:val="sdtLocked"/>
              </w:sdtPr>
              <w:sdtContent>
                <w:tc>
                  <w:tcPr>
                    <w:tcW w:w="8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发行</w:t>
                    </w:r>
                  </w:p>
                  <w:p>
                    <w:pPr>
                      <w:jc w:val="center"/>
                      <w:rPr>
                        <w:szCs w:val="21"/>
                      </w:rPr>
                    </w:pPr>
                    <w:r>
                      <w:rPr>
                        <w:rFonts w:hint="eastAsia"/>
                        <w:szCs w:val="21"/>
                      </w:rPr>
                      <w:t>新股</w:t>
                    </w:r>
                  </w:p>
                </w:tc>
              </w:sdtContent>
            </w:sdt>
            <w:sdt>
              <w:sdtPr>
                <w:tag w:val="_PLD_afc58df66e0343a29873ec3c2270451e"/>
                <w:id w:val="6775205"/>
                <w:lock w:val="sdtLocked"/>
              </w:sdtPr>
              <w:sdtContent>
                <w:tc>
                  <w:tcPr>
                    <w:tcW w:w="81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送股</w:t>
                    </w:r>
                  </w:p>
                </w:tc>
              </w:sdtContent>
            </w:sdt>
            <w:sdt>
              <w:sdtPr>
                <w:tag w:val="_PLD_31d618a387e243239ea8ee139a3a39da"/>
                <w:id w:val="6775206"/>
                <w:lock w:val="sdtLocked"/>
              </w:sdtPr>
              <w:sdtContent>
                <w:tc>
                  <w:tcPr>
                    <w:tcW w:w="88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公积金</w:t>
                    </w:r>
                  </w:p>
                  <w:p>
                    <w:pPr>
                      <w:jc w:val="center"/>
                      <w:rPr>
                        <w:szCs w:val="21"/>
                      </w:rPr>
                    </w:pPr>
                    <w:r>
                      <w:rPr>
                        <w:rFonts w:hint="eastAsia"/>
                        <w:szCs w:val="21"/>
                      </w:rPr>
                      <w:t>转股</w:t>
                    </w:r>
                  </w:p>
                </w:tc>
              </w:sdtContent>
            </w:sdt>
            <w:sdt>
              <w:sdtPr>
                <w:tag w:val="_PLD_12526084dedd4dc68d673c8a71c73862"/>
                <w:id w:val="6775207"/>
                <w:lock w:val="sdtLocked"/>
              </w:sdtPr>
              <w:sdtContent>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其他</w:t>
                    </w:r>
                  </w:p>
                </w:tc>
              </w:sdtContent>
            </w:sdt>
            <w:sdt>
              <w:sdtPr>
                <w:tag w:val="_PLD_fe70bd23af2d4fd680087e555e574f82"/>
                <w:id w:val="6775208"/>
                <w:lock w:val="sdtLocked"/>
              </w:sdtPr>
              <w:sdtContent>
                <w:tc>
                  <w:tcPr>
                    <w:tcW w:w="87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小计</w:t>
                    </w:r>
                  </w:p>
                </w:tc>
              </w:sdtContent>
            </w:sdt>
            <w:tc>
              <w:tcPr>
                <w:tcW w:w="1896" w:type="dxa"/>
                <w:vMerge w:val="continue"/>
                <w:tcBorders>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ca4436c1f88f49e084436422be93cf3e"/>
                <w:id w:val="6775209"/>
                <w:lock w:val="sdtLocked"/>
              </w:sdtPr>
              <w:sdtContent>
                <w:tc>
                  <w:tcPr>
                    <w:tcW w:w="1147"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股份总数</w:t>
                    </w:r>
                  </w:p>
                </w:tc>
              </w:sdtContent>
            </w:sdt>
            <w:tc>
              <w:tcPr>
                <w:tcW w:w="1896" w:type="dxa"/>
                <w:tcBorders>
                  <w:top w:val="single" w:color="auto" w:sz="4" w:space="0"/>
                  <w:left w:val="single" w:color="auto" w:sz="4" w:space="0"/>
                  <w:bottom w:val="single" w:color="auto" w:sz="4" w:space="0"/>
                  <w:right w:val="single" w:color="auto" w:sz="4" w:space="0"/>
                </w:tcBorders>
              </w:tcPr>
              <w:p>
                <w:pPr>
                  <w:jc w:val="right"/>
                  <w:rPr>
                    <w:szCs w:val="21"/>
                  </w:rPr>
                </w:pPr>
                <w:r>
                  <w:t>2,562,793,200</w:t>
                </w:r>
                <w:r>
                  <w:rPr>
                    <w:rFonts w:hint="eastAsia"/>
                  </w:rPr>
                  <w:t>.00</w:t>
                </w:r>
              </w:p>
            </w:tc>
            <w:tc>
              <w:tcPr>
                <w:tcW w:w="813" w:type="dxa"/>
                <w:tcBorders>
                  <w:top w:val="single" w:color="auto" w:sz="4" w:space="0"/>
                  <w:left w:val="single" w:color="auto" w:sz="4" w:space="0"/>
                  <w:bottom w:val="single" w:color="auto" w:sz="4" w:space="0"/>
                  <w:right w:val="single" w:color="auto" w:sz="4" w:space="0"/>
                </w:tcBorders>
              </w:tcPr>
              <w:p>
                <w:pPr>
                  <w:jc w:val="right"/>
                  <w:rPr>
                    <w:szCs w:val="21"/>
                  </w:rPr>
                </w:pPr>
              </w:p>
            </w:tc>
            <w:tc>
              <w:tcPr>
                <w:tcW w:w="814" w:type="dxa"/>
                <w:tcBorders>
                  <w:top w:val="single" w:color="auto" w:sz="4" w:space="0"/>
                  <w:left w:val="single" w:color="auto" w:sz="4" w:space="0"/>
                  <w:bottom w:val="single" w:color="auto" w:sz="4" w:space="0"/>
                  <w:right w:val="single" w:color="auto" w:sz="4" w:space="0"/>
                </w:tcBorders>
              </w:tcPr>
              <w:p>
                <w:pPr>
                  <w:jc w:val="right"/>
                  <w:rPr>
                    <w:szCs w:val="21"/>
                  </w:rPr>
                </w:pPr>
              </w:p>
            </w:tc>
            <w:tc>
              <w:tcPr>
                <w:tcW w:w="886" w:type="dxa"/>
                <w:tcBorders>
                  <w:top w:val="single" w:color="auto" w:sz="4" w:space="0"/>
                  <w:left w:val="single" w:color="auto" w:sz="4" w:space="0"/>
                  <w:bottom w:val="single" w:color="auto" w:sz="4" w:space="0"/>
                  <w:right w:val="single" w:color="auto" w:sz="4" w:space="0"/>
                </w:tcBorders>
              </w:tcPr>
              <w:p>
                <w:pPr>
                  <w:jc w:val="right"/>
                  <w:rPr>
                    <w:szCs w:val="21"/>
                  </w:rPr>
                </w:pPr>
              </w:p>
            </w:tc>
            <w:tc>
              <w:tcPr>
                <w:tcW w:w="900" w:type="dxa"/>
                <w:tcBorders>
                  <w:top w:val="single" w:color="auto" w:sz="4" w:space="0"/>
                  <w:left w:val="single" w:color="auto" w:sz="4" w:space="0"/>
                  <w:bottom w:val="single" w:color="auto" w:sz="4" w:space="0"/>
                  <w:right w:val="single" w:color="auto" w:sz="4" w:space="0"/>
                </w:tcBorders>
              </w:tcPr>
              <w:p>
                <w:pPr>
                  <w:jc w:val="right"/>
                  <w:rPr>
                    <w:szCs w:val="21"/>
                  </w:rPr>
                </w:pPr>
              </w:p>
            </w:tc>
            <w:tc>
              <w:tcPr>
                <w:tcW w:w="873" w:type="dxa"/>
                <w:tcBorders>
                  <w:top w:val="single" w:color="auto" w:sz="4" w:space="0"/>
                  <w:left w:val="single" w:color="auto" w:sz="4" w:space="0"/>
                  <w:bottom w:val="single" w:color="auto" w:sz="4" w:space="0"/>
                  <w:right w:val="single" w:color="auto" w:sz="4" w:space="0"/>
                </w:tcBorders>
              </w:tcPr>
              <w:p>
                <w:pPr>
                  <w:jc w:val="right"/>
                  <w:rPr>
                    <w:szCs w:val="21"/>
                  </w:rPr>
                </w:pPr>
              </w:p>
            </w:tc>
            <w:tc>
              <w:tcPr>
                <w:tcW w:w="1896" w:type="dxa"/>
                <w:tcBorders>
                  <w:top w:val="single" w:color="auto" w:sz="4" w:space="0"/>
                  <w:left w:val="single" w:color="auto" w:sz="4" w:space="0"/>
                  <w:bottom w:val="single" w:color="auto" w:sz="4" w:space="0"/>
                  <w:right w:val="single" w:color="auto" w:sz="4" w:space="0"/>
                </w:tcBorders>
              </w:tcPr>
              <w:p>
                <w:pPr>
                  <w:jc w:val="right"/>
                  <w:rPr>
                    <w:szCs w:val="21"/>
                  </w:rPr>
                </w:pPr>
                <w:r>
                  <w:t>2,562,793,200</w:t>
                </w:r>
                <w:r>
                  <w:rPr>
                    <w:rFonts w:hint="eastAsia"/>
                  </w:rPr>
                  <w:t>.00</w:t>
                </w:r>
              </w:p>
            </w:tc>
          </w:tr>
        </w:tbl>
        <w:p>
          <w:pPr>
            <w:rPr>
              <w:szCs w:val="21"/>
            </w:rPr>
          </w:pPr>
        </w:p>
      </w:sdtContent>
    </w:sdt>
    <w:p>
      <w:pPr>
        <w:rPr>
          <w:szCs w:val="21"/>
        </w:rPr>
      </w:pPr>
    </w:p>
    <w:p>
      <w:pPr>
        <w:pStyle w:val="4"/>
        <w:numPr>
          <w:ilvl w:val="0"/>
          <w:numId w:val="66"/>
        </w:numPr>
        <w:tabs>
          <w:tab w:val="left" w:pos="504"/>
        </w:tabs>
        <w:rPr>
          <w:rFonts w:ascii="宋体" w:hAnsi="宋体"/>
          <w:szCs w:val="21"/>
        </w:rPr>
      </w:pPr>
      <w:r>
        <w:rPr>
          <w:rFonts w:hint="eastAsia" w:ascii="宋体" w:hAnsi="宋体" w:cs="宋体"/>
          <w:bCs w:val="0"/>
          <w:kern w:val="0"/>
          <w:szCs w:val="21"/>
        </w:rPr>
        <w:t>其</w:t>
      </w:r>
      <w:r>
        <w:rPr>
          <w:rFonts w:hint="eastAsia" w:ascii="宋体" w:hAnsi="宋体"/>
          <w:szCs w:val="21"/>
        </w:rPr>
        <w:t>他权益工具</w:t>
      </w:r>
    </w:p>
    <w:sdt>
      <w:sdtPr>
        <w:rPr>
          <w:rFonts w:hint="eastAsia" w:ascii="宋体" w:hAnsi="宋体" w:cs="宋体"/>
          <w:b w:val="0"/>
          <w:bCs w:val="0"/>
          <w:kern w:val="0"/>
          <w:szCs w:val="24"/>
        </w:rPr>
        <w:alias w:val="模块:其他权益工具"/>
        <w:tag w:val="_SEC_23af338445424680b6a2c9fbf691ee76"/>
        <w:id w:val="6775216"/>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91"/>
            </w:numPr>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677521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
          <w:pPr>
            <w:pStyle w:val="5"/>
            <w:numPr>
              <w:ilvl w:val="0"/>
              <w:numId w:val="91"/>
            </w:numPr>
            <w:rPr>
              <w:szCs w:val="21"/>
            </w:rPr>
          </w:pPr>
          <w:r>
            <w:rPr>
              <w:rFonts w:hint="eastAsia"/>
              <w:szCs w:val="21"/>
            </w:rPr>
            <w:t>期末</w:t>
          </w:r>
          <w:r>
            <w:rPr>
              <w:rFonts w:hint="eastAsia"/>
            </w:rPr>
            <w:t>发行</w:t>
          </w:r>
          <w:r>
            <w:rPr>
              <w:rFonts w:hint="eastAsia"/>
              <w:szCs w:val="21"/>
            </w:rPr>
            <w:t>在外的优先股、永续债等金融工具变动情况表</w:t>
          </w:r>
        </w:p>
        <w:sdt>
          <w:sdtPr>
            <w:alias w:val="是否适用：期末发行在外的优先股、永续债等金融工具变动情况表_其他权益工具[双击切换]"/>
            <w:tag w:val="_GBC_894eb45c6bf3473785ba1a45bf437264"/>
            <w:id w:val="6775213"/>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e803942788b34e5092c70a4cbf71f4b5"/>
            <w:id w:val="6775214"/>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p>
          <w:pPr>
            <w:rPr>
              <w:szCs w:val="21"/>
            </w:rPr>
          </w:pPr>
          <w:r>
            <w:rPr>
              <w:rFonts w:hint="eastAsia"/>
              <w:szCs w:val="21"/>
            </w:rPr>
            <w:t>其他说明:</w:t>
          </w:r>
        </w:p>
        <w:sdt>
          <w:sdtPr>
            <w:rPr>
              <w:szCs w:val="21"/>
            </w:rPr>
            <w:alias w:val="是否适用：其他权益工具的其他说明[双击切换]"/>
            <w:tag w:val="_GBC_af2e32ae9c704175a99ebad592dec5f2"/>
            <w:id w:val="6775215"/>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hint="eastAsia" w:ascii="宋体" w:hAnsi="宋体" w:cs="宋体"/>
          <w:b w:val="0"/>
          <w:bCs w:val="0"/>
          <w:kern w:val="0"/>
          <w:szCs w:val="21"/>
        </w:rPr>
        <w:alias w:val="模块:资本公积"/>
        <w:tag w:val="_SEC_39b8590a9e5d496db1d2cf229fd840e9"/>
        <w:id w:val="6775229"/>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资本公积</w:t>
          </w:r>
        </w:p>
        <w:sdt>
          <w:sdtPr>
            <w:alias w:val="是否适用：资本公积[双击切换]"/>
            <w:tag w:val="_GBC_58b0344d8757456787af32396840e233"/>
            <w:id w:val="677521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资本公积"/>
              <w:tag w:val="_GBC_1b11e7474fd44870ad976b16c25b20f4"/>
              <w:id w:val="677521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67752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439"/>
            <w:gridCol w:w="1843"/>
            <w:gridCol w:w="1418"/>
            <w:gridCol w:w="138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b4e0b77813064aeb83afd63c7bafbdab"/>
                <w:id w:val="6775220"/>
                <w:lock w:val="sdtLocked"/>
              </w:sdtPr>
              <w:sdtContent>
                <w:tc>
                  <w:tcPr>
                    <w:tcW w:w="2439" w:type="dxa"/>
                    <w:vAlign w:val="center"/>
                  </w:tcPr>
                  <w:p>
                    <w:pPr>
                      <w:autoSpaceDE w:val="0"/>
                      <w:autoSpaceDN w:val="0"/>
                      <w:adjustRightInd w:val="0"/>
                      <w:snapToGrid w:val="0"/>
                      <w:jc w:val="center"/>
                      <w:rPr>
                        <w:szCs w:val="21"/>
                      </w:rPr>
                    </w:pPr>
                    <w:r>
                      <w:rPr>
                        <w:rFonts w:hint="eastAsia"/>
                        <w:szCs w:val="21"/>
                      </w:rPr>
                      <w:t>项目</w:t>
                    </w:r>
                  </w:p>
                </w:tc>
              </w:sdtContent>
            </w:sdt>
            <w:sdt>
              <w:sdtPr>
                <w:tag w:val="_PLD_2e3387dfd4d8490ca15036edd55f5d7b"/>
                <w:id w:val="6775221"/>
                <w:lock w:val="sdtLocked"/>
              </w:sdtPr>
              <w:sdtContent>
                <w:tc>
                  <w:tcPr>
                    <w:tcW w:w="1843" w:type="dxa"/>
                    <w:vAlign w:val="center"/>
                  </w:tcPr>
                  <w:p>
                    <w:pPr>
                      <w:autoSpaceDE w:val="0"/>
                      <w:autoSpaceDN w:val="0"/>
                      <w:adjustRightInd w:val="0"/>
                      <w:snapToGrid w:val="0"/>
                      <w:jc w:val="center"/>
                      <w:rPr>
                        <w:szCs w:val="21"/>
                      </w:rPr>
                    </w:pPr>
                    <w:r>
                      <w:rPr>
                        <w:rFonts w:hint="eastAsia"/>
                        <w:szCs w:val="21"/>
                      </w:rPr>
                      <w:t>期初余额</w:t>
                    </w:r>
                  </w:p>
                </w:tc>
              </w:sdtContent>
            </w:sdt>
            <w:sdt>
              <w:sdtPr>
                <w:tag w:val="_PLD_48beb7e26e4d4ae4b8c76cfd47809420"/>
                <w:id w:val="6775222"/>
                <w:lock w:val="sdtLocked"/>
              </w:sdtPr>
              <w:sdtContent>
                <w:tc>
                  <w:tcPr>
                    <w:tcW w:w="1418" w:type="dxa"/>
                    <w:vAlign w:val="center"/>
                  </w:tcPr>
                  <w:p>
                    <w:pPr>
                      <w:autoSpaceDE w:val="0"/>
                      <w:autoSpaceDN w:val="0"/>
                      <w:adjustRightInd w:val="0"/>
                      <w:snapToGrid w:val="0"/>
                      <w:jc w:val="center"/>
                      <w:rPr>
                        <w:szCs w:val="21"/>
                      </w:rPr>
                    </w:pPr>
                    <w:r>
                      <w:rPr>
                        <w:rFonts w:hint="eastAsia"/>
                        <w:szCs w:val="21"/>
                      </w:rPr>
                      <w:t>本期增加</w:t>
                    </w:r>
                  </w:p>
                </w:tc>
              </w:sdtContent>
            </w:sdt>
            <w:sdt>
              <w:sdtPr>
                <w:tag w:val="_PLD_146cd5e556074222b88edab30b505382"/>
                <w:id w:val="6775223"/>
                <w:lock w:val="sdtLocked"/>
              </w:sdtPr>
              <w:sdtContent>
                <w:tc>
                  <w:tcPr>
                    <w:tcW w:w="1389" w:type="dxa"/>
                    <w:vAlign w:val="center"/>
                  </w:tcPr>
                  <w:p>
                    <w:pPr>
                      <w:autoSpaceDE w:val="0"/>
                      <w:autoSpaceDN w:val="0"/>
                      <w:adjustRightInd w:val="0"/>
                      <w:snapToGrid w:val="0"/>
                      <w:jc w:val="center"/>
                      <w:rPr>
                        <w:szCs w:val="21"/>
                      </w:rPr>
                    </w:pPr>
                    <w:r>
                      <w:rPr>
                        <w:rFonts w:hint="eastAsia"/>
                        <w:szCs w:val="21"/>
                      </w:rPr>
                      <w:t>本期减少</w:t>
                    </w:r>
                  </w:p>
                </w:tc>
              </w:sdtContent>
            </w:sdt>
            <w:sdt>
              <w:sdtPr>
                <w:tag w:val="_PLD_ce18950b18064dc1ac40e20c98bf9dcb"/>
                <w:id w:val="6775224"/>
                <w:lock w:val="sdtLocked"/>
              </w:sdtPr>
              <w:sdtContent>
                <w:tc>
                  <w:tcPr>
                    <w:tcW w:w="1804" w:type="dxa"/>
                    <w:vAlign w:val="center"/>
                  </w:tcPr>
                  <w:p>
                    <w:pPr>
                      <w:autoSpaceDE w:val="0"/>
                      <w:autoSpaceDN w:val="0"/>
                      <w:adjustRightInd w:val="0"/>
                      <w:snapToGrid w:val="0"/>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0d018aed47f94c61acfb01bd741534a0"/>
                <w:id w:val="6775225"/>
                <w:lock w:val="sdtLocked"/>
              </w:sdtPr>
              <w:sdtContent>
                <w:tc>
                  <w:tcPr>
                    <w:tcW w:w="2439" w:type="dxa"/>
                    <w:shd w:val="clear" w:color="auto" w:fill="auto"/>
                  </w:tcPr>
                  <w:p>
                    <w:pPr>
                      <w:autoSpaceDE w:val="0"/>
                      <w:autoSpaceDN w:val="0"/>
                      <w:adjustRightInd w:val="0"/>
                      <w:snapToGrid w:val="0"/>
                      <w:rPr>
                        <w:szCs w:val="21"/>
                      </w:rPr>
                    </w:pPr>
                    <w:r>
                      <w:rPr>
                        <w:rFonts w:hint="eastAsia"/>
                        <w:szCs w:val="21"/>
                      </w:rPr>
                      <w:t>资本溢价（股本溢价）</w:t>
                    </w:r>
                  </w:p>
                </w:tc>
              </w:sdtContent>
            </w:sdt>
            <w:tc>
              <w:tcPr>
                <w:tcW w:w="1843" w:type="dxa"/>
                <w:shd w:val="clear" w:color="auto" w:fill="auto"/>
              </w:tcPr>
              <w:p>
                <w:pPr>
                  <w:autoSpaceDE w:val="0"/>
                  <w:autoSpaceDN w:val="0"/>
                  <w:adjustRightInd w:val="0"/>
                  <w:snapToGrid w:val="0"/>
                  <w:jc w:val="right"/>
                  <w:rPr>
                    <w:szCs w:val="21"/>
                  </w:rPr>
                </w:pPr>
                <w:r>
                  <w:t>187,489,607.10</w:t>
                </w:r>
              </w:p>
            </w:tc>
            <w:tc>
              <w:tcPr>
                <w:tcW w:w="1418" w:type="dxa"/>
                <w:shd w:val="clear" w:color="auto" w:fill="auto"/>
              </w:tcPr>
              <w:p>
                <w:pPr>
                  <w:autoSpaceDE w:val="0"/>
                  <w:autoSpaceDN w:val="0"/>
                  <w:adjustRightInd w:val="0"/>
                  <w:snapToGrid w:val="0"/>
                  <w:jc w:val="right"/>
                  <w:rPr>
                    <w:szCs w:val="21"/>
                  </w:rPr>
                </w:pPr>
              </w:p>
            </w:tc>
            <w:tc>
              <w:tcPr>
                <w:tcW w:w="1389" w:type="dxa"/>
                <w:shd w:val="clear" w:color="auto" w:fill="auto"/>
              </w:tcPr>
              <w:p>
                <w:pPr>
                  <w:autoSpaceDE w:val="0"/>
                  <w:autoSpaceDN w:val="0"/>
                  <w:adjustRightInd w:val="0"/>
                  <w:snapToGrid w:val="0"/>
                  <w:jc w:val="right"/>
                  <w:rPr>
                    <w:szCs w:val="21"/>
                  </w:rPr>
                </w:pPr>
              </w:p>
            </w:tc>
            <w:tc>
              <w:tcPr>
                <w:tcW w:w="1804" w:type="dxa"/>
                <w:shd w:val="clear" w:color="auto" w:fill="auto"/>
              </w:tcPr>
              <w:p>
                <w:pPr>
                  <w:autoSpaceDE w:val="0"/>
                  <w:autoSpaceDN w:val="0"/>
                  <w:adjustRightInd w:val="0"/>
                  <w:snapToGrid w:val="0"/>
                  <w:jc w:val="right"/>
                  <w:rPr>
                    <w:szCs w:val="21"/>
                  </w:rPr>
                </w:pPr>
                <w:r>
                  <w:t>187,489,607.10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86bb5cd56f814da8b960cf8902cad6a5"/>
                <w:id w:val="6775226"/>
                <w:lock w:val="sdtLocked"/>
              </w:sdtPr>
              <w:sdtContent>
                <w:tc>
                  <w:tcPr>
                    <w:tcW w:w="2439" w:type="dxa"/>
                    <w:shd w:val="clear" w:color="auto" w:fill="auto"/>
                  </w:tcPr>
                  <w:p>
                    <w:pPr>
                      <w:autoSpaceDE w:val="0"/>
                      <w:autoSpaceDN w:val="0"/>
                      <w:adjustRightInd w:val="0"/>
                      <w:snapToGrid w:val="0"/>
                      <w:rPr>
                        <w:szCs w:val="21"/>
                      </w:rPr>
                    </w:pPr>
                    <w:r>
                      <w:rPr>
                        <w:rFonts w:hint="eastAsia"/>
                        <w:szCs w:val="21"/>
                      </w:rPr>
                      <w:t>其他资本公积</w:t>
                    </w:r>
                  </w:p>
                </w:tc>
              </w:sdtContent>
            </w:sdt>
            <w:tc>
              <w:tcPr>
                <w:tcW w:w="1843" w:type="dxa"/>
                <w:shd w:val="clear" w:color="auto" w:fill="auto"/>
              </w:tcPr>
              <w:p>
                <w:pPr>
                  <w:autoSpaceDE w:val="0"/>
                  <w:autoSpaceDN w:val="0"/>
                  <w:adjustRightInd w:val="0"/>
                  <w:snapToGrid w:val="0"/>
                  <w:jc w:val="right"/>
                  <w:rPr>
                    <w:szCs w:val="21"/>
                  </w:rPr>
                </w:pPr>
                <w:r>
                  <w:t>20,946,561.98</w:t>
                </w:r>
              </w:p>
            </w:tc>
            <w:tc>
              <w:tcPr>
                <w:tcW w:w="1418" w:type="dxa"/>
                <w:shd w:val="clear" w:color="auto" w:fill="auto"/>
              </w:tcPr>
              <w:p>
                <w:pPr>
                  <w:autoSpaceDE w:val="0"/>
                  <w:autoSpaceDN w:val="0"/>
                  <w:adjustRightInd w:val="0"/>
                  <w:snapToGrid w:val="0"/>
                  <w:jc w:val="right"/>
                  <w:rPr>
                    <w:szCs w:val="21"/>
                  </w:rPr>
                </w:pPr>
              </w:p>
            </w:tc>
            <w:tc>
              <w:tcPr>
                <w:tcW w:w="1389" w:type="dxa"/>
                <w:shd w:val="clear" w:color="auto" w:fill="auto"/>
              </w:tcPr>
              <w:p>
                <w:pPr>
                  <w:autoSpaceDE w:val="0"/>
                  <w:autoSpaceDN w:val="0"/>
                  <w:adjustRightInd w:val="0"/>
                  <w:snapToGrid w:val="0"/>
                  <w:jc w:val="right"/>
                  <w:rPr>
                    <w:szCs w:val="21"/>
                  </w:rPr>
                </w:pPr>
              </w:p>
            </w:tc>
            <w:tc>
              <w:tcPr>
                <w:tcW w:w="1804" w:type="dxa"/>
                <w:shd w:val="clear" w:color="auto" w:fill="auto"/>
              </w:tcPr>
              <w:p>
                <w:pPr>
                  <w:autoSpaceDE w:val="0"/>
                  <w:autoSpaceDN w:val="0"/>
                  <w:adjustRightInd w:val="0"/>
                  <w:snapToGrid w:val="0"/>
                  <w:jc w:val="right"/>
                  <w:rPr>
                    <w:szCs w:val="21"/>
                  </w:rPr>
                </w:pPr>
                <w:r>
                  <w:t>20,946,561.98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9b03907e667d49cf9868e1518c28d82c"/>
                <w:id w:val="6775227"/>
                <w:lock w:val="sdtLocked"/>
              </w:sdtPr>
              <w:sdtContent>
                <w:tc>
                  <w:tcPr>
                    <w:tcW w:w="2439" w:type="dxa"/>
                    <w:vAlign w:val="center"/>
                  </w:tcPr>
                  <w:p>
                    <w:pPr>
                      <w:autoSpaceDE w:val="0"/>
                      <w:autoSpaceDN w:val="0"/>
                      <w:adjustRightInd w:val="0"/>
                      <w:snapToGrid w:val="0"/>
                      <w:jc w:val="center"/>
                      <w:rPr>
                        <w:szCs w:val="21"/>
                      </w:rPr>
                    </w:pPr>
                    <w:r>
                      <w:rPr>
                        <w:rFonts w:hint="eastAsia"/>
                        <w:szCs w:val="21"/>
                      </w:rPr>
                      <w:t>合计</w:t>
                    </w:r>
                  </w:p>
                </w:tc>
              </w:sdtContent>
            </w:sdt>
            <w:tc>
              <w:tcPr>
                <w:tcW w:w="1843" w:type="dxa"/>
              </w:tcPr>
              <w:p>
                <w:pPr>
                  <w:autoSpaceDE w:val="0"/>
                  <w:autoSpaceDN w:val="0"/>
                  <w:adjustRightInd w:val="0"/>
                  <w:snapToGrid w:val="0"/>
                  <w:jc w:val="right"/>
                  <w:rPr>
                    <w:szCs w:val="21"/>
                  </w:rPr>
                </w:pPr>
                <w:r>
                  <w:t>208,436,169.08</w:t>
                </w:r>
              </w:p>
            </w:tc>
            <w:tc>
              <w:tcPr>
                <w:tcW w:w="1418" w:type="dxa"/>
              </w:tcPr>
              <w:p>
                <w:pPr>
                  <w:autoSpaceDE w:val="0"/>
                  <w:autoSpaceDN w:val="0"/>
                  <w:adjustRightInd w:val="0"/>
                  <w:snapToGrid w:val="0"/>
                  <w:jc w:val="right"/>
                  <w:rPr>
                    <w:szCs w:val="21"/>
                  </w:rPr>
                </w:pPr>
              </w:p>
            </w:tc>
            <w:tc>
              <w:tcPr>
                <w:tcW w:w="1389" w:type="dxa"/>
              </w:tcPr>
              <w:p>
                <w:pPr>
                  <w:autoSpaceDE w:val="0"/>
                  <w:autoSpaceDN w:val="0"/>
                  <w:adjustRightInd w:val="0"/>
                  <w:snapToGrid w:val="0"/>
                  <w:jc w:val="right"/>
                  <w:rPr>
                    <w:szCs w:val="21"/>
                  </w:rPr>
                </w:pPr>
              </w:p>
            </w:tc>
            <w:tc>
              <w:tcPr>
                <w:tcW w:w="1804" w:type="dxa"/>
              </w:tcPr>
              <w:p>
                <w:pPr>
                  <w:autoSpaceDE w:val="0"/>
                  <w:autoSpaceDN w:val="0"/>
                  <w:adjustRightInd w:val="0"/>
                  <w:snapToGrid w:val="0"/>
                  <w:jc w:val="right"/>
                  <w:rPr>
                    <w:szCs w:val="21"/>
                  </w:rPr>
                </w:pPr>
                <w:r>
                  <w:t>208,436,169.08</w:t>
                </w:r>
              </w:p>
            </w:tc>
          </w:tr>
        </w:tbl>
        <w:p>
          <w:pPr>
            <w:rPr>
              <w:szCs w:val="21"/>
            </w:rPr>
          </w:pPr>
        </w:p>
      </w:sdtContent>
    </w:sdt>
    <w:p>
      <w:pPr>
        <w:rPr>
          <w:szCs w:val="21"/>
        </w:rPr>
      </w:pPr>
    </w:p>
    <w:sdt>
      <w:sdtPr>
        <w:rPr>
          <w:rFonts w:hint="eastAsia" w:ascii="宋体" w:hAnsi="宋体" w:cs="宋体"/>
          <w:b w:val="0"/>
          <w:bCs w:val="0"/>
          <w:kern w:val="0"/>
          <w:szCs w:val="21"/>
        </w:rPr>
        <w:alias w:val="模块:库存股"/>
        <w:tag w:val="_SEC_ac3bac3dee6b41e2a9bd601e8215a41b"/>
        <w:id w:val="6775231"/>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库存股</w:t>
          </w:r>
        </w:p>
        <w:sdt>
          <w:sdtPr>
            <w:alias w:val="是否适用：库存股[双击切换]"/>
            <w:tag w:val="_GBC_8e4fbb6e216145d28e75f17bb16e2ed0"/>
            <w:id w:val="677523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b/>
              <w:szCs w:val="21"/>
            </w:rPr>
          </w:pPr>
        </w:p>
      </w:sdtContent>
    </w:sdt>
    <w:p>
      <w:pPr>
        <w:rPr>
          <w:szCs w:val="21"/>
        </w:rPr>
      </w:pPr>
    </w:p>
    <w:sdt>
      <w:sdtPr>
        <w:rPr>
          <w:rFonts w:hint="eastAsia" w:ascii="宋体" w:hAnsi="宋体" w:cs="宋体"/>
          <w:b w:val="0"/>
          <w:bCs w:val="0"/>
          <w:kern w:val="0"/>
          <w:szCs w:val="21"/>
        </w:rPr>
        <w:alias w:val="模块:其他综合收益"/>
        <w:tag w:val="_SEC_da177c29d65749eea00babf80ad8cb14"/>
        <w:id w:val="6775233"/>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其他综合收益</w:t>
          </w:r>
        </w:p>
        <w:sdt>
          <w:sdtPr>
            <w:alias w:val="是否适用：其他综合收益[双击切换]"/>
            <w:tag w:val="_GBC_96392a9658664a6791f08fc157e7b573"/>
            <w:id w:val="677523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p>
      <w:pPr>
        <w:rPr>
          <w:szCs w:val="21"/>
        </w:rPr>
      </w:pPr>
    </w:p>
    <w:sdt>
      <w:sdtPr>
        <w:rPr>
          <w:rFonts w:hint="eastAsia" w:ascii="宋体" w:hAnsi="宋体" w:cs="宋体"/>
          <w:b w:val="0"/>
          <w:bCs w:val="0"/>
          <w:kern w:val="0"/>
          <w:szCs w:val="21"/>
        </w:rPr>
        <w:alias w:val="模块:专项储备"/>
        <w:tag w:val="_SEC_84ba198e06284c06a5fcfe80ab43de2c"/>
        <w:id w:val="6775245"/>
        <w:lock w:val="sdtLocked"/>
        <w:placeholder>
          <w:docPart w:val="GBC22222222222222222222222222222"/>
        </w:placeholder>
      </w:sdtPr>
      <w:sdtEndPr>
        <w:rPr>
          <w:rFonts w:hint="default" w:ascii="宋体" w:hAnsi="宋体" w:cstheme="minorBidi"/>
          <w:b w:val="0"/>
          <w:bCs w:val="0"/>
          <w:color w:val="000000" w:themeColor="text1"/>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专项储备</w:t>
          </w:r>
        </w:p>
        <w:sdt>
          <w:sdtPr>
            <w:alias w:val="是否适用：专项储备[双击切换]"/>
            <w:tag w:val="_GBC_0e2f337ccf9a4bc6919cf02a896e57c1"/>
            <w:id w:val="677523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53"/>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专项储备"/>
              <w:tag w:val="_GBC_b47176c62a0d4cb08df78fbfc975ed8c"/>
              <w:id w:val="677523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财务附注：专项储备"/>
              <w:tag w:val="_GBC_0d38a2dae28a4705ad4e665e5fcad88c"/>
              <w:id w:val="67752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681"/>
            <w:gridCol w:w="1789"/>
            <w:gridCol w:w="1789"/>
            <w:gridCol w:w="183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1b8418d949a749fe8d001c0cc33cf61e"/>
                <w:id w:val="6775237"/>
                <w:lock w:val="sdtLocked"/>
              </w:sdtPr>
              <w:sdtContent>
                <w:tc>
                  <w:tcPr>
                    <w:tcW w:w="1681" w:type="dxa"/>
                    <w:shd w:val="clear" w:color="auto" w:fill="auto"/>
                    <w:vAlign w:val="center"/>
                  </w:tcPr>
                  <w:p>
                    <w:pPr>
                      <w:jc w:val="center"/>
                      <w:rPr>
                        <w:szCs w:val="21"/>
                      </w:rPr>
                    </w:pPr>
                    <w:r>
                      <w:rPr>
                        <w:rFonts w:hint="eastAsia"/>
                        <w:szCs w:val="21"/>
                      </w:rPr>
                      <w:t>项目</w:t>
                    </w:r>
                  </w:p>
                </w:tc>
              </w:sdtContent>
            </w:sdt>
            <w:sdt>
              <w:sdtPr>
                <w:tag w:val="_PLD_080ff0821e57448ea6f6c5e836583c19"/>
                <w:id w:val="6775238"/>
                <w:lock w:val="sdtLocked"/>
              </w:sdtPr>
              <w:sdtContent>
                <w:tc>
                  <w:tcPr>
                    <w:tcW w:w="1789" w:type="dxa"/>
                    <w:shd w:val="clear" w:color="auto" w:fill="auto"/>
                    <w:vAlign w:val="center"/>
                  </w:tcPr>
                  <w:p>
                    <w:pPr>
                      <w:jc w:val="center"/>
                      <w:rPr>
                        <w:szCs w:val="21"/>
                      </w:rPr>
                    </w:pPr>
                    <w:r>
                      <w:rPr>
                        <w:rFonts w:hint="eastAsia"/>
                        <w:szCs w:val="21"/>
                      </w:rPr>
                      <w:t>期初余额</w:t>
                    </w:r>
                  </w:p>
                </w:tc>
              </w:sdtContent>
            </w:sdt>
            <w:sdt>
              <w:sdtPr>
                <w:tag w:val="_PLD_99281caa76a54a77b09eef392dfa3e36"/>
                <w:id w:val="6775239"/>
                <w:lock w:val="sdtLocked"/>
              </w:sdtPr>
              <w:sdtContent>
                <w:tc>
                  <w:tcPr>
                    <w:tcW w:w="1789" w:type="dxa"/>
                    <w:shd w:val="clear" w:color="auto" w:fill="auto"/>
                    <w:vAlign w:val="center"/>
                  </w:tcPr>
                  <w:p>
                    <w:pPr>
                      <w:jc w:val="center"/>
                      <w:rPr>
                        <w:szCs w:val="21"/>
                      </w:rPr>
                    </w:pPr>
                    <w:r>
                      <w:rPr>
                        <w:rFonts w:hint="eastAsia"/>
                        <w:szCs w:val="21"/>
                      </w:rPr>
                      <w:t>本期增加</w:t>
                    </w:r>
                  </w:p>
                </w:tc>
              </w:sdtContent>
            </w:sdt>
            <w:sdt>
              <w:sdtPr>
                <w:tag w:val="_PLD_c1f0c2bb01df4af28d10ddd8f2af79a9"/>
                <w:id w:val="6775240"/>
                <w:lock w:val="sdtLocked"/>
              </w:sdtPr>
              <w:sdtContent>
                <w:tc>
                  <w:tcPr>
                    <w:tcW w:w="1830" w:type="dxa"/>
                    <w:shd w:val="clear" w:color="auto" w:fill="auto"/>
                    <w:vAlign w:val="center"/>
                  </w:tcPr>
                  <w:p>
                    <w:pPr>
                      <w:jc w:val="center"/>
                      <w:rPr>
                        <w:szCs w:val="21"/>
                      </w:rPr>
                    </w:pPr>
                    <w:r>
                      <w:rPr>
                        <w:rFonts w:hint="eastAsia"/>
                        <w:szCs w:val="21"/>
                      </w:rPr>
                      <w:t>本期减少</w:t>
                    </w:r>
                  </w:p>
                </w:tc>
              </w:sdtContent>
            </w:sdt>
            <w:sdt>
              <w:sdtPr>
                <w:tag w:val="_PLD_c07fab254eb14bc88273a7ed58442223"/>
                <w:id w:val="6775241"/>
                <w:lock w:val="sdtLocked"/>
              </w:sdtPr>
              <w:sdtContent>
                <w:tc>
                  <w:tcPr>
                    <w:tcW w:w="1804" w:type="dxa"/>
                    <w:shd w:val="clear" w:color="auto" w:fill="auto"/>
                    <w:vAlign w:val="center"/>
                  </w:tcPr>
                  <w:p>
                    <w:pPr>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01a08200e7384e25865f8dfa91f9fd21"/>
                <w:id w:val="6775242"/>
                <w:lock w:val="sdtLocked"/>
              </w:sdtPr>
              <w:sdtContent>
                <w:tc>
                  <w:tcPr>
                    <w:tcW w:w="1681" w:type="dxa"/>
                    <w:shd w:val="clear" w:color="auto" w:fill="auto"/>
                  </w:tcPr>
                  <w:p>
                    <w:pPr>
                      <w:rPr>
                        <w:szCs w:val="21"/>
                      </w:rPr>
                    </w:pPr>
                    <w:r>
                      <w:rPr>
                        <w:rFonts w:hint="eastAsia"/>
                        <w:szCs w:val="21"/>
                      </w:rPr>
                      <w:t>安全生产费</w:t>
                    </w:r>
                  </w:p>
                </w:tc>
              </w:sdtContent>
            </w:sdt>
            <w:tc>
              <w:tcPr>
                <w:tcW w:w="1789" w:type="dxa"/>
                <w:shd w:val="clear" w:color="auto" w:fill="auto"/>
              </w:tcPr>
              <w:p>
                <w:pPr>
                  <w:jc w:val="right"/>
                  <w:rPr>
                    <w:szCs w:val="21"/>
                  </w:rPr>
                </w:pPr>
                <w:r>
                  <w:t>6,103,133.51</w:t>
                </w:r>
              </w:p>
            </w:tc>
            <w:tc>
              <w:tcPr>
                <w:tcW w:w="1789" w:type="dxa"/>
                <w:shd w:val="clear" w:color="auto" w:fill="auto"/>
              </w:tcPr>
              <w:p>
                <w:pPr>
                  <w:jc w:val="right"/>
                  <w:rPr>
                    <w:szCs w:val="21"/>
                  </w:rPr>
                </w:pPr>
                <w:r>
                  <w:t>27,480,000.00</w:t>
                </w:r>
              </w:p>
            </w:tc>
            <w:tc>
              <w:tcPr>
                <w:tcW w:w="1830" w:type="dxa"/>
                <w:shd w:val="clear" w:color="auto" w:fill="auto"/>
              </w:tcPr>
              <w:p>
                <w:pPr>
                  <w:jc w:val="right"/>
                  <w:rPr>
                    <w:szCs w:val="21"/>
                  </w:rPr>
                </w:pPr>
                <w:r>
                  <w:t>32,479,143.52</w:t>
                </w:r>
              </w:p>
            </w:tc>
            <w:tc>
              <w:tcPr>
                <w:tcW w:w="1804" w:type="dxa"/>
                <w:shd w:val="clear" w:color="auto" w:fill="auto"/>
              </w:tcPr>
              <w:p>
                <w:pPr>
                  <w:jc w:val="right"/>
                  <w:rPr>
                    <w:szCs w:val="21"/>
                  </w:rPr>
                </w:pPr>
                <w:r>
                  <w:t>1,103,989.99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34542263e10f4e8abd56378148d37f34"/>
                <w:id w:val="6775243"/>
                <w:lock w:val="sdtLocked"/>
              </w:sdtPr>
              <w:sdtContent>
                <w:tc>
                  <w:tcPr>
                    <w:tcW w:w="1681" w:type="dxa"/>
                    <w:shd w:val="clear" w:color="auto" w:fill="auto"/>
                    <w:vAlign w:val="center"/>
                  </w:tcPr>
                  <w:p>
                    <w:pPr>
                      <w:jc w:val="center"/>
                      <w:rPr>
                        <w:szCs w:val="21"/>
                      </w:rPr>
                    </w:pPr>
                    <w:r>
                      <w:rPr>
                        <w:rFonts w:hint="eastAsia"/>
                        <w:szCs w:val="21"/>
                      </w:rPr>
                      <w:t>合计</w:t>
                    </w:r>
                  </w:p>
                </w:tc>
              </w:sdtContent>
            </w:sdt>
            <w:tc>
              <w:tcPr>
                <w:tcW w:w="1789" w:type="dxa"/>
                <w:shd w:val="clear" w:color="auto" w:fill="auto"/>
              </w:tcPr>
              <w:p>
                <w:pPr>
                  <w:jc w:val="right"/>
                  <w:rPr>
                    <w:szCs w:val="21"/>
                  </w:rPr>
                </w:pPr>
                <w:r>
                  <w:t>6,103,133.51</w:t>
                </w:r>
              </w:p>
            </w:tc>
            <w:tc>
              <w:tcPr>
                <w:tcW w:w="1789" w:type="dxa"/>
                <w:shd w:val="clear" w:color="auto" w:fill="auto"/>
              </w:tcPr>
              <w:p>
                <w:pPr>
                  <w:jc w:val="right"/>
                  <w:rPr>
                    <w:szCs w:val="21"/>
                  </w:rPr>
                </w:pPr>
                <w:r>
                  <w:t>27,480,000.00</w:t>
                </w:r>
              </w:p>
            </w:tc>
            <w:tc>
              <w:tcPr>
                <w:tcW w:w="1830" w:type="dxa"/>
                <w:shd w:val="clear" w:color="auto" w:fill="auto"/>
              </w:tcPr>
              <w:p>
                <w:pPr>
                  <w:jc w:val="right"/>
                  <w:rPr>
                    <w:szCs w:val="21"/>
                  </w:rPr>
                </w:pPr>
                <w:r>
                  <w:t>32,479,143.52</w:t>
                </w:r>
              </w:p>
            </w:tc>
            <w:tc>
              <w:tcPr>
                <w:tcW w:w="1804" w:type="dxa"/>
                <w:shd w:val="clear" w:color="auto" w:fill="auto"/>
              </w:tcPr>
              <w:p>
                <w:pPr>
                  <w:jc w:val="right"/>
                  <w:rPr>
                    <w:szCs w:val="21"/>
                  </w:rPr>
                </w:pPr>
                <w:r>
                  <w:t>1,103,989.99</w:t>
                </w:r>
              </w:p>
            </w:tc>
          </w:tr>
        </w:tbl>
        <w:p/>
        <w:p>
          <w:pPr>
            <w:rPr>
              <w:szCs w:val="21"/>
            </w:rPr>
          </w:pPr>
          <w:r>
            <w:rPr>
              <w:rFonts w:hint="eastAsia"/>
              <w:szCs w:val="21"/>
            </w:rPr>
            <w:t>其他说明，包括本期增减变动情况、变动原因说明：</w:t>
          </w:r>
        </w:p>
        <w:p>
          <w:pPr>
            <w:rPr>
              <w:szCs w:val="21"/>
            </w:rPr>
          </w:pPr>
          <w:sdt>
            <w:sdtPr>
              <w:rPr>
                <w:szCs w:val="21"/>
              </w:rPr>
              <w:alias w:val="专项储备情况说明"/>
              <w:tag w:val="_GBC_a75c8c7cc1e44ab5a1585f4a9964199c"/>
              <w:id w:val="6775244"/>
              <w:lock w:val="sdtLocked"/>
              <w:placeholder>
                <w:docPart w:val="GBC22222222222222222222222222222"/>
              </w:placeholder>
            </w:sdtPr>
            <w:sdtEndPr>
              <w:rPr>
                <w:szCs w:val="21"/>
              </w:rPr>
            </w:sdtEndPr>
            <w:sdtContent>
              <w:r>
                <w:rPr>
                  <w:rFonts w:hint="eastAsia"/>
                  <w:szCs w:val="21"/>
                </w:rPr>
                <w:t>公司本报告期按规定计提安全生产费</w:t>
              </w:r>
              <w:r>
                <w:rPr>
                  <w:szCs w:val="21"/>
                </w:rPr>
                <w:t>2748万元，实际使用3247.91万元，结余110.4万元</w:t>
              </w:r>
              <w:r>
                <w:rPr>
                  <w:rFonts w:hint="eastAsia"/>
                  <w:szCs w:val="21"/>
                </w:rPr>
                <w:t>。</w:t>
              </w:r>
            </w:sdtContent>
          </w:sdt>
        </w:p>
      </w:sdtContent>
    </w:sdt>
    <w:p>
      <w:pPr>
        <w:rPr>
          <w:szCs w:val="21"/>
        </w:rPr>
      </w:pPr>
    </w:p>
    <w:sdt>
      <w:sdtPr>
        <w:rPr>
          <w:rFonts w:hint="eastAsia" w:ascii="宋体" w:hAnsi="宋体" w:cs="宋体"/>
          <w:b w:val="0"/>
          <w:bCs w:val="0"/>
          <w:kern w:val="0"/>
          <w:szCs w:val="21"/>
        </w:rPr>
        <w:alias w:val="模块:盈余公积"/>
        <w:tag w:val="_SEC_e4999705883d4533b90d93a828deecc9"/>
        <w:id w:val="6775261"/>
        <w:lock w:val="sdtLocked"/>
        <w:placeholder>
          <w:docPart w:val="GBC22222222222222222222222222222"/>
        </w:placeholder>
      </w:sdtPr>
      <w:sdtEndPr>
        <w:rPr>
          <w:rFonts w:hint="default" w:ascii="宋体" w:hAnsi="宋体" w:cstheme="minorBidi"/>
          <w:b w:val="0"/>
          <w:bCs w:val="0"/>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盈余公积</w:t>
          </w:r>
        </w:p>
        <w:sdt>
          <w:sdtPr>
            <w:alias w:val="是否适用：盈余公积[双击切换]"/>
            <w:tag w:val="_GBC_5a507b0ba3a44a2c828e4df049852353"/>
            <w:id w:val="677524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盈余公积"/>
              <w:tag w:val="_GBC_8ca7c8f8d04e47ff92c33109bbf55576"/>
              <w:id w:val="677524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67752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642"/>
            <w:gridCol w:w="1769"/>
            <w:gridCol w:w="1775"/>
            <w:gridCol w:w="178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448cc13fae91499a9f41c6e4c1f51937"/>
                <w:id w:val="6775249"/>
                <w:lock w:val="sdtLocked"/>
              </w:sdtPr>
              <w:sdtContent>
                <w:tc>
                  <w:tcPr>
                    <w:tcW w:w="1642" w:type="dxa"/>
                  </w:tcPr>
                  <w:p>
                    <w:pPr>
                      <w:autoSpaceDE w:val="0"/>
                      <w:autoSpaceDN w:val="0"/>
                      <w:adjustRightInd w:val="0"/>
                      <w:snapToGrid w:val="0"/>
                      <w:jc w:val="center"/>
                      <w:rPr>
                        <w:szCs w:val="21"/>
                      </w:rPr>
                    </w:pPr>
                    <w:r>
                      <w:rPr>
                        <w:rFonts w:hint="eastAsia"/>
                        <w:szCs w:val="21"/>
                      </w:rPr>
                      <w:t>项目</w:t>
                    </w:r>
                  </w:p>
                </w:tc>
              </w:sdtContent>
            </w:sdt>
            <w:sdt>
              <w:sdtPr>
                <w:tag w:val="_PLD_112a59f6ca7b4b5f8ced860f9465eb1a"/>
                <w:id w:val="6775250"/>
                <w:lock w:val="sdtLocked"/>
              </w:sdtPr>
              <w:sdtContent>
                <w:tc>
                  <w:tcPr>
                    <w:tcW w:w="1769" w:type="dxa"/>
                  </w:tcPr>
                  <w:p>
                    <w:pPr>
                      <w:autoSpaceDE w:val="0"/>
                      <w:autoSpaceDN w:val="0"/>
                      <w:adjustRightInd w:val="0"/>
                      <w:snapToGrid w:val="0"/>
                      <w:jc w:val="center"/>
                      <w:rPr>
                        <w:szCs w:val="21"/>
                      </w:rPr>
                    </w:pPr>
                    <w:r>
                      <w:rPr>
                        <w:rFonts w:hint="eastAsia"/>
                        <w:szCs w:val="21"/>
                      </w:rPr>
                      <w:t>期初余额</w:t>
                    </w:r>
                  </w:p>
                </w:tc>
              </w:sdtContent>
            </w:sdt>
            <w:sdt>
              <w:sdtPr>
                <w:tag w:val="_PLD_a2c4f4720dd7427b93c04e32666cfd69"/>
                <w:id w:val="6775251"/>
                <w:lock w:val="sdtLocked"/>
              </w:sdtPr>
              <w:sdtContent>
                <w:tc>
                  <w:tcPr>
                    <w:tcW w:w="1775" w:type="dxa"/>
                  </w:tcPr>
                  <w:p>
                    <w:pPr>
                      <w:autoSpaceDE w:val="0"/>
                      <w:autoSpaceDN w:val="0"/>
                      <w:adjustRightInd w:val="0"/>
                      <w:snapToGrid w:val="0"/>
                      <w:jc w:val="center"/>
                      <w:rPr>
                        <w:szCs w:val="21"/>
                      </w:rPr>
                    </w:pPr>
                    <w:r>
                      <w:rPr>
                        <w:rFonts w:hint="eastAsia"/>
                        <w:szCs w:val="21"/>
                      </w:rPr>
                      <w:t>本期增加</w:t>
                    </w:r>
                  </w:p>
                </w:tc>
              </w:sdtContent>
            </w:sdt>
            <w:sdt>
              <w:sdtPr>
                <w:tag w:val="_PLD_ad1876bb4d7c41eaa003da876ae9e601"/>
                <w:id w:val="6775252"/>
                <w:lock w:val="sdtLocked"/>
              </w:sdtPr>
              <w:sdtContent>
                <w:tc>
                  <w:tcPr>
                    <w:tcW w:w="1787" w:type="dxa"/>
                  </w:tcPr>
                  <w:p>
                    <w:pPr>
                      <w:autoSpaceDE w:val="0"/>
                      <w:autoSpaceDN w:val="0"/>
                      <w:adjustRightInd w:val="0"/>
                      <w:snapToGrid w:val="0"/>
                      <w:jc w:val="center"/>
                      <w:rPr>
                        <w:szCs w:val="21"/>
                      </w:rPr>
                    </w:pPr>
                    <w:r>
                      <w:rPr>
                        <w:rFonts w:hint="eastAsia"/>
                        <w:szCs w:val="21"/>
                      </w:rPr>
                      <w:t>本期减少</w:t>
                    </w:r>
                  </w:p>
                </w:tc>
              </w:sdtContent>
            </w:sdt>
            <w:sdt>
              <w:sdtPr>
                <w:tag w:val="_PLD_45d6cc2a2d2140619579c3f035df8d6a"/>
                <w:id w:val="6775253"/>
                <w:lock w:val="sdtLocked"/>
              </w:sdtPr>
              <w:sdtContent>
                <w:tc>
                  <w:tcPr>
                    <w:tcW w:w="1920" w:type="dxa"/>
                  </w:tcPr>
                  <w:p>
                    <w:pPr>
                      <w:autoSpaceDE w:val="0"/>
                      <w:autoSpaceDN w:val="0"/>
                      <w:adjustRightInd w:val="0"/>
                      <w:snapToGrid w:val="0"/>
                      <w:jc w:val="center"/>
                      <w:rPr>
                        <w:szCs w:val="21"/>
                      </w:rPr>
                    </w:pPr>
                    <w:r>
                      <w:rPr>
                        <w:rFonts w:hint="eastAsia"/>
                        <w:szCs w:val="2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96c6453732574f80b65848edf92a42a6"/>
                <w:id w:val="6775254"/>
                <w:lock w:val="sdtLocked"/>
              </w:sdtPr>
              <w:sdtContent>
                <w:tc>
                  <w:tcPr>
                    <w:tcW w:w="1642" w:type="dxa"/>
                    <w:shd w:val="clear" w:color="auto" w:fill="auto"/>
                    <w:vAlign w:val="center"/>
                  </w:tcPr>
                  <w:p>
                    <w:pPr>
                      <w:autoSpaceDE w:val="0"/>
                      <w:autoSpaceDN w:val="0"/>
                      <w:adjustRightInd w:val="0"/>
                      <w:snapToGrid w:val="0"/>
                      <w:rPr>
                        <w:szCs w:val="21"/>
                      </w:rPr>
                    </w:pPr>
                    <w:r>
                      <w:rPr>
                        <w:rFonts w:hint="eastAsia"/>
                        <w:szCs w:val="21"/>
                      </w:rPr>
                      <w:t>法定盈余公积</w:t>
                    </w:r>
                  </w:p>
                </w:tc>
              </w:sdtContent>
            </w:sdt>
            <w:tc>
              <w:tcPr>
                <w:tcW w:w="1769" w:type="dxa"/>
                <w:shd w:val="clear" w:color="auto" w:fill="auto"/>
              </w:tcPr>
              <w:p>
                <w:pPr>
                  <w:autoSpaceDE w:val="0"/>
                  <w:autoSpaceDN w:val="0"/>
                  <w:adjustRightInd w:val="0"/>
                  <w:snapToGrid w:val="0"/>
                  <w:ind w:right="180"/>
                  <w:jc w:val="right"/>
                  <w:rPr>
                    <w:szCs w:val="21"/>
                  </w:rPr>
                </w:pPr>
                <w:r>
                  <w:t>567,234,621.67</w:t>
                </w:r>
              </w:p>
            </w:tc>
            <w:tc>
              <w:tcPr>
                <w:tcW w:w="1775" w:type="dxa"/>
                <w:shd w:val="clear" w:color="auto" w:fill="auto"/>
              </w:tcPr>
              <w:p>
                <w:pPr>
                  <w:autoSpaceDE w:val="0"/>
                  <w:autoSpaceDN w:val="0"/>
                  <w:adjustRightInd w:val="0"/>
                  <w:snapToGrid w:val="0"/>
                  <w:ind w:right="180"/>
                  <w:jc w:val="right"/>
                  <w:rPr>
                    <w:szCs w:val="21"/>
                  </w:rPr>
                </w:pPr>
                <w:r>
                  <w:t>264,617,629.37</w:t>
                </w:r>
              </w:p>
            </w:tc>
            <w:tc>
              <w:tcPr>
                <w:tcW w:w="1787" w:type="dxa"/>
                <w:shd w:val="clear" w:color="auto" w:fill="auto"/>
              </w:tcPr>
              <w:p>
                <w:pPr>
                  <w:autoSpaceDE w:val="0"/>
                  <w:autoSpaceDN w:val="0"/>
                  <w:adjustRightInd w:val="0"/>
                  <w:snapToGrid w:val="0"/>
                  <w:ind w:right="180"/>
                  <w:jc w:val="right"/>
                  <w:rPr>
                    <w:szCs w:val="21"/>
                  </w:rPr>
                </w:pPr>
              </w:p>
            </w:tc>
            <w:tc>
              <w:tcPr>
                <w:tcW w:w="1920" w:type="dxa"/>
                <w:shd w:val="clear" w:color="auto" w:fill="auto"/>
              </w:tcPr>
              <w:p>
                <w:pPr>
                  <w:autoSpaceDE w:val="0"/>
                  <w:autoSpaceDN w:val="0"/>
                  <w:adjustRightInd w:val="0"/>
                  <w:snapToGrid w:val="0"/>
                  <w:ind w:right="180"/>
                  <w:jc w:val="right"/>
                  <w:rPr>
                    <w:szCs w:val="21"/>
                  </w:rPr>
                </w:pPr>
                <w:r>
                  <w:t>831,852,251.04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89d0d90396b9478283481624bade933a"/>
                <w:id w:val="6775255"/>
                <w:lock w:val="sdtLocked"/>
              </w:sdtPr>
              <w:sdtContent>
                <w:tc>
                  <w:tcPr>
                    <w:tcW w:w="1642" w:type="dxa"/>
                    <w:shd w:val="clear" w:color="auto" w:fill="auto"/>
                    <w:vAlign w:val="center"/>
                  </w:tcPr>
                  <w:p>
                    <w:pPr>
                      <w:autoSpaceDE w:val="0"/>
                      <w:autoSpaceDN w:val="0"/>
                      <w:adjustRightInd w:val="0"/>
                      <w:snapToGrid w:val="0"/>
                      <w:rPr>
                        <w:szCs w:val="21"/>
                      </w:rPr>
                    </w:pPr>
                    <w:r>
                      <w:rPr>
                        <w:rFonts w:hint="eastAsia"/>
                        <w:szCs w:val="21"/>
                      </w:rPr>
                      <w:t>任意盈余公积</w:t>
                    </w:r>
                  </w:p>
                </w:tc>
              </w:sdtContent>
            </w:sdt>
            <w:tc>
              <w:tcPr>
                <w:tcW w:w="1769" w:type="dxa"/>
                <w:shd w:val="clear" w:color="auto" w:fill="auto"/>
              </w:tcPr>
              <w:p>
                <w:pPr>
                  <w:autoSpaceDE w:val="0"/>
                  <w:autoSpaceDN w:val="0"/>
                  <w:adjustRightInd w:val="0"/>
                  <w:snapToGrid w:val="0"/>
                  <w:ind w:right="180"/>
                  <w:jc w:val="right"/>
                  <w:rPr>
                    <w:szCs w:val="21"/>
                  </w:rPr>
                </w:pPr>
                <w:r>
                  <w:t>405,207,071.51</w:t>
                </w:r>
              </w:p>
            </w:tc>
            <w:tc>
              <w:tcPr>
                <w:tcW w:w="1775" w:type="dxa"/>
                <w:shd w:val="clear" w:color="auto" w:fill="auto"/>
              </w:tcPr>
              <w:p>
                <w:pPr>
                  <w:autoSpaceDE w:val="0"/>
                  <w:autoSpaceDN w:val="0"/>
                  <w:adjustRightInd w:val="0"/>
                  <w:snapToGrid w:val="0"/>
                  <w:ind w:right="180"/>
                  <w:jc w:val="right"/>
                  <w:rPr>
                    <w:szCs w:val="21"/>
                  </w:rPr>
                </w:pPr>
              </w:p>
            </w:tc>
            <w:tc>
              <w:tcPr>
                <w:tcW w:w="1787" w:type="dxa"/>
                <w:shd w:val="clear" w:color="auto" w:fill="auto"/>
              </w:tcPr>
              <w:p>
                <w:pPr>
                  <w:autoSpaceDE w:val="0"/>
                  <w:autoSpaceDN w:val="0"/>
                  <w:adjustRightInd w:val="0"/>
                  <w:snapToGrid w:val="0"/>
                  <w:ind w:right="180"/>
                  <w:jc w:val="right"/>
                  <w:rPr>
                    <w:szCs w:val="21"/>
                  </w:rPr>
                </w:pPr>
              </w:p>
            </w:tc>
            <w:tc>
              <w:tcPr>
                <w:tcW w:w="1920" w:type="dxa"/>
                <w:shd w:val="clear" w:color="auto" w:fill="auto"/>
              </w:tcPr>
              <w:p>
                <w:pPr>
                  <w:autoSpaceDE w:val="0"/>
                  <w:autoSpaceDN w:val="0"/>
                  <w:adjustRightInd w:val="0"/>
                  <w:snapToGrid w:val="0"/>
                  <w:ind w:right="180"/>
                  <w:jc w:val="right"/>
                  <w:rPr>
                    <w:szCs w:val="21"/>
                  </w:rPr>
                </w:pPr>
                <w:r>
                  <w:t>405,207,071.51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096c92032a4d423997eee978b2f5aab3"/>
                <w:id w:val="6775256"/>
                <w:lock w:val="sdtLocked"/>
              </w:sdtPr>
              <w:sdtContent>
                <w:tc>
                  <w:tcPr>
                    <w:tcW w:w="1642" w:type="dxa"/>
                    <w:shd w:val="clear" w:color="auto" w:fill="auto"/>
                    <w:vAlign w:val="center"/>
                  </w:tcPr>
                  <w:p>
                    <w:pPr>
                      <w:autoSpaceDE w:val="0"/>
                      <w:autoSpaceDN w:val="0"/>
                      <w:adjustRightInd w:val="0"/>
                      <w:snapToGrid w:val="0"/>
                      <w:rPr>
                        <w:szCs w:val="21"/>
                      </w:rPr>
                    </w:pPr>
                    <w:r>
                      <w:rPr>
                        <w:rFonts w:hint="eastAsia"/>
                        <w:szCs w:val="21"/>
                      </w:rPr>
                      <w:t>储备基金</w:t>
                    </w:r>
                  </w:p>
                </w:tc>
              </w:sdtContent>
            </w:sdt>
            <w:tc>
              <w:tcPr>
                <w:tcW w:w="1769" w:type="dxa"/>
                <w:shd w:val="clear" w:color="auto" w:fill="auto"/>
              </w:tcPr>
              <w:p>
                <w:pPr>
                  <w:autoSpaceDE w:val="0"/>
                  <w:autoSpaceDN w:val="0"/>
                  <w:adjustRightInd w:val="0"/>
                  <w:snapToGrid w:val="0"/>
                  <w:ind w:right="180"/>
                  <w:jc w:val="right"/>
                  <w:rPr>
                    <w:szCs w:val="21"/>
                  </w:rPr>
                </w:pPr>
              </w:p>
            </w:tc>
            <w:tc>
              <w:tcPr>
                <w:tcW w:w="1775" w:type="dxa"/>
                <w:shd w:val="clear" w:color="auto" w:fill="auto"/>
              </w:tcPr>
              <w:p>
                <w:pPr>
                  <w:autoSpaceDE w:val="0"/>
                  <w:autoSpaceDN w:val="0"/>
                  <w:adjustRightInd w:val="0"/>
                  <w:snapToGrid w:val="0"/>
                  <w:ind w:right="180"/>
                  <w:jc w:val="right"/>
                  <w:rPr>
                    <w:szCs w:val="21"/>
                  </w:rPr>
                </w:pPr>
              </w:p>
            </w:tc>
            <w:tc>
              <w:tcPr>
                <w:tcW w:w="1787" w:type="dxa"/>
                <w:shd w:val="clear" w:color="auto" w:fill="auto"/>
              </w:tcPr>
              <w:p>
                <w:pPr>
                  <w:autoSpaceDE w:val="0"/>
                  <w:autoSpaceDN w:val="0"/>
                  <w:adjustRightInd w:val="0"/>
                  <w:snapToGrid w:val="0"/>
                  <w:ind w:right="180"/>
                  <w:jc w:val="right"/>
                  <w:rPr>
                    <w:szCs w:val="21"/>
                  </w:rPr>
                </w:pPr>
              </w:p>
            </w:tc>
            <w:tc>
              <w:tcPr>
                <w:tcW w:w="1920" w:type="dxa"/>
                <w:shd w:val="clear" w:color="auto" w:fill="auto"/>
              </w:tcPr>
              <w:p>
                <w:pPr>
                  <w:autoSpaceDE w:val="0"/>
                  <w:autoSpaceDN w:val="0"/>
                  <w:adjustRightInd w:val="0"/>
                  <w:snapToGrid w:val="0"/>
                  <w:ind w:right="18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96d890829e5d46cd931c8d8527d112fa"/>
                <w:id w:val="6775257"/>
                <w:lock w:val="sdtLocked"/>
              </w:sdtPr>
              <w:sdtContent>
                <w:tc>
                  <w:tcPr>
                    <w:tcW w:w="1642" w:type="dxa"/>
                    <w:shd w:val="clear" w:color="auto" w:fill="auto"/>
                    <w:vAlign w:val="center"/>
                  </w:tcPr>
                  <w:p>
                    <w:pPr>
                      <w:autoSpaceDE w:val="0"/>
                      <w:autoSpaceDN w:val="0"/>
                      <w:adjustRightInd w:val="0"/>
                      <w:snapToGrid w:val="0"/>
                      <w:rPr>
                        <w:szCs w:val="21"/>
                      </w:rPr>
                    </w:pPr>
                    <w:r>
                      <w:rPr>
                        <w:rFonts w:hint="eastAsia"/>
                        <w:szCs w:val="21"/>
                      </w:rPr>
                      <w:t>企业发展基金</w:t>
                    </w:r>
                  </w:p>
                </w:tc>
              </w:sdtContent>
            </w:sdt>
            <w:tc>
              <w:tcPr>
                <w:tcW w:w="1769" w:type="dxa"/>
                <w:shd w:val="clear" w:color="auto" w:fill="auto"/>
              </w:tcPr>
              <w:p>
                <w:pPr>
                  <w:autoSpaceDE w:val="0"/>
                  <w:autoSpaceDN w:val="0"/>
                  <w:adjustRightInd w:val="0"/>
                  <w:snapToGrid w:val="0"/>
                  <w:ind w:right="180"/>
                  <w:jc w:val="right"/>
                  <w:rPr>
                    <w:szCs w:val="21"/>
                  </w:rPr>
                </w:pPr>
              </w:p>
            </w:tc>
            <w:tc>
              <w:tcPr>
                <w:tcW w:w="1775" w:type="dxa"/>
                <w:shd w:val="clear" w:color="auto" w:fill="auto"/>
              </w:tcPr>
              <w:p>
                <w:pPr>
                  <w:autoSpaceDE w:val="0"/>
                  <w:autoSpaceDN w:val="0"/>
                  <w:adjustRightInd w:val="0"/>
                  <w:snapToGrid w:val="0"/>
                  <w:ind w:right="180"/>
                  <w:jc w:val="right"/>
                  <w:rPr>
                    <w:szCs w:val="21"/>
                  </w:rPr>
                </w:pPr>
              </w:p>
            </w:tc>
            <w:tc>
              <w:tcPr>
                <w:tcW w:w="1787" w:type="dxa"/>
                <w:shd w:val="clear" w:color="auto" w:fill="auto"/>
              </w:tcPr>
              <w:p>
                <w:pPr>
                  <w:autoSpaceDE w:val="0"/>
                  <w:autoSpaceDN w:val="0"/>
                  <w:adjustRightInd w:val="0"/>
                  <w:snapToGrid w:val="0"/>
                  <w:ind w:right="180"/>
                  <w:jc w:val="right"/>
                  <w:rPr>
                    <w:szCs w:val="21"/>
                  </w:rPr>
                </w:pPr>
              </w:p>
            </w:tc>
            <w:tc>
              <w:tcPr>
                <w:tcW w:w="1920" w:type="dxa"/>
                <w:shd w:val="clear" w:color="auto" w:fill="auto"/>
              </w:tcPr>
              <w:p>
                <w:pPr>
                  <w:autoSpaceDE w:val="0"/>
                  <w:autoSpaceDN w:val="0"/>
                  <w:adjustRightInd w:val="0"/>
                  <w:snapToGrid w:val="0"/>
                  <w:ind w:right="18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787d99c8eadb474ba4234e63ddea7355"/>
                <w:id w:val="6775258"/>
                <w:lock w:val="sdtLocked"/>
              </w:sdtPr>
              <w:sdtContent>
                <w:tc>
                  <w:tcPr>
                    <w:tcW w:w="1642" w:type="dxa"/>
                    <w:shd w:val="clear" w:color="auto" w:fill="auto"/>
                    <w:vAlign w:val="center"/>
                  </w:tcPr>
                  <w:p>
                    <w:pPr>
                      <w:autoSpaceDE w:val="0"/>
                      <w:autoSpaceDN w:val="0"/>
                      <w:adjustRightInd w:val="0"/>
                      <w:snapToGrid w:val="0"/>
                      <w:rPr>
                        <w:szCs w:val="21"/>
                      </w:rPr>
                    </w:pPr>
                    <w:r>
                      <w:rPr>
                        <w:rFonts w:hint="eastAsia"/>
                        <w:szCs w:val="21"/>
                      </w:rPr>
                      <w:t>其他</w:t>
                    </w:r>
                  </w:p>
                </w:tc>
              </w:sdtContent>
            </w:sdt>
            <w:tc>
              <w:tcPr>
                <w:tcW w:w="1769" w:type="dxa"/>
                <w:shd w:val="clear" w:color="auto" w:fill="auto"/>
              </w:tcPr>
              <w:p>
                <w:pPr>
                  <w:autoSpaceDE w:val="0"/>
                  <w:autoSpaceDN w:val="0"/>
                  <w:adjustRightInd w:val="0"/>
                  <w:snapToGrid w:val="0"/>
                  <w:ind w:right="180"/>
                  <w:jc w:val="right"/>
                  <w:rPr>
                    <w:szCs w:val="21"/>
                  </w:rPr>
                </w:pPr>
              </w:p>
            </w:tc>
            <w:tc>
              <w:tcPr>
                <w:tcW w:w="1775" w:type="dxa"/>
                <w:shd w:val="clear" w:color="auto" w:fill="auto"/>
              </w:tcPr>
              <w:p>
                <w:pPr>
                  <w:autoSpaceDE w:val="0"/>
                  <w:autoSpaceDN w:val="0"/>
                  <w:adjustRightInd w:val="0"/>
                  <w:snapToGrid w:val="0"/>
                  <w:ind w:right="180"/>
                  <w:jc w:val="right"/>
                  <w:rPr>
                    <w:szCs w:val="21"/>
                  </w:rPr>
                </w:pPr>
              </w:p>
            </w:tc>
            <w:tc>
              <w:tcPr>
                <w:tcW w:w="1787" w:type="dxa"/>
                <w:shd w:val="clear" w:color="auto" w:fill="auto"/>
              </w:tcPr>
              <w:p>
                <w:pPr>
                  <w:autoSpaceDE w:val="0"/>
                  <w:autoSpaceDN w:val="0"/>
                  <w:adjustRightInd w:val="0"/>
                  <w:snapToGrid w:val="0"/>
                  <w:ind w:right="180"/>
                  <w:jc w:val="right"/>
                  <w:rPr>
                    <w:szCs w:val="21"/>
                  </w:rPr>
                </w:pPr>
              </w:p>
            </w:tc>
            <w:tc>
              <w:tcPr>
                <w:tcW w:w="1920" w:type="dxa"/>
                <w:shd w:val="clear" w:color="auto" w:fill="auto"/>
              </w:tcPr>
              <w:p>
                <w:pPr>
                  <w:autoSpaceDE w:val="0"/>
                  <w:autoSpaceDN w:val="0"/>
                  <w:adjustRightInd w:val="0"/>
                  <w:snapToGrid w:val="0"/>
                  <w:ind w:right="18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761553a81bb545a7b32754ce7ef6325b"/>
                <w:id w:val="6775259"/>
                <w:lock w:val="sdtLocked"/>
              </w:sdtPr>
              <w:sdtContent>
                <w:tc>
                  <w:tcPr>
                    <w:tcW w:w="1642" w:type="dxa"/>
                  </w:tcPr>
                  <w:p>
                    <w:pPr>
                      <w:autoSpaceDE w:val="0"/>
                      <w:autoSpaceDN w:val="0"/>
                      <w:adjustRightInd w:val="0"/>
                      <w:snapToGrid w:val="0"/>
                      <w:jc w:val="center"/>
                      <w:rPr>
                        <w:szCs w:val="21"/>
                      </w:rPr>
                    </w:pPr>
                    <w:r>
                      <w:rPr>
                        <w:rFonts w:hint="eastAsia"/>
                        <w:szCs w:val="21"/>
                      </w:rPr>
                      <w:t>合计</w:t>
                    </w:r>
                  </w:p>
                </w:tc>
              </w:sdtContent>
            </w:sdt>
            <w:tc>
              <w:tcPr>
                <w:tcW w:w="1769" w:type="dxa"/>
              </w:tcPr>
              <w:p>
                <w:pPr>
                  <w:autoSpaceDE w:val="0"/>
                  <w:autoSpaceDN w:val="0"/>
                  <w:adjustRightInd w:val="0"/>
                  <w:snapToGrid w:val="0"/>
                  <w:ind w:right="180"/>
                  <w:jc w:val="right"/>
                  <w:rPr>
                    <w:szCs w:val="21"/>
                  </w:rPr>
                </w:pPr>
                <w:r>
                  <w:t>972,441,693.18</w:t>
                </w:r>
              </w:p>
            </w:tc>
            <w:tc>
              <w:tcPr>
                <w:tcW w:w="1775" w:type="dxa"/>
              </w:tcPr>
              <w:p>
                <w:pPr>
                  <w:autoSpaceDE w:val="0"/>
                  <w:autoSpaceDN w:val="0"/>
                  <w:adjustRightInd w:val="0"/>
                  <w:snapToGrid w:val="0"/>
                  <w:ind w:right="180"/>
                  <w:jc w:val="right"/>
                  <w:rPr>
                    <w:szCs w:val="21"/>
                  </w:rPr>
                </w:pPr>
                <w:r>
                  <w:t>264,617,629.37</w:t>
                </w:r>
              </w:p>
            </w:tc>
            <w:tc>
              <w:tcPr>
                <w:tcW w:w="1787" w:type="dxa"/>
              </w:tcPr>
              <w:p>
                <w:pPr>
                  <w:autoSpaceDE w:val="0"/>
                  <w:autoSpaceDN w:val="0"/>
                  <w:adjustRightInd w:val="0"/>
                  <w:snapToGrid w:val="0"/>
                  <w:ind w:right="180"/>
                  <w:jc w:val="right"/>
                  <w:rPr>
                    <w:szCs w:val="21"/>
                  </w:rPr>
                </w:pPr>
              </w:p>
            </w:tc>
            <w:tc>
              <w:tcPr>
                <w:tcW w:w="1920" w:type="dxa"/>
              </w:tcPr>
              <w:p>
                <w:pPr>
                  <w:autoSpaceDE w:val="0"/>
                  <w:autoSpaceDN w:val="0"/>
                  <w:adjustRightInd w:val="0"/>
                  <w:snapToGrid w:val="0"/>
                  <w:ind w:right="180"/>
                  <w:jc w:val="right"/>
                  <w:rPr>
                    <w:szCs w:val="21"/>
                  </w:rPr>
                </w:pPr>
                <w:r>
                  <w:rPr>
                    <w:rFonts w:cs="Arial"/>
                    <w:szCs w:val="21"/>
                  </w:rPr>
                  <w:t>1,237,059,322.55</w:t>
                </w:r>
              </w:p>
            </w:tc>
          </w:tr>
        </w:tbl>
        <w:p/>
        <w:p>
          <w:pPr>
            <w:autoSpaceDE w:val="0"/>
            <w:autoSpaceDN w:val="0"/>
            <w:adjustRightInd w:val="0"/>
            <w:rPr>
              <w:color w:val="000000" w:themeColor="text1"/>
              <w:szCs w:val="21"/>
            </w:rPr>
          </w:pPr>
          <w:r>
            <w:rPr>
              <w:rFonts w:hint="eastAsia"/>
              <w:szCs w:val="21"/>
            </w:rPr>
            <w:t>盈余公积说明，包括本期增减变动情况、变动原因说明：</w:t>
          </w:r>
          <w:sdt>
            <w:sdtPr>
              <w:rPr>
                <w:szCs w:val="21"/>
              </w:rPr>
              <w:alias w:val="盈余公积说明"/>
              <w:tag w:val="_GBC_538b8c4ba55d480592f5f9485177617e"/>
              <w:id w:val="6775260"/>
              <w:lock w:val="sdtLocked"/>
              <w:placeholder>
                <w:docPart w:val="GBC22222222222222222222222222222"/>
              </w:placeholder>
            </w:sdtPr>
            <w:sdtEndPr>
              <w:rPr>
                <w:szCs w:val="21"/>
              </w:rPr>
            </w:sdtEndPr>
            <w:sdtContent>
              <w:r>
                <w:rPr>
                  <w:rFonts w:hint="eastAsia"/>
                  <w:szCs w:val="21"/>
                </w:rPr>
                <w:t>公司本报告期法定盈余公积金的增加来源于净利润的增加。</w:t>
              </w:r>
            </w:sdtContent>
          </w:sdt>
        </w:p>
      </w:sdtContent>
    </w:sdt>
    <w:p>
      <w:pPr>
        <w:pStyle w:val="4"/>
        <w:numPr>
          <w:ilvl w:val="0"/>
          <w:numId w:val="66"/>
        </w:numPr>
        <w:tabs>
          <w:tab w:val="left" w:pos="504"/>
        </w:tabs>
        <w:rPr>
          <w:rFonts w:ascii="宋体" w:hAnsi="宋体"/>
          <w:szCs w:val="21"/>
        </w:rPr>
      </w:pPr>
      <w:r>
        <w:rPr>
          <w:rFonts w:hint="eastAsia" w:ascii="宋体" w:hAnsi="宋体"/>
          <w:szCs w:val="21"/>
        </w:rPr>
        <w:t>未分配利润</w:t>
      </w:r>
    </w:p>
    <w:p>
      <w:sdt>
        <w:sdtPr>
          <w:alias w:val="是否适用：未分配利润[双击切换]"/>
          <w:tag w:val="_GBC_0ccb002da9b649db91afd1ca2a9330f8"/>
          <w:id w:val="6775262"/>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
      <w:sdtPr>
        <w:rPr>
          <w:rFonts w:hint="eastAsia"/>
          <w:b/>
          <w:bCs/>
          <w:szCs w:val="21"/>
        </w:rPr>
        <w:alias w:val="模块:未分配利润;"/>
        <w:tag w:val="_SEC_099bae2e74dd4c638d827dd234536518"/>
        <w:id w:val="6775283"/>
        <w:lock w:val="sdtLocked"/>
        <w:placeholder>
          <w:docPart w:val="GBC22222222222222222222222222222"/>
        </w:placeholder>
      </w:sdtPr>
      <w:sdtEndPr>
        <w:rPr>
          <w:rFonts w:hint="eastAsia"/>
          <w:b w:val="0"/>
          <w:bCs w:val="0"/>
          <w:szCs w:val="21"/>
        </w:rPr>
      </w:sdtEndPr>
      <w:sdtContent>
        <w:p>
          <w:pPr>
            <w:jc w:val="right"/>
            <w:rPr>
              <w:szCs w:val="21"/>
            </w:rPr>
          </w:pPr>
          <w:r>
            <w:rPr>
              <w:rFonts w:hint="eastAsia"/>
              <w:szCs w:val="21"/>
            </w:rPr>
            <w:t>单位：</w:t>
          </w:r>
          <w:sdt>
            <w:sdtPr>
              <w:rPr>
                <w:rFonts w:hint="eastAsia"/>
                <w:szCs w:val="21"/>
              </w:rPr>
              <w:alias w:val="单位：财务附注：未分配利润"/>
              <w:tag w:val="_GBC_fc12fabcd66949d39f6f74b747284465"/>
              <w:id w:val="677526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67752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4426"/>
            <w:gridCol w:w="2268"/>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30da0a90f08b46f090b6fee887a691bc"/>
                <w:id w:val="6775265"/>
                <w:lock w:val="sdtLocked"/>
              </w:sdtPr>
              <w:sdtContent>
                <w:tc>
                  <w:tcPr>
                    <w:tcW w:w="4426" w:type="dxa"/>
                    <w:vAlign w:val="center"/>
                  </w:tcPr>
                  <w:p>
                    <w:pPr>
                      <w:jc w:val="center"/>
                      <w:rPr>
                        <w:szCs w:val="21"/>
                      </w:rPr>
                    </w:pPr>
                    <w:r>
                      <w:rPr>
                        <w:rFonts w:hint="eastAsia"/>
                        <w:szCs w:val="21"/>
                      </w:rPr>
                      <w:t>项目</w:t>
                    </w:r>
                  </w:p>
                </w:tc>
              </w:sdtContent>
            </w:sdt>
            <w:sdt>
              <w:sdtPr>
                <w:tag w:val="_PLD_27c0ff4064964dc5b9e335151d04b603"/>
                <w:id w:val="6775266"/>
                <w:lock w:val="sdtLocked"/>
              </w:sdtPr>
              <w:sdtContent>
                <w:tc>
                  <w:tcPr>
                    <w:tcW w:w="2268" w:type="dxa"/>
                    <w:vAlign w:val="center"/>
                  </w:tcPr>
                  <w:p>
                    <w:pPr>
                      <w:jc w:val="center"/>
                      <w:rPr>
                        <w:szCs w:val="21"/>
                      </w:rPr>
                    </w:pPr>
                    <w:r>
                      <w:rPr>
                        <w:rFonts w:hint="eastAsia"/>
                        <w:szCs w:val="21"/>
                      </w:rPr>
                      <w:t>本期</w:t>
                    </w:r>
                  </w:p>
                </w:tc>
              </w:sdtContent>
            </w:sdt>
            <w:sdt>
              <w:sdtPr>
                <w:tag w:val="_PLD_613460741a0147b7be8212812793694e"/>
                <w:id w:val="6775267"/>
                <w:lock w:val="sdtLocked"/>
              </w:sdtPr>
              <w:sdtContent>
                <w:tc>
                  <w:tcPr>
                    <w:tcW w:w="2201" w:type="dxa"/>
                    <w:vAlign w:val="center"/>
                  </w:tcPr>
                  <w:p>
                    <w:pPr>
                      <w:jc w:val="center"/>
                      <w:rPr>
                        <w:szCs w:val="21"/>
                      </w:rPr>
                    </w:pPr>
                    <w:r>
                      <w:rPr>
                        <w:rFonts w:hint="eastAsia"/>
                        <w:szCs w:val="21"/>
                      </w:rPr>
                      <w:t>上期</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a8a908ccb6754af7b684355be7043ef6"/>
                <w:id w:val="6775268"/>
                <w:lock w:val="sdtLocked"/>
              </w:sdtPr>
              <w:sdtContent>
                <w:tc>
                  <w:tcPr>
                    <w:tcW w:w="4426" w:type="dxa"/>
                  </w:tcPr>
                  <w:p>
                    <w:pPr>
                      <w:rPr>
                        <w:szCs w:val="21"/>
                      </w:rPr>
                    </w:pPr>
                    <w:r>
                      <w:rPr>
                        <w:rFonts w:hint="eastAsia"/>
                        <w:szCs w:val="21"/>
                      </w:rPr>
                      <w:t>调整前上期末未分配利润</w:t>
                    </w:r>
                  </w:p>
                </w:tc>
              </w:sdtContent>
            </w:sdt>
            <w:tc>
              <w:tcPr>
                <w:tcW w:w="2268" w:type="dxa"/>
              </w:tcPr>
              <w:p>
                <w:pPr>
                  <w:ind w:right="6"/>
                  <w:jc w:val="right"/>
                  <w:rPr>
                    <w:szCs w:val="21"/>
                  </w:rPr>
                </w:pPr>
                <w:r>
                  <w:t>885,130,382.22</w:t>
                </w:r>
              </w:p>
            </w:tc>
            <w:tc>
              <w:tcPr>
                <w:tcW w:w="2201" w:type="dxa"/>
              </w:tcPr>
              <w:p>
                <w:pPr>
                  <w:jc w:val="right"/>
                  <w:rPr>
                    <w:szCs w:val="21"/>
                  </w:rPr>
                </w:pPr>
                <w:r>
                  <w:t>708,336,120.90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02ab5ac1239f40a6a46e28f567884d1f"/>
                <w:id w:val="6775269"/>
                <w:lock w:val="sdtLocked"/>
              </w:sdtPr>
              <w:sdtContent>
                <w:tc>
                  <w:tcPr>
                    <w:tcW w:w="4426" w:type="dxa"/>
                  </w:tcPr>
                  <w:p>
                    <w:pPr>
                      <w:rPr>
                        <w:szCs w:val="21"/>
                      </w:rPr>
                    </w:pPr>
                    <w:r>
                      <w:rPr>
                        <w:rFonts w:hint="eastAsia"/>
                        <w:szCs w:val="21"/>
                      </w:rPr>
                      <w:t>调整期初未分配利润合计数（调增</w:t>
                    </w:r>
                    <w:r>
                      <w:rPr>
                        <w:szCs w:val="21"/>
                      </w:rPr>
                      <w:t>+</w:t>
                    </w:r>
                    <w:r>
                      <w:rPr>
                        <w:rFonts w:hint="eastAsia"/>
                        <w:szCs w:val="21"/>
                      </w:rPr>
                      <w:t>，调减－）</w:t>
                    </w:r>
                  </w:p>
                </w:tc>
              </w:sdtContent>
            </w:sdt>
            <w:tc>
              <w:tcPr>
                <w:tcW w:w="2268" w:type="dxa"/>
              </w:tcPr>
              <w:p>
                <w:pPr>
                  <w:ind w:right="6"/>
                  <w:jc w:val="right"/>
                  <w:rPr>
                    <w:szCs w:val="21"/>
                  </w:rPr>
                </w:pPr>
              </w:p>
            </w:tc>
            <w:tc>
              <w:tcPr>
                <w:tcW w:w="2201" w:type="dxa"/>
              </w:tcPr>
              <w:p>
                <w:pPr>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77ca15ebef62468eb0dd24c8e090b1ab"/>
                <w:id w:val="6775270"/>
                <w:lock w:val="sdtLocked"/>
              </w:sdtPr>
              <w:sdtContent>
                <w:tc>
                  <w:tcPr>
                    <w:tcW w:w="4426" w:type="dxa"/>
                  </w:tcPr>
                  <w:p>
                    <w:pPr>
                      <w:rPr>
                        <w:szCs w:val="21"/>
                      </w:rPr>
                    </w:pPr>
                    <w:r>
                      <w:rPr>
                        <w:rFonts w:hint="eastAsia"/>
                        <w:szCs w:val="21"/>
                      </w:rPr>
                      <w:t>调整后期初未分配利润</w:t>
                    </w:r>
                  </w:p>
                </w:tc>
              </w:sdtContent>
            </w:sdt>
            <w:tc>
              <w:tcPr>
                <w:tcW w:w="2268" w:type="dxa"/>
              </w:tcPr>
              <w:p>
                <w:pPr>
                  <w:ind w:right="6"/>
                  <w:jc w:val="right"/>
                  <w:rPr>
                    <w:szCs w:val="21"/>
                  </w:rPr>
                </w:pPr>
                <w:r>
                  <w:t>885,130,382.22</w:t>
                </w:r>
              </w:p>
            </w:tc>
            <w:tc>
              <w:tcPr>
                <w:tcW w:w="2201" w:type="dxa"/>
              </w:tcPr>
              <w:p>
                <w:pPr>
                  <w:ind w:right="6"/>
                  <w:jc w:val="right"/>
                  <w:rPr>
                    <w:szCs w:val="21"/>
                  </w:rPr>
                </w:pPr>
                <w:r>
                  <w:t>708,336,120.90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9fc7a2bfee39423d80a60d153fe240df"/>
                <w:id w:val="6775271"/>
                <w:lock w:val="sdtLocked"/>
              </w:sdtPr>
              <w:sdtContent>
                <w:tc>
                  <w:tcPr>
                    <w:tcW w:w="4426" w:type="dxa"/>
                  </w:tcPr>
                  <w:p>
                    <w:pPr>
                      <w:ind w:right="6"/>
                      <w:rPr>
                        <w:szCs w:val="21"/>
                      </w:rPr>
                    </w:pPr>
                    <w:r>
                      <w:rPr>
                        <w:rFonts w:hint="eastAsia"/>
                        <w:szCs w:val="21"/>
                      </w:rPr>
                      <w:t>加：本期归属于母公司所有者的净利润</w:t>
                    </w:r>
                  </w:p>
                </w:tc>
              </w:sdtContent>
            </w:sdt>
            <w:tc>
              <w:tcPr>
                <w:tcW w:w="2268" w:type="dxa"/>
              </w:tcPr>
              <w:p>
                <w:pPr>
                  <w:ind w:right="6"/>
                  <w:jc w:val="right"/>
                  <w:rPr>
                    <w:szCs w:val="21"/>
                  </w:rPr>
                </w:pPr>
                <w:r>
                  <w:t>2,646,176,293.67</w:t>
                </w:r>
              </w:p>
            </w:tc>
            <w:tc>
              <w:tcPr>
                <w:tcW w:w="2201" w:type="dxa"/>
              </w:tcPr>
              <w:p>
                <w:pPr>
                  <w:ind w:right="6"/>
                  <w:jc w:val="right"/>
                  <w:rPr>
                    <w:szCs w:val="21"/>
                  </w:rPr>
                </w:pPr>
                <w:r>
                  <w:t>196,438,068.13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45ceb5eda6064d7ea7b72559c6fb383d"/>
                <w:id w:val="6775272"/>
                <w:lock w:val="sdtLocked"/>
              </w:sdtPr>
              <w:sdtContent>
                <w:tc>
                  <w:tcPr>
                    <w:tcW w:w="4426" w:type="dxa"/>
                  </w:tcPr>
                  <w:p>
                    <w:pPr>
                      <w:autoSpaceDE w:val="0"/>
                      <w:autoSpaceDN w:val="0"/>
                      <w:adjustRightInd w:val="0"/>
                      <w:rPr>
                        <w:szCs w:val="21"/>
                      </w:rPr>
                    </w:pPr>
                    <w:r>
                      <w:rPr>
                        <w:rFonts w:hint="eastAsia"/>
                        <w:szCs w:val="21"/>
                      </w:rPr>
                      <w:t>减：提取法定盈余公积</w:t>
                    </w:r>
                  </w:p>
                </w:tc>
              </w:sdtContent>
            </w:sdt>
            <w:tc>
              <w:tcPr>
                <w:tcW w:w="2268" w:type="dxa"/>
              </w:tcPr>
              <w:p>
                <w:pPr>
                  <w:jc w:val="right"/>
                  <w:rPr>
                    <w:szCs w:val="21"/>
                  </w:rPr>
                </w:pPr>
                <w:r>
                  <w:t>264,617,629.37</w:t>
                </w:r>
              </w:p>
            </w:tc>
            <w:tc>
              <w:tcPr>
                <w:tcW w:w="2201" w:type="dxa"/>
              </w:tcPr>
              <w:p>
                <w:pPr>
                  <w:ind w:right="6"/>
                  <w:jc w:val="right"/>
                  <w:rPr>
                    <w:szCs w:val="21"/>
                  </w:rPr>
                </w:pPr>
                <w:r>
                  <w:t>19,643,806.81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b9048167f4e548f88b2ee2db042401a5"/>
                <w:id w:val="6775273"/>
                <w:lock w:val="sdtLocked"/>
              </w:sdtPr>
              <w:sdtContent>
                <w:tc>
                  <w:tcPr>
                    <w:tcW w:w="4426" w:type="dxa"/>
                  </w:tcPr>
                  <w:p>
                    <w:pPr>
                      <w:autoSpaceDE w:val="0"/>
                      <w:autoSpaceDN w:val="0"/>
                      <w:adjustRightInd w:val="0"/>
                      <w:ind w:firstLine="420"/>
                      <w:rPr>
                        <w:szCs w:val="21"/>
                      </w:rPr>
                    </w:pPr>
                    <w:r>
                      <w:rPr>
                        <w:rFonts w:hint="eastAsia"/>
                        <w:szCs w:val="21"/>
                      </w:rPr>
                      <w:t>提取任意盈余公积</w:t>
                    </w:r>
                  </w:p>
                </w:tc>
              </w:sdtContent>
            </w:sdt>
            <w:tc>
              <w:tcPr>
                <w:tcW w:w="2268" w:type="dxa"/>
              </w:tcPr>
              <w:p>
                <w:pPr>
                  <w:jc w:val="right"/>
                  <w:rPr>
                    <w:szCs w:val="21"/>
                  </w:rPr>
                </w:pPr>
              </w:p>
            </w:tc>
            <w:tc>
              <w:tcPr>
                <w:tcW w:w="2201" w:type="dxa"/>
              </w:tcPr>
              <w:p>
                <w:pPr>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50cefe8e83c143188bf2474236d80680"/>
                <w:id w:val="6775274"/>
                <w:lock w:val="sdtLocked"/>
              </w:sdtPr>
              <w:sdtContent>
                <w:tc>
                  <w:tcPr>
                    <w:tcW w:w="4426" w:type="dxa"/>
                  </w:tcPr>
                  <w:p>
                    <w:pPr>
                      <w:autoSpaceDE w:val="0"/>
                      <w:autoSpaceDN w:val="0"/>
                      <w:adjustRightInd w:val="0"/>
                      <w:ind w:firstLine="420"/>
                      <w:rPr>
                        <w:szCs w:val="21"/>
                      </w:rPr>
                    </w:pPr>
                    <w:r>
                      <w:rPr>
                        <w:rFonts w:hint="eastAsia"/>
                        <w:szCs w:val="21"/>
                      </w:rPr>
                      <w:t>提取一般风险准备</w:t>
                    </w:r>
                  </w:p>
                </w:tc>
              </w:sdtContent>
            </w:sdt>
            <w:tc>
              <w:tcPr>
                <w:tcW w:w="2268" w:type="dxa"/>
              </w:tcPr>
              <w:p>
                <w:pPr>
                  <w:jc w:val="right"/>
                  <w:rPr>
                    <w:szCs w:val="21"/>
                  </w:rPr>
                </w:pPr>
              </w:p>
            </w:tc>
            <w:tc>
              <w:tcPr>
                <w:tcW w:w="2201" w:type="dxa"/>
              </w:tcPr>
              <w:p>
                <w:pPr>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87bbb7d2e8fe4a08961cba210a7ec6dc"/>
                <w:id w:val="6775275"/>
                <w:lock w:val="sdtLocked"/>
              </w:sdtPr>
              <w:sdtContent>
                <w:tc>
                  <w:tcPr>
                    <w:tcW w:w="4426" w:type="dxa"/>
                  </w:tcPr>
                  <w:p>
                    <w:pPr>
                      <w:autoSpaceDE w:val="0"/>
                      <w:autoSpaceDN w:val="0"/>
                      <w:adjustRightInd w:val="0"/>
                      <w:ind w:firstLine="420"/>
                      <w:rPr>
                        <w:szCs w:val="21"/>
                      </w:rPr>
                    </w:pPr>
                    <w:r>
                      <w:rPr>
                        <w:rFonts w:hint="eastAsia"/>
                        <w:szCs w:val="21"/>
                      </w:rPr>
                      <w:t>应付普通股股利</w:t>
                    </w:r>
                  </w:p>
                </w:tc>
              </w:sdtContent>
            </w:sdt>
            <w:tc>
              <w:tcPr>
                <w:tcW w:w="2268" w:type="dxa"/>
              </w:tcPr>
              <w:p>
                <w:pPr>
                  <w:jc w:val="right"/>
                  <w:rPr>
                    <w:szCs w:val="21"/>
                  </w:rPr>
                </w:pPr>
                <w:r>
                  <w:t>76,883,796.00</w:t>
                </w:r>
              </w:p>
            </w:tc>
            <w:tc>
              <w:tcPr>
                <w:tcW w:w="2201" w:type="dxa"/>
              </w:tcPr>
              <w:p>
                <w:pPr>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4bbfbdfbfae0435097e7295f7e9172d3"/>
                <w:id w:val="6775276"/>
                <w:lock w:val="sdtLocked"/>
              </w:sdtPr>
              <w:sdtContent>
                <w:tc>
                  <w:tcPr>
                    <w:tcW w:w="4426" w:type="dxa"/>
                  </w:tcPr>
                  <w:p>
                    <w:pPr>
                      <w:autoSpaceDE w:val="0"/>
                      <w:autoSpaceDN w:val="0"/>
                      <w:adjustRightInd w:val="0"/>
                      <w:ind w:firstLine="420"/>
                      <w:rPr>
                        <w:szCs w:val="21"/>
                      </w:rPr>
                    </w:pPr>
                    <w:r>
                      <w:rPr>
                        <w:rFonts w:hint="eastAsia"/>
                        <w:szCs w:val="21"/>
                      </w:rPr>
                      <w:t>转作股本的普通股股利</w:t>
                    </w:r>
                  </w:p>
                </w:tc>
              </w:sdtContent>
            </w:sdt>
            <w:tc>
              <w:tcPr>
                <w:tcW w:w="2268" w:type="dxa"/>
              </w:tcPr>
              <w:p>
                <w:pPr>
                  <w:jc w:val="right"/>
                  <w:rPr>
                    <w:szCs w:val="21"/>
                  </w:rPr>
                </w:pPr>
              </w:p>
            </w:tc>
            <w:tc>
              <w:tcPr>
                <w:tcW w:w="2201" w:type="dxa"/>
              </w:tcPr>
              <w:p>
                <w:pPr>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d7d3f7cba9bf4a16a498b0ccb214564d"/>
                <w:id w:val="6775277"/>
                <w:lock w:val="sdtLocked"/>
              </w:sdtPr>
              <w:sdtContent>
                <w:tc>
                  <w:tcPr>
                    <w:tcW w:w="4426" w:type="dxa"/>
                  </w:tcPr>
                  <w:p>
                    <w:pPr>
                      <w:autoSpaceDE w:val="0"/>
                      <w:autoSpaceDN w:val="0"/>
                      <w:adjustRightInd w:val="0"/>
                      <w:rPr>
                        <w:szCs w:val="21"/>
                      </w:rPr>
                    </w:pPr>
                    <w:r>
                      <w:rPr>
                        <w:rFonts w:hint="eastAsia"/>
                        <w:szCs w:val="21"/>
                      </w:rPr>
                      <w:t>期末未分配利润</w:t>
                    </w:r>
                  </w:p>
                </w:tc>
              </w:sdtContent>
            </w:sdt>
            <w:tc>
              <w:tcPr>
                <w:tcW w:w="2268" w:type="dxa"/>
              </w:tcPr>
              <w:p>
                <w:pPr>
                  <w:jc w:val="right"/>
                  <w:rPr>
                    <w:szCs w:val="21"/>
                  </w:rPr>
                </w:pPr>
                <w:r>
                  <w:rPr>
                    <w:rFonts w:cs="Arial"/>
                    <w:szCs w:val="21"/>
                  </w:rPr>
                  <w:t>3,189,805,250.5</w:t>
                </w:r>
                <w:r>
                  <w:rPr>
                    <w:rFonts w:hint="eastAsia" w:cs="Arial"/>
                    <w:szCs w:val="21"/>
                  </w:rPr>
                  <w:t>2</w:t>
                </w:r>
              </w:p>
            </w:tc>
            <w:tc>
              <w:tcPr>
                <w:tcW w:w="2201" w:type="dxa"/>
              </w:tcPr>
              <w:p>
                <w:pPr>
                  <w:ind w:right="6"/>
                  <w:jc w:val="right"/>
                  <w:rPr>
                    <w:szCs w:val="21"/>
                  </w:rPr>
                </w:pPr>
                <w:r>
                  <w:t>885,130,382.22</w:t>
                </w:r>
              </w:p>
            </w:tc>
          </w:tr>
        </w:tbl>
        <w:p/>
        <w:p>
          <w:pPr>
            <w:spacing w:before="60" w:after="60"/>
            <w:rPr>
              <w:color w:val="000000" w:themeColor="text1"/>
              <w:szCs w:val="21"/>
            </w:rPr>
          </w:pPr>
          <w:r>
            <w:rPr>
              <w:rFonts w:hint="eastAsia"/>
              <w:color w:val="000000" w:themeColor="text1"/>
              <w:szCs w:val="21"/>
            </w:rPr>
            <w:t>调整期初未分配利润明细：</w:t>
          </w:r>
        </w:p>
        <w:p>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6775278"/>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p>
          <w:pPr>
            <w:rPr>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6775279"/>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p>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6775280"/>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p>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f30de8253e8b446d94ba7a482cf7cae5"/>
              <w:id w:val="6775281"/>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p>
          <w:pPr>
            <w:rPr>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6775282"/>
              <w:lock w:val="sdtLocked"/>
              <w:placeholder>
                <w:docPart w:val="GBC22222222222222222222222222222"/>
              </w:placeholder>
            </w:sdtPr>
            <w:sdtEndPr>
              <w:rPr>
                <w:rFonts w:hint="eastAsia"/>
                <w:szCs w:val="21"/>
              </w:rPr>
            </w:sdtEndPr>
            <w:sdtContent>
              <w:r>
                <w:rPr>
                  <w:rFonts w:hint="eastAsia"/>
                  <w:szCs w:val="21"/>
                </w:rPr>
                <w:t>0</w:t>
              </w:r>
            </w:sdtContent>
          </w:sdt>
          <w:r>
            <w:rPr>
              <w:rFonts w:hint="eastAsia"/>
              <w:szCs w:val="21"/>
            </w:rPr>
            <w:t xml:space="preserve"> 元。</w:t>
          </w:r>
        </w:p>
      </w:sdtContent>
    </w:sdt>
    <w:p>
      <w:pPr>
        <w:rPr>
          <w:szCs w:val="21"/>
        </w:rPr>
      </w:pPr>
    </w:p>
    <w:sdt>
      <w:sdtPr>
        <w:rPr>
          <w:rFonts w:hint="eastAsia" w:ascii="宋体" w:hAnsi="宋体" w:cs="宋体"/>
          <w:b w:val="0"/>
          <w:bCs w:val="0"/>
          <w:kern w:val="0"/>
          <w:szCs w:val="21"/>
        </w:rPr>
        <w:alias w:val="模块:营业收入和营业成本"/>
        <w:tag w:val="_SEC_4f278fa30cb04e56a01c1330e71747dc"/>
        <w:id w:val="6775297"/>
        <w:lock w:val="sdtLocked"/>
        <w:placeholder>
          <w:docPart w:val="GBC22222222222222222222222222222"/>
        </w:placeholder>
      </w:sdtPr>
      <w:sdtEndPr>
        <w:rPr>
          <w:rFonts w:hint="default" w:ascii="宋体" w:hAnsi="宋体" w:cs="宋体"/>
          <w:b w:val="0"/>
          <w:bCs w:val="0"/>
          <w:kern w:val="0"/>
          <w:szCs w:val="24"/>
        </w:rPr>
      </w:sdtEndPr>
      <w:sdtContent>
        <w:p>
          <w:pPr>
            <w:pStyle w:val="4"/>
            <w:numPr>
              <w:ilvl w:val="0"/>
              <w:numId w:val="66"/>
            </w:numPr>
            <w:tabs>
              <w:tab w:val="left" w:pos="504"/>
            </w:tabs>
            <w:rPr>
              <w:szCs w:val="21"/>
            </w:rPr>
          </w:pPr>
          <w:r>
            <w:rPr>
              <w:szCs w:val="21"/>
            </w:rPr>
            <w:t>营业</w:t>
          </w:r>
          <w:r>
            <w:rPr>
              <w:rFonts w:ascii="宋体" w:hAnsi="宋体"/>
              <w:szCs w:val="21"/>
            </w:rPr>
            <w:t>收入</w:t>
          </w:r>
          <w:r>
            <w:rPr>
              <w:szCs w:val="21"/>
            </w:rPr>
            <w:t>和营业成本</w:t>
          </w:r>
        </w:p>
        <w:sdt>
          <w:sdtPr>
            <w:alias w:val="是否适用：营业收入和营业成本[双击切换]"/>
            <w:tag w:val="_GBC_c0388196e3634afc823f4b5822c5937a"/>
            <w:id w:val="677528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bCs/>
              <w:szCs w:val="21"/>
            </w:rPr>
            <w:t>单位：</w:t>
          </w:r>
          <w:sdt>
            <w:sdtPr>
              <w:rPr>
                <w:rFonts w:hint="eastAsia"/>
                <w:bCs/>
                <w:szCs w:val="21"/>
              </w:rPr>
              <w:alias w:val="单位：财务附注：营业收入"/>
              <w:tag w:val="_GBC_65cadde8ae1e4b178e7f2737b89bb434"/>
              <w:id w:val="677528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bCs/>
                <w:szCs w:val="21"/>
              </w:rPr>
            </w:sdtEnd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67752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bCs/>
                <w:szCs w:val="21"/>
              </w:rPr>
            </w:sdtEndPr>
            <w:sdtContent>
              <w:r>
                <w:rPr>
                  <w:rFonts w:hint="eastAsia"/>
                  <w:bCs/>
                  <w:szCs w:val="21"/>
                </w:rPr>
                <w:t>人民币</w:t>
              </w:r>
            </w:sdtContent>
          </w:sdt>
        </w:p>
        <w:tbl>
          <w:tblPr>
            <w:tblStyle w:val="83"/>
            <w:tblW w:w="892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864"/>
            <w:gridCol w:w="1877"/>
            <w:gridCol w:w="187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77e8683f75cd4c9e919404e1278fe9a0"/>
                <w:id w:val="6775287"/>
                <w:lock w:val="sdtLocked"/>
              </w:sdtPr>
              <w:sdtContent>
                <w:tc>
                  <w:tcPr>
                    <w:tcW w:w="1437" w:type="dxa"/>
                    <w:vMerge w:val="restart"/>
                    <w:tcBorders>
                      <w:top w:val="single" w:color="auto" w:sz="4" w:space="0"/>
                      <w:left w:val="single" w:color="auto" w:sz="4" w:space="0"/>
                      <w:right w:val="single" w:color="auto" w:sz="4" w:space="0"/>
                    </w:tcBorders>
                    <w:shd w:val="clear" w:color="auto" w:fill="auto"/>
                    <w:vAlign w:val="center"/>
                  </w:tcPr>
                  <w:p>
                    <w:pPr>
                      <w:jc w:val="center"/>
                      <w:rPr>
                        <w:szCs w:val="21"/>
                      </w:rPr>
                    </w:pPr>
                    <w:r>
                      <w:rPr>
                        <w:rFonts w:hint="eastAsia"/>
                        <w:szCs w:val="21"/>
                      </w:rPr>
                      <w:t>项目</w:t>
                    </w:r>
                  </w:p>
                </w:tc>
              </w:sdtContent>
            </w:sdt>
            <w:sdt>
              <w:sdtPr>
                <w:tag w:val="_PLD_e956f55a311f45a19dc3ce9396b931c9"/>
                <w:id w:val="6775288"/>
                <w:lock w:val="sdtLocked"/>
              </w:sdtPr>
              <w:sdtContent>
                <w:tc>
                  <w:tcPr>
                    <w:tcW w:w="3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本期发生额</w:t>
                    </w:r>
                  </w:p>
                </w:tc>
              </w:sdtContent>
            </w:sdt>
            <w:sdt>
              <w:sdtPr>
                <w:tag w:val="_PLD_d175a7df90684e2bbdccc1ba942f2760"/>
                <w:id w:val="6775289"/>
                <w:lock w:val="sdtLocked"/>
              </w:sdtPr>
              <w:sdtContent>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tcBorders>
                  <w:left w:val="single" w:color="auto" w:sz="4" w:space="0"/>
                  <w:bottom w:val="single" w:color="auto" w:sz="4" w:space="0"/>
                  <w:right w:val="single" w:color="auto" w:sz="4" w:space="0"/>
                </w:tcBorders>
                <w:shd w:val="clear" w:color="auto" w:fill="auto"/>
              </w:tcPr>
              <w:p>
                <w:pPr>
                  <w:jc w:val="center"/>
                  <w:rPr>
                    <w:szCs w:val="21"/>
                  </w:rPr>
                </w:pPr>
              </w:p>
            </w:tc>
            <w:sdt>
              <w:sdtPr>
                <w:tag w:val="_PLD_fe053e4bca564a1fbda44c85256ce067"/>
                <w:id w:val="6775290"/>
                <w:lock w:val="sdtLocked"/>
              </w:sdtPr>
              <w:sdtContent>
                <w:tc>
                  <w:tcPr>
                    <w:tcW w:w="18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收入</w:t>
                    </w:r>
                  </w:p>
                </w:tc>
              </w:sdtContent>
            </w:sdt>
            <w:sdt>
              <w:sdtPr>
                <w:tag w:val="_PLD_88be7d92d03d4168a79d4492be4a258c"/>
                <w:id w:val="6775291"/>
                <w:lock w:val="sdtLocked"/>
              </w:sdtPr>
              <w:sdtContent>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成本</w:t>
                    </w:r>
                  </w:p>
                </w:tc>
              </w:sdtContent>
            </w:sdt>
            <w:sdt>
              <w:sdtPr>
                <w:tag w:val="_PLD_5ba4682bc5644bc38c4b795c78508b1f"/>
                <w:id w:val="6775292"/>
                <w:lock w:val="sdtLocked"/>
              </w:sdtPr>
              <w:sdtContent>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收入</w:t>
                    </w:r>
                  </w:p>
                </w:tc>
              </w:sdtContent>
            </w:sdt>
            <w:sdt>
              <w:sdtPr>
                <w:tag w:val="_PLD_94a3ede4ab834e37a20364f2c6897976"/>
                <w:id w:val="6775293"/>
                <w:lock w:val="sdtLocked"/>
              </w:sdtPr>
              <w:sdtContent>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成本</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940b00507304d829a4504bf1ed9614e"/>
                <w:id w:val="6775294"/>
                <w:lock w:val="sdtLocked"/>
              </w:sdtPr>
              <w:sdtContent>
                <w:tc>
                  <w:tcPr>
                    <w:tcW w:w="1437"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主营业务</w:t>
                    </w:r>
                  </w:p>
                </w:tc>
              </w:sdtContent>
            </w:sdt>
            <w:tc>
              <w:tcPr>
                <w:tcW w:w="1864"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38,870,013,062.78</w:t>
                </w:r>
              </w:p>
            </w:tc>
            <w:tc>
              <w:tcPr>
                <w:tcW w:w="1877"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35,408,353,889.23</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24,209,166,676.95</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23,104,697,520.73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a6f7d26b9aa400b90e8820fa4049db6"/>
                <w:id w:val="6775295"/>
                <w:lock w:val="sdtLocked"/>
              </w:sdtPr>
              <w:sdtContent>
                <w:tc>
                  <w:tcPr>
                    <w:tcW w:w="1437"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其他业务</w:t>
                    </w:r>
                  </w:p>
                </w:tc>
              </w:sdtContent>
            </w:sdt>
            <w:tc>
              <w:tcPr>
                <w:tcW w:w="1864"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2,687,155,991.48</w:t>
                </w:r>
              </w:p>
            </w:tc>
            <w:tc>
              <w:tcPr>
                <w:tcW w:w="1877"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2,422,443,804.71</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2,441,234,619.19</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2,131,001,964.09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98cf287f001436badb631738dfa74be"/>
                <w:id w:val="6775296"/>
                <w:lock w:val="sdtLocked"/>
              </w:sdtPr>
              <w:sdtContent>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合计</w:t>
                    </w:r>
                  </w:p>
                </w:tc>
              </w:sdtContent>
            </w:sdt>
            <w:tc>
              <w:tcPr>
                <w:tcW w:w="1864"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41,557,169,054.26</w:t>
                </w:r>
              </w:p>
            </w:tc>
            <w:tc>
              <w:tcPr>
                <w:tcW w:w="1877"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37,830,797,693.94</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26,650,401,296.14</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Arial Narrow" w:hAnsi="Arial Narrow"/>
                    <w:szCs w:val="21"/>
                  </w:rPr>
                </w:pPr>
                <w:r>
                  <w:rPr>
                    <w:rFonts w:ascii="Arial Narrow" w:hAnsi="Arial Narrow"/>
                  </w:rPr>
                  <w:t>25,235,699,484.82</w:t>
                </w:r>
              </w:p>
            </w:tc>
          </w:tr>
        </w:tbl>
        <w:p/>
        <w:p/>
      </w:sdtContent>
    </w:sdt>
    <w:sdt>
      <w:sdtPr>
        <w:rPr>
          <w:rFonts w:hint="eastAsia" w:ascii="宋体" w:hAnsi="宋体" w:cs="宋体"/>
          <w:b w:val="0"/>
          <w:bCs w:val="0"/>
          <w:kern w:val="0"/>
          <w:szCs w:val="21"/>
        </w:rPr>
        <w:alias w:val="模块:税金及附加"/>
        <w:tag w:val="_SEC_f69e6c0ae3f44fea9945d377a149f8ef"/>
        <w:id w:val="6775315"/>
        <w:lock w:val="sdtLocked"/>
        <w:placeholder>
          <w:docPart w:val="GBC22222222222222222222222222222"/>
        </w:placeholder>
      </w:sdtPr>
      <w:sdtEndPr>
        <w:rPr>
          <w:rFonts w:hint="eastAsia" w:ascii="宋体" w:hAnsi="宋体" w:cstheme="minorBidi"/>
          <w:b w:val="0"/>
          <w:bCs w:val="0"/>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税金及附加</w:t>
          </w:r>
        </w:p>
        <w:sdt>
          <w:sdtPr>
            <w:alias w:val="是否适用：税金及附加[双击切换]"/>
            <w:tag w:val="_GBC_08eb9cdd2a3940549b0f2b47081f0a3d"/>
            <w:id w:val="677529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b/>
              <w:szCs w:val="21"/>
            </w:rPr>
          </w:pPr>
          <w:r>
            <w:rPr>
              <w:rFonts w:hint="eastAsia"/>
              <w:szCs w:val="21"/>
            </w:rPr>
            <w:t>单位：</w:t>
          </w:r>
          <w:sdt>
            <w:sdtPr>
              <w:rPr>
                <w:rFonts w:hint="eastAsia"/>
                <w:szCs w:val="21"/>
              </w:rPr>
              <w:alias w:val="单位：财务附注：税金及附加"/>
              <w:tag w:val="_GBC_6e5742d697d44a7dabc4411d4cd3c055"/>
              <w:id w:val="677529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67753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857"/>
            <w:gridCol w:w="3018"/>
            <w:gridCol w:w="30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82dcdcc171754a7b940a70d1c7daa5c1"/>
                <w:id w:val="6775301"/>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6775302"/>
                <w:lock w:val="sdtLocked"/>
              </w:sdtPr>
              <w:sdtContent>
                <w:tc>
                  <w:tcPr>
                    <w:tcW w:w="3018" w:type="dxa"/>
                    <w:tcBorders>
                      <w:top w:val="single" w:color="auto" w:sz="6" w:space="0"/>
                      <w:left w:val="single" w:color="auto" w:sz="6" w:space="0"/>
                      <w:bottom w:val="single" w:color="auto" w:sz="6" w:space="0"/>
                      <w:right w:val="single" w:color="auto" w:sz="6" w:space="0"/>
                    </w:tcBorders>
                  </w:tcPr>
                  <w:p>
                    <w:pPr>
                      <w:jc w:val="center"/>
                      <w:rPr>
                        <w:szCs w:val="21"/>
                      </w:rPr>
                    </w:pPr>
                    <w:r>
                      <w:rPr>
                        <w:rFonts w:hint="eastAsia"/>
                        <w:szCs w:val="21"/>
                      </w:rPr>
                      <w:t>本期发生额</w:t>
                    </w:r>
                  </w:p>
                </w:tc>
              </w:sdtContent>
            </w:sdt>
            <w:sdt>
              <w:sdtPr>
                <w:tag w:val="_PLD_5e944d291c9a4b0aab9f6558226d9112"/>
                <w:id w:val="6775303"/>
                <w:lock w:val="sdtLocked"/>
              </w:sdtPr>
              <w:sdtContent>
                <w:tc>
                  <w:tcPr>
                    <w:tcW w:w="3018"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上期发生额</w:t>
                    </w:r>
                  </w:p>
                </w:tc>
              </w:sdtContent>
            </w:sdt>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99bae3fb3f7e41a1932f2cb1d0c2b73c"/>
                <w:id w:val="6775304"/>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rPr>
                        <w:szCs w:val="21"/>
                      </w:rPr>
                    </w:pPr>
                    <w:r>
                      <w:rPr>
                        <w:rFonts w:hint="eastAsia"/>
                        <w:szCs w:val="21"/>
                      </w:rPr>
                      <w:t>消费税</w:t>
                    </w:r>
                  </w:p>
                </w:tc>
              </w:sdtContent>
            </w:sdt>
            <w:tc>
              <w:tcPr>
                <w:tcW w:w="30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right"/>
                  <w:rPr>
                    <w:szCs w:val="21"/>
                  </w:rPr>
                </w:pPr>
              </w:p>
            </w:tc>
            <w:tc>
              <w:tcPr>
                <w:tcW w:w="3018"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e9a0569e6365442e850d9c915777c01f"/>
                <w:id w:val="6775305"/>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rPr>
                        <w:szCs w:val="21"/>
                      </w:rPr>
                    </w:pPr>
                    <w:r>
                      <w:rPr>
                        <w:rFonts w:hint="eastAsia"/>
                        <w:szCs w:val="21"/>
                      </w:rPr>
                      <w:t>营业税</w:t>
                    </w:r>
                  </w:p>
                </w:tc>
              </w:sdtContent>
            </w:sdt>
            <w:tc>
              <w:tcPr>
                <w:tcW w:w="30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right"/>
                  <w:rPr>
                    <w:szCs w:val="21"/>
                  </w:rPr>
                </w:pPr>
              </w:p>
            </w:tc>
            <w:tc>
              <w:tcPr>
                <w:tcW w:w="3018" w:type="dxa"/>
                <w:tcBorders>
                  <w:top w:val="single" w:color="auto" w:sz="6" w:space="0"/>
                  <w:left w:val="single" w:color="auto" w:sz="6" w:space="0"/>
                  <w:bottom w:val="single" w:color="auto" w:sz="6" w:space="0"/>
                  <w:right w:val="single" w:color="auto" w:sz="6" w:space="0"/>
                </w:tcBorders>
              </w:tcPr>
              <w:p>
                <w:pPr>
                  <w:jc w:val="right"/>
                  <w:rPr>
                    <w:szCs w:val="21"/>
                  </w:rPr>
                </w:pPr>
                <w:r>
                  <w:t>229,718.64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7d17d38bda30458a9c368c7b91c9efe7"/>
                <w:id w:val="6775306"/>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rPr>
                        <w:szCs w:val="21"/>
                      </w:rPr>
                    </w:pPr>
                    <w:r>
                      <w:rPr>
                        <w:rFonts w:hint="eastAsia"/>
                        <w:szCs w:val="21"/>
                      </w:rPr>
                      <w:t>城市维护建设税</w:t>
                    </w:r>
                  </w:p>
                </w:tc>
              </w:sdtContent>
            </w:sdt>
            <w:tc>
              <w:tcPr>
                <w:tcW w:w="30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right"/>
                  <w:rPr>
                    <w:szCs w:val="21"/>
                  </w:rPr>
                </w:pPr>
                <w:r>
                  <w:t>79,599,130.53</w:t>
                </w:r>
              </w:p>
            </w:tc>
            <w:tc>
              <w:tcPr>
                <w:tcW w:w="3018" w:type="dxa"/>
                <w:tcBorders>
                  <w:top w:val="single" w:color="auto" w:sz="6" w:space="0"/>
                  <w:left w:val="single" w:color="auto" w:sz="6" w:space="0"/>
                  <w:bottom w:val="single" w:color="auto" w:sz="6" w:space="0"/>
                  <w:right w:val="single" w:color="auto" w:sz="6" w:space="0"/>
                </w:tcBorders>
              </w:tcPr>
              <w:p>
                <w:pPr>
                  <w:jc w:val="right"/>
                  <w:rPr>
                    <w:szCs w:val="21"/>
                  </w:rPr>
                </w:pPr>
                <w:r>
                  <w:t>63,911,531.17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bef55e9bd6a0478eb1362e529d6fc7eb"/>
                <w:id w:val="6775307"/>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rPr>
                        <w:szCs w:val="21"/>
                      </w:rPr>
                    </w:pPr>
                    <w:r>
                      <w:rPr>
                        <w:rFonts w:hint="eastAsia"/>
                        <w:szCs w:val="21"/>
                      </w:rPr>
                      <w:t>教育费附加</w:t>
                    </w:r>
                  </w:p>
                </w:tc>
              </w:sdtContent>
            </w:sdt>
            <w:tc>
              <w:tcPr>
                <w:tcW w:w="30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right"/>
                  <w:rPr>
                    <w:szCs w:val="21"/>
                  </w:rPr>
                </w:pPr>
                <w:r>
                  <w:t>56,856,521.80</w:t>
                </w:r>
              </w:p>
            </w:tc>
            <w:tc>
              <w:tcPr>
                <w:tcW w:w="3018" w:type="dxa"/>
                <w:tcBorders>
                  <w:top w:val="single" w:color="auto" w:sz="6" w:space="0"/>
                  <w:left w:val="single" w:color="auto" w:sz="6" w:space="0"/>
                  <w:bottom w:val="single" w:color="auto" w:sz="6" w:space="0"/>
                  <w:right w:val="single" w:color="auto" w:sz="6" w:space="0"/>
                </w:tcBorders>
              </w:tcPr>
              <w:p>
                <w:pPr>
                  <w:jc w:val="right"/>
                  <w:rPr>
                    <w:szCs w:val="21"/>
                  </w:rPr>
                </w:pPr>
                <w:r>
                  <w:t>45,651,093.69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d89a854fb3df4519ba9728a68cadad8d"/>
                <w:id w:val="6775308"/>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rPr>
                        <w:szCs w:val="21"/>
                      </w:rPr>
                    </w:pPr>
                    <w:r>
                      <w:rPr>
                        <w:rFonts w:hint="eastAsia"/>
                        <w:szCs w:val="21"/>
                      </w:rPr>
                      <w:t>资源税</w:t>
                    </w:r>
                  </w:p>
                </w:tc>
              </w:sdtContent>
            </w:sdt>
            <w:tc>
              <w:tcPr>
                <w:tcW w:w="30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right"/>
                  <w:rPr>
                    <w:szCs w:val="21"/>
                  </w:rPr>
                </w:pPr>
              </w:p>
            </w:tc>
            <w:tc>
              <w:tcPr>
                <w:tcW w:w="3018"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d56b8a7277924be8ba220071e1c5ce23"/>
                <w:id w:val="6775309"/>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rPr>
                        <w:szCs w:val="21"/>
                      </w:rPr>
                    </w:pPr>
                    <w:r>
                      <w:rPr>
                        <w:rFonts w:hint="eastAsia"/>
                      </w:rPr>
                      <w:t>房产税</w:t>
                    </w:r>
                  </w:p>
                </w:tc>
              </w:sdtContent>
            </w:sdt>
            <w:tc>
              <w:tcPr>
                <w:tcW w:w="30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right"/>
                  <w:rPr>
                    <w:szCs w:val="21"/>
                  </w:rPr>
                </w:pPr>
                <w:r>
                  <w:t>9,895,504.63</w:t>
                </w:r>
              </w:p>
            </w:tc>
            <w:tc>
              <w:tcPr>
                <w:tcW w:w="3018" w:type="dxa"/>
                <w:tcBorders>
                  <w:top w:val="single" w:color="auto" w:sz="6" w:space="0"/>
                  <w:left w:val="single" w:color="auto" w:sz="6" w:space="0"/>
                  <w:bottom w:val="single" w:color="auto" w:sz="6" w:space="0"/>
                  <w:right w:val="single" w:color="auto" w:sz="6" w:space="0"/>
                </w:tcBorders>
              </w:tcPr>
              <w:p>
                <w:pPr>
                  <w:jc w:val="right"/>
                  <w:rPr>
                    <w:szCs w:val="21"/>
                  </w:rPr>
                </w:pPr>
                <w:r>
                  <w:t>8,820,009.71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537b563d534942c38602f89386ea145e"/>
                <w:id w:val="6775310"/>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rPr>
                        <w:szCs w:val="21"/>
                      </w:rPr>
                    </w:pPr>
                    <w:r>
                      <w:rPr>
                        <w:rFonts w:hint="eastAsia"/>
                      </w:rPr>
                      <w:t>土地使用税</w:t>
                    </w:r>
                  </w:p>
                </w:tc>
              </w:sdtContent>
            </w:sdt>
            <w:tc>
              <w:tcPr>
                <w:tcW w:w="30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right"/>
                  <w:rPr>
                    <w:szCs w:val="21"/>
                  </w:rPr>
                </w:pPr>
              </w:p>
            </w:tc>
            <w:tc>
              <w:tcPr>
                <w:tcW w:w="3018"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28c1c727028f4cb9a8526f3e55fb2789"/>
                <w:id w:val="6775311"/>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rPr>
                        <w:szCs w:val="21"/>
                      </w:rPr>
                    </w:pPr>
                    <w:r>
                      <w:rPr>
                        <w:rFonts w:hint="eastAsia"/>
                      </w:rPr>
                      <w:t>车船使用税</w:t>
                    </w:r>
                  </w:p>
                </w:tc>
              </w:sdtContent>
            </w:sdt>
            <w:tc>
              <w:tcPr>
                <w:tcW w:w="30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right"/>
                  <w:rPr>
                    <w:szCs w:val="21"/>
                  </w:rPr>
                </w:pPr>
              </w:p>
            </w:tc>
            <w:tc>
              <w:tcPr>
                <w:tcW w:w="3018"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eb74872a76fb40e9abf1ec9e7e510b43"/>
                <w:id w:val="6775312"/>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rPr>
                        <w:szCs w:val="21"/>
                      </w:rPr>
                    </w:pPr>
                    <w:r>
                      <w:rPr>
                        <w:rFonts w:hint="eastAsia"/>
                      </w:rPr>
                      <w:t>印花税</w:t>
                    </w:r>
                  </w:p>
                </w:tc>
              </w:sdtContent>
            </w:sdt>
            <w:tc>
              <w:tcPr>
                <w:tcW w:w="30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right"/>
                  <w:rPr>
                    <w:szCs w:val="21"/>
                  </w:rPr>
                </w:pPr>
                <w:r>
                  <w:t>24,512,073.93</w:t>
                </w:r>
              </w:p>
            </w:tc>
            <w:tc>
              <w:tcPr>
                <w:tcW w:w="3018" w:type="dxa"/>
                <w:tcBorders>
                  <w:top w:val="single" w:color="auto" w:sz="6" w:space="0"/>
                  <w:left w:val="single" w:color="auto" w:sz="6" w:space="0"/>
                  <w:bottom w:val="single" w:color="auto" w:sz="6" w:space="0"/>
                  <w:right w:val="single" w:color="auto" w:sz="6" w:space="0"/>
                </w:tcBorders>
              </w:tcPr>
              <w:p>
                <w:pPr>
                  <w:jc w:val="right"/>
                  <w:rPr>
                    <w:szCs w:val="21"/>
                  </w:rPr>
                </w:pPr>
                <w:r>
                  <w:t>8,014,996.90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b2217e6f95dc4d78afa0cd09f992ae49"/>
                <w:id w:val="6775313"/>
                <w:lock w:val="sdtLocked"/>
              </w:sdtPr>
              <w:sdtContent>
                <w:tc>
                  <w:tcPr>
                    <w:tcW w:w="28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szCs w:val="21"/>
                      </w:rPr>
                    </w:pPr>
                    <w:r>
                      <w:rPr>
                        <w:rFonts w:hint="eastAsia"/>
                        <w:szCs w:val="21"/>
                      </w:rPr>
                      <w:t>合计</w:t>
                    </w:r>
                  </w:p>
                </w:tc>
              </w:sdtContent>
            </w:sdt>
            <w:tc>
              <w:tcPr>
                <w:tcW w:w="30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right"/>
                  <w:rPr>
                    <w:szCs w:val="21"/>
                  </w:rPr>
                </w:pPr>
                <w:r>
                  <w:t>170,863,230.89</w:t>
                </w:r>
              </w:p>
            </w:tc>
            <w:tc>
              <w:tcPr>
                <w:tcW w:w="3018" w:type="dxa"/>
                <w:tcBorders>
                  <w:top w:val="single" w:color="auto" w:sz="6" w:space="0"/>
                  <w:left w:val="single" w:color="auto" w:sz="6" w:space="0"/>
                  <w:bottom w:val="single" w:color="auto" w:sz="6" w:space="0"/>
                  <w:right w:val="single" w:color="auto" w:sz="6" w:space="0"/>
                </w:tcBorders>
              </w:tcPr>
              <w:p>
                <w:pPr>
                  <w:jc w:val="right"/>
                  <w:rPr>
                    <w:szCs w:val="21"/>
                  </w:rPr>
                </w:pPr>
                <w:r>
                  <w:t>126,627,350.11</w:t>
                </w:r>
              </w:p>
            </w:tc>
          </w:tr>
        </w:tbl>
      </w:sdtContent>
    </w:sdt>
    <w:p>
      <w:pPr>
        <w:rPr>
          <w:szCs w:val="21"/>
        </w:rPr>
      </w:pPr>
    </w:p>
    <w:sdt>
      <w:sdtPr>
        <w:rPr>
          <w:rFonts w:hint="eastAsia" w:ascii="宋体" w:hAnsi="宋体" w:cs="宋体"/>
          <w:b w:val="0"/>
          <w:bCs w:val="0"/>
          <w:kern w:val="0"/>
          <w:szCs w:val="21"/>
        </w:rPr>
        <w:alias w:val="模块:成本费用"/>
        <w:tag w:val="_SEC_5d1ca8a31f664ab6b4c2e40e3350a771"/>
        <w:id w:val="6775331"/>
        <w:lock w:val="sdtLocked"/>
        <w:placeholder>
          <w:docPart w:val="GBC22222222222222222222222222222"/>
        </w:placeholder>
      </w:sdtPr>
      <w:sdtEndPr>
        <w:rPr>
          <w:rFonts w:hint="eastAsia" w:ascii="宋体" w:hAnsi="宋体" w:cstheme="minorBidi"/>
          <w:b w:val="0"/>
          <w:bCs w:val="0"/>
          <w:kern w:val="2"/>
          <w:szCs w:val="21"/>
        </w:rPr>
      </w:sdtEndPr>
      <w:sdtContent>
        <w:p>
          <w:pPr>
            <w:pStyle w:val="4"/>
            <w:numPr>
              <w:ilvl w:val="0"/>
              <w:numId w:val="66"/>
            </w:numPr>
            <w:tabs>
              <w:tab w:val="left" w:pos="504"/>
            </w:tabs>
            <w:rPr>
              <w:rFonts w:ascii="宋体" w:hAnsi="宋体" w:cs="宋体"/>
              <w:bCs w:val="0"/>
              <w:kern w:val="0"/>
              <w:szCs w:val="21"/>
            </w:rPr>
          </w:pPr>
          <w:r>
            <w:rPr>
              <w:rFonts w:hint="eastAsia" w:ascii="宋体" w:hAnsi="宋体" w:cs="宋体"/>
              <w:bCs w:val="0"/>
              <w:kern w:val="0"/>
              <w:szCs w:val="21"/>
            </w:rPr>
            <w:t>销售费用</w:t>
          </w:r>
        </w:p>
        <w:sdt>
          <w:sdtPr>
            <w:alias w:val="是否适用：销售费用[双击切换]"/>
            <w:tag w:val="_GBC_1a0ad35d35924f068ce1b2a2dc02a25f"/>
            <w:id w:val="677531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53"/>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销售费用"/>
              <w:tag w:val="_GBC_c5a59d97d8a94cda9b9fbd8a93ad19dc"/>
              <w:id w:val="677531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销售费用"/>
              <w:tag w:val="_GBC_57a629bddf6343a1aebbefc90d9378b0"/>
              <w:id w:val="67753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2"/>
            <w:gridCol w:w="2859"/>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7c4bc503cfe4eafa415de62f182f2c1"/>
                <w:id w:val="6775319"/>
                <w:lock w:val="sdtLocked"/>
              </w:sdtPr>
              <w:sdtContent>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项目</w:t>
                    </w:r>
                  </w:p>
                </w:tc>
              </w:sdtContent>
            </w:sdt>
            <w:sdt>
              <w:sdtPr>
                <w:tag w:val="_PLD_105cce5212fb42a182b1fd8e309ba67c"/>
                <w:id w:val="6775320"/>
                <w:lock w:val="sdtLocked"/>
              </w:sdtPr>
              <w:sdtContent>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本期发生额</w:t>
                    </w:r>
                  </w:p>
                </w:tc>
              </w:sdtContent>
            </w:sdt>
            <w:sdt>
              <w:sdtPr>
                <w:tag w:val="_PLD_5f148659054c4187a80f7bdffc9e9cde"/>
                <w:id w:val="6775321"/>
                <w:lock w:val="sdtLocked"/>
              </w:sdtPr>
              <w:sdtContent>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上期发生额</w:t>
                    </w:r>
                  </w:p>
                </w:tc>
              </w:sdtContent>
            </w:sdt>
          </w:tr>
          <w:sdt>
            <w:sdtPr>
              <w:rPr>
                <w:szCs w:val="21"/>
              </w:rPr>
              <w:alias w:val="销售费用明细"/>
              <w:tag w:val="_TUP_db10d8762ce542a4962ce4cb14ddabbc"/>
              <w:id w:val="6775322"/>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t>职工薪酬</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32,501,935.29</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24,570,215.36</w:t>
                    </w:r>
                  </w:p>
                </w:tc>
              </w:tr>
            </w:sdtContent>
          </w:sdt>
          <w:sdt>
            <w:sdtPr>
              <w:rPr>
                <w:szCs w:val="21"/>
              </w:rPr>
              <w:alias w:val="销售费用明细"/>
              <w:tag w:val="_TUP_db10d8762ce542a4962ce4cb14ddabbc"/>
              <w:id w:val="6775323"/>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t>折旧费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1,879,844.52</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1,879,844.52</w:t>
                    </w:r>
                  </w:p>
                </w:tc>
              </w:tr>
            </w:sdtContent>
          </w:sdt>
          <w:sdt>
            <w:sdtPr>
              <w:rPr>
                <w:szCs w:val="21"/>
              </w:rPr>
              <w:alias w:val="销售费用明细"/>
              <w:tag w:val="_TUP_db10d8762ce542a4962ce4cb14ddabbc"/>
              <w:id w:val="6775324"/>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t>办公费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414,303.18</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466,569.38</w:t>
                    </w:r>
                  </w:p>
                </w:tc>
              </w:tr>
            </w:sdtContent>
          </w:sdt>
          <w:sdt>
            <w:sdtPr>
              <w:rPr>
                <w:szCs w:val="21"/>
              </w:rPr>
              <w:alias w:val="销售费用明细"/>
              <w:tag w:val="_TUP_db10d8762ce542a4962ce4cb14ddabbc"/>
              <w:id w:val="6775325"/>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t>差旅费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448,956.92</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426,072.85</w:t>
                    </w:r>
                  </w:p>
                </w:tc>
              </w:tr>
            </w:sdtContent>
          </w:sdt>
          <w:sdt>
            <w:sdtPr>
              <w:rPr>
                <w:szCs w:val="21"/>
              </w:rPr>
              <w:alias w:val="销售费用明细"/>
              <w:tag w:val="_TUP_db10d8762ce542a4962ce4cb14ddabbc"/>
              <w:id w:val="6775326"/>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t>水电费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116,366.19</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172,287.48</w:t>
                    </w:r>
                  </w:p>
                </w:tc>
              </w:tr>
            </w:sdtContent>
          </w:sdt>
          <w:sdt>
            <w:sdtPr>
              <w:rPr>
                <w:szCs w:val="21"/>
              </w:rPr>
              <w:alias w:val="销售费用明细"/>
              <w:tag w:val="_TUP_db10d8762ce542a4962ce4cb14ddabbc"/>
              <w:id w:val="6775327"/>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t>运输费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3,338,076.71</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10,445,849.51</w:t>
                    </w:r>
                  </w:p>
                </w:tc>
              </w:tr>
            </w:sdtContent>
          </w:sdt>
          <w:sdt>
            <w:sdtPr>
              <w:rPr>
                <w:szCs w:val="21"/>
              </w:rPr>
              <w:alias w:val="销售费用明细"/>
              <w:tag w:val="_TUP_db10d8762ce542a4962ce4cb14ddabbc"/>
              <w:id w:val="6775328"/>
              <w:lock w:val="sdtLocked"/>
            </w:sdtPr>
            <w:sdtEndPr>
              <w:rPr>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t>其他</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4,447,170.20</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Cs w:val="21"/>
                      </w:rPr>
                    </w:pPr>
                    <w:r>
                      <w:t>3,034,763.62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33cd99c4dd241c78fe0542c641fb610"/>
                <w:id w:val="6775329"/>
                <w:lock w:val="sdtLocked"/>
              </w:sdtPr>
              <w:sdtContent>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合计</w:t>
                    </w:r>
                  </w:p>
                </w:tc>
              </w:sdtContent>
            </w:sdt>
            <w:tc>
              <w:tcPr>
                <w:tcW w:w="2859"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43,146,653.01</w:t>
                </w:r>
              </w:p>
            </w:tc>
            <w:tc>
              <w:tcPr>
                <w:tcW w:w="2858"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40,995,602.72</w:t>
                </w:r>
              </w:p>
            </w:tc>
          </w:tr>
        </w:tbl>
      </w:sdtContent>
    </w:sdt>
    <w:p>
      <w:pPr>
        <w:rPr>
          <w:szCs w:val="21"/>
        </w:rPr>
      </w:pPr>
    </w:p>
    <w:sdt>
      <w:sdtPr>
        <w:rPr>
          <w:rFonts w:hint="eastAsia" w:ascii="宋体" w:hAnsi="宋体" w:cs="宋体"/>
          <w:b w:val="0"/>
          <w:bCs w:val="0"/>
          <w:kern w:val="0"/>
          <w:szCs w:val="21"/>
        </w:rPr>
        <w:alias w:val="模块:管理费用"/>
        <w:tag w:val="_SEC_7f6cbd459a55483f8da09e1ad1378e98"/>
        <w:id w:val="6775356"/>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66"/>
            </w:numPr>
            <w:tabs>
              <w:tab w:val="left" w:pos="504"/>
            </w:tabs>
            <w:rPr>
              <w:szCs w:val="21"/>
            </w:rPr>
          </w:pPr>
          <w:r>
            <w:rPr>
              <w:rFonts w:hint="eastAsia"/>
              <w:szCs w:val="21"/>
            </w:rPr>
            <w:t>管理费用</w:t>
          </w:r>
        </w:p>
        <w:sdt>
          <w:sdtPr>
            <w:alias w:val="是否适用：管理费用[双击切换]"/>
            <w:tag w:val="_GBC_b376fd9abaac4f3b8e5956b8dcd72faf"/>
            <w:id w:val="6775332"/>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管理费用"/>
              <w:tag w:val="_GBC_73606f31bd404afb8bfe5aabe1a68278"/>
              <w:id w:val="677533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管理费用"/>
              <w:tag w:val="_GBC_0549259a290d43c39c63d67cdad7f80d"/>
              <w:id w:val="67753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5"/>
            <w:gridCol w:w="2604"/>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88268d9a550441d943c27cfc1105eb0"/>
                <w:id w:val="6775335"/>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项目</w:t>
                    </w:r>
                  </w:p>
                </w:tc>
              </w:sdtContent>
            </w:sdt>
            <w:sdt>
              <w:sdtPr>
                <w:tag w:val="_PLD_0e4f4d04bcb2408d8a5744ac90a1f89b"/>
                <w:id w:val="6775336"/>
                <w:lock w:val="sdtLocked"/>
              </w:sdtPr>
              <w:sdtContent>
                <w:tc>
                  <w:tcPr>
                    <w:tcW w:w="2604"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本期发生额</w:t>
                    </w:r>
                  </w:p>
                </w:tc>
              </w:sdtContent>
            </w:sdt>
            <w:sdt>
              <w:sdtPr>
                <w:tag w:val="_PLD_6f1ab61237164c0db56540ae1980b62c"/>
                <w:id w:val="6775337"/>
                <w:lock w:val="sdtLocked"/>
              </w:sdtPr>
              <w:sdtContent>
                <w:tc>
                  <w:tcPr>
                    <w:tcW w:w="2440"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上期发生额</w:t>
                    </w:r>
                  </w:p>
                </w:tc>
              </w:sdtContent>
            </w:sdt>
          </w:tr>
          <w:sdt>
            <w:sdtPr>
              <w:rPr>
                <w:rFonts w:hint="eastAsia"/>
              </w:rPr>
              <w:alias w:val="管理费用明细"/>
              <w:tag w:val="_TUP_722eb986b9ca44cea4b28d9c73b66176"/>
              <w:id w:val="677533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职工薪酬</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286,690,320.22</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199,323,047.93</w:t>
                    </w:r>
                  </w:p>
                </w:tc>
              </w:tr>
            </w:sdtContent>
          </w:sdt>
          <w:sdt>
            <w:sdtPr>
              <w:rPr>
                <w:rFonts w:hint="eastAsia"/>
              </w:rPr>
              <w:alias w:val="管理费用明细"/>
              <w:tag w:val="_TUP_722eb986b9ca44cea4b28d9c73b66176"/>
              <w:id w:val="6775339"/>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印花税</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4,344,050.00</w:t>
                    </w:r>
                  </w:p>
                </w:tc>
              </w:tr>
            </w:sdtContent>
          </w:sdt>
          <w:sdt>
            <w:sdtPr>
              <w:rPr>
                <w:rFonts w:hint="eastAsia"/>
              </w:rPr>
              <w:alias w:val="管理费用明细"/>
              <w:tag w:val="_TUP_722eb986b9ca44cea4b28d9c73b66176"/>
              <w:id w:val="6775340"/>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房产税</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28,800.00</w:t>
                    </w:r>
                  </w:p>
                </w:tc>
              </w:tr>
            </w:sdtContent>
          </w:sdt>
          <w:sdt>
            <w:sdtPr>
              <w:rPr>
                <w:rFonts w:hint="eastAsia"/>
              </w:rPr>
              <w:alias w:val="管理费用明细"/>
              <w:tag w:val="_TUP_722eb986b9ca44cea4b28d9c73b66176"/>
              <w:id w:val="6775341"/>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矿产资源补偿费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6,379,566.40</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5,705,036.60</w:t>
                    </w:r>
                  </w:p>
                </w:tc>
              </w:tr>
            </w:sdtContent>
          </w:sdt>
          <w:sdt>
            <w:sdtPr>
              <w:rPr>
                <w:rFonts w:hint="eastAsia"/>
              </w:rPr>
              <w:alias w:val="管理费用明细"/>
              <w:tag w:val="_TUP_722eb986b9ca44cea4b28d9c73b66176"/>
              <w:id w:val="6775342"/>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水利建设基金</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30,201,124.05</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26,650,401.31</w:t>
                    </w:r>
                  </w:p>
                </w:tc>
              </w:tr>
            </w:sdtContent>
          </w:sdt>
          <w:sdt>
            <w:sdtPr>
              <w:rPr>
                <w:rFonts w:hint="eastAsia"/>
              </w:rPr>
              <w:alias w:val="管理费用明细"/>
              <w:tag w:val="_TUP_722eb986b9ca44cea4b28d9c73b66176"/>
              <w:id w:val="677534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折旧费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325,448.84</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5,673,230.90</w:t>
                    </w:r>
                  </w:p>
                </w:tc>
              </w:tr>
            </w:sdtContent>
          </w:sdt>
          <w:sdt>
            <w:sdtPr>
              <w:rPr>
                <w:rFonts w:hint="eastAsia"/>
              </w:rPr>
              <w:alias w:val="管理费用明细"/>
              <w:tag w:val="_TUP_722eb986b9ca44cea4b28d9c73b66176"/>
              <w:id w:val="6775344"/>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修理费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1,682,494.56</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12,520,994.01</w:t>
                    </w:r>
                  </w:p>
                </w:tc>
              </w:tr>
            </w:sdtContent>
          </w:sdt>
          <w:sdt>
            <w:sdtPr>
              <w:rPr>
                <w:rFonts w:hint="eastAsia"/>
              </w:rPr>
              <w:alias w:val="管理费用明细"/>
              <w:tag w:val="_TUP_722eb986b9ca44cea4b28d9c73b66176"/>
              <w:id w:val="6775345"/>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研发费用</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50,786,695.98</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53,456,136.99</w:t>
                    </w:r>
                  </w:p>
                </w:tc>
              </w:tr>
            </w:sdtContent>
          </w:sdt>
          <w:sdt>
            <w:sdtPr>
              <w:rPr>
                <w:rFonts w:hint="eastAsia"/>
              </w:rPr>
              <w:alias w:val="管理费用明细"/>
              <w:tag w:val="_TUP_722eb986b9ca44cea4b28d9c73b66176"/>
              <w:id w:val="677534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办公费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1,618,639.16</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1,519,438.66</w:t>
                    </w:r>
                  </w:p>
                </w:tc>
              </w:tr>
            </w:sdtContent>
          </w:sdt>
          <w:sdt>
            <w:sdtPr>
              <w:rPr>
                <w:rFonts w:hint="eastAsia"/>
              </w:rPr>
              <w:alias w:val="管理费用明细"/>
              <w:tag w:val="_TUP_722eb986b9ca44cea4b28d9c73b66176"/>
              <w:id w:val="6775347"/>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水电费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1,061,380.28</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1,140,484.87</w:t>
                    </w:r>
                  </w:p>
                </w:tc>
              </w:tr>
            </w:sdtContent>
          </w:sdt>
          <w:sdt>
            <w:sdtPr>
              <w:rPr>
                <w:rFonts w:hint="eastAsia"/>
              </w:rPr>
              <w:alias w:val="管理费用明细"/>
              <w:tag w:val="_TUP_722eb986b9ca44cea4b28d9c73b66176"/>
              <w:id w:val="677534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差旅费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629,183.21</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533,504.71</w:t>
                    </w:r>
                  </w:p>
                </w:tc>
              </w:tr>
            </w:sdtContent>
          </w:sdt>
          <w:sdt>
            <w:sdtPr>
              <w:rPr>
                <w:rFonts w:hint="eastAsia"/>
              </w:rPr>
              <w:alias w:val="管理费用明细"/>
              <w:tag w:val="_TUP_722eb986b9ca44cea4b28d9c73b66176"/>
              <w:id w:val="6775349"/>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材料消耗</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2,517,826.62</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1,456,067.52</w:t>
                    </w:r>
                  </w:p>
                </w:tc>
              </w:tr>
            </w:sdtContent>
          </w:sdt>
          <w:sdt>
            <w:sdtPr>
              <w:rPr>
                <w:rFonts w:hint="eastAsia"/>
              </w:rPr>
              <w:alias w:val="管理费用明细"/>
              <w:tag w:val="_TUP_722eb986b9ca44cea4b28d9c73b66176"/>
              <w:id w:val="6775350"/>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聘请中介费用</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2,677,306.70</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2,003,503.37</w:t>
                    </w:r>
                  </w:p>
                </w:tc>
              </w:tr>
            </w:sdtContent>
          </w:sdt>
          <w:sdt>
            <w:sdtPr>
              <w:rPr>
                <w:rFonts w:hint="eastAsia"/>
              </w:rPr>
              <w:alias w:val="管理费用明细"/>
              <w:tag w:val="_TUP_722eb986b9ca44cea4b28d9c73b66176"/>
              <w:id w:val="6775351"/>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业务招待费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1,001,254.16</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956,687.96</w:t>
                    </w:r>
                  </w:p>
                </w:tc>
              </w:tr>
            </w:sdtContent>
          </w:sdt>
          <w:sdt>
            <w:sdtPr>
              <w:rPr>
                <w:rFonts w:hint="eastAsia"/>
              </w:rPr>
              <w:alias w:val="管理费用明细"/>
              <w:tag w:val="_TUP_722eb986b9ca44cea4b28d9c73b66176"/>
              <w:id w:val="6775352"/>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董事会会费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366,397.86</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412,583.51</w:t>
                    </w:r>
                  </w:p>
                </w:tc>
              </w:tr>
            </w:sdtContent>
          </w:sdt>
          <w:sdt>
            <w:sdtPr>
              <w:rPr>
                <w:rFonts w:hint="eastAsia"/>
              </w:rPr>
              <w:alias w:val="管理费用明细"/>
              <w:tag w:val="_TUP_722eb986b9ca44cea4b28d9c73b66176"/>
              <w:id w:val="677535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其他</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19,129,207.19</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34,664,791.12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aed7858ee4845698b1e1703ad5c4d1f"/>
                <w:id w:val="6775354"/>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合计</w:t>
                    </w:r>
                  </w:p>
                </w:tc>
              </w:sdtContent>
            </w:sdt>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405,066,845.23</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350,388,759.46</w:t>
                </w:r>
              </w:p>
            </w:tc>
          </w:tr>
        </w:tbl>
      </w:sdtContent>
    </w:sdt>
    <w:p>
      <w:pPr>
        <w:rPr>
          <w:szCs w:val="21"/>
        </w:rPr>
      </w:pPr>
    </w:p>
    <w:sdt>
      <w:sdtPr>
        <w:rPr>
          <w:rFonts w:hint="eastAsia" w:ascii="宋体" w:hAnsi="宋体" w:cs="宋体"/>
          <w:b w:val="0"/>
          <w:bCs w:val="0"/>
          <w:kern w:val="0"/>
          <w:szCs w:val="21"/>
        </w:rPr>
        <w:alias w:val="模块:财务费用"/>
        <w:tag w:val="_SEC_e64e0ff353b940238889b35d13a33128"/>
        <w:id w:val="6775369"/>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66"/>
            </w:numPr>
            <w:tabs>
              <w:tab w:val="left" w:pos="504"/>
            </w:tabs>
            <w:rPr>
              <w:szCs w:val="21"/>
            </w:rPr>
          </w:pPr>
          <w:r>
            <w:rPr>
              <w:rFonts w:hint="eastAsia"/>
              <w:szCs w:val="21"/>
            </w:rPr>
            <w:t>财务费用</w:t>
          </w:r>
        </w:p>
        <w:sdt>
          <w:sdtPr>
            <w:alias w:val="是否适用：财务费用[双击切换]"/>
            <w:tag w:val="_GBC_7e467c6faebc402ab141f588df31680d"/>
            <w:id w:val="677535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费用"/>
              <w:tag w:val="_GBC_adcf988d29cd43aba011ce1310eac264"/>
              <w:id w:val="677535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费用"/>
              <w:tag w:val="_GBC_f6066e571d54449daf358ae3037f9712"/>
              <w:id w:val="67753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5"/>
            <w:gridCol w:w="2604"/>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9977e87dd3f474489b24bbaed00293d"/>
                <w:id w:val="6775360"/>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项目</w:t>
                    </w:r>
                  </w:p>
                </w:tc>
              </w:sdtContent>
            </w:sdt>
            <w:sdt>
              <w:sdtPr>
                <w:tag w:val="_PLD_f64aa2e290ce4904a39347c56117acb7"/>
                <w:id w:val="6775361"/>
                <w:lock w:val="sdtLocked"/>
              </w:sdtPr>
              <w:sdtContent>
                <w:tc>
                  <w:tcPr>
                    <w:tcW w:w="2604"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本期发生额</w:t>
                    </w:r>
                  </w:p>
                </w:tc>
              </w:sdtContent>
            </w:sdt>
            <w:sdt>
              <w:sdtPr>
                <w:tag w:val="_PLD_178c78585f7e495ebd86923cb8c24338"/>
                <w:id w:val="6775362"/>
                <w:lock w:val="sdtLocked"/>
              </w:sdtPr>
              <w:sdtContent>
                <w:tc>
                  <w:tcPr>
                    <w:tcW w:w="2440"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上期发生额</w:t>
                    </w:r>
                  </w:p>
                </w:tc>
              </w:sdtContent>
            </w:sdt>
          </w:tr>
          <w:sdt>
            <w:sdtPr>
              <w:rPr>
                <w:rFonts w:hint="eastAsia"/>
              </w:rPr>
              <w:alias w:val="财务费用明细"/>
              <w:tag w:val="_TUP_532e2d560b3e474f82bbcbba74b0e810"/>
              <w:id w:val="677536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利息净支出</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309,659,889.80</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385,245,813.28</w:t>
                    </w:r>
                  </w:p>
                </w:tc>
              </w:tr>
            </w:sdtContent>
          </w:sdt>
          <w:sdt>
            <w:sdtPr>
              <w:rPr>
                <w:rFonts w:hint="eastAsia"/>
              </w:rPr>
              <w:alias w:val="财务费用明细"/>
              <w:tag w:val="_TUP_532e2d560b3e474f82bbcbba74b0e810"/>
              <w:id w:val="6775364"/>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承兑汇票贴息</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2,421,274.81</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27,856,996.55</w:t>
                    </w:r>
                  </w:p>
                </w:tc>
              </w:tr>
            </w:sdtContent>
          </w:sdt>
          <w:sdt>
            <w:sdtPr>
              <w:rPr>
                <w:rFonts w:hint="eastAsia"/>
              </w:rPr>
              <w:alias w:val="财务费用明细"/>
              <w:tag w:val="_TUP_532e2d560b3e474f82bbcbba74b0e810"/>
              <w:id w:val="6775365"/>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汇兑损益</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-216,149,758.47</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203,893,783.86</w:t>
                    </w:r>
                  </w:p>
                </w:tc>
              </w:tr>
            </w:sdtContent>
          </w:sdt>
          <w:sdt>
            <w:sdtPr>
              <w:rPr>
                <w:rFonts w:hint="eastAsia"/>
              </w:rPr>
              <w:alias w:val="财务费用明细"/>
              <w:tag w:val="_TUP_532e2d560b3e474f82bbcbba74b0e810"/>
              <w:id w:val="677536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r>
                      <w:t>手续费及其他</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23,866,257.58</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25,077,651.46</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5dda636e4a845d7a035b74881476be3"/>
                <w:id w:val="6775367"/>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合计</w:t>
                    </w:r>
                  </w:p>
                </w:tc>
              </w:sdtContent>
            </w:sdt>
            <w:tc>
              <w:tcPr>
                <w:tcW w:w="2604" w:type="dxa"/>
                <w:tcBorders>
                  <w:top w:val="single" w:color="auto" w:sz="4" w:space="0"/>
                  <w:left w:val="single" w:color="auto" w:sz="4" w:space="0"/>
                  <w:bottom w:val="single" w:color="auto" w:sz="4" w:space="0"/>
                  <w:right w:val="single" w:color="auto" w:sz="4" w:space="0"/>
                </w:tcBorders>
                <w:shd w:val="clear" w:color="auto" w:fill="auto"/>
              </w:tcPr>
              <w:p>
                <w:pPr>
                  <w:jc w:val="right"/>
                </w:pPr>
                <w:r>
                  <w:t>119,797,663.72</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jc w:val="right"/>
                </w:pPr>
                <w:r>
                  <w:t>642,074,245.15</w:t>
                </w:r>
              </w:p>
            </w:tc>
          </w:tr>
        </w:tbl>
      </w:sdtContent>
    </w:sdt>
    <w:p>
      <w:pPr>
        <w:rPr>
          <w:szCs w:val="21"/>
        </w:rPr>
      </w:pPr>
    </w:p>
    <w:sdt>
      <w:sdtPr>
        <w:rPr>
          <w:rFonts w:hint="eastAsia" w:ascii="宋体" w:hAnsi="宋体" w:cs="宋体"/>
          <w:b w:val="0"/>
          <w:bCs w:val="0"/>
          <w:kern w:val="0"/>
          <w:szCs w:val="21"/>
        </w:rPr>
        <w:alias w:val="模块:资产减值损失"/>
        <w:tag w:val="_SEC_0711b4002bfe46319954a4204926581c"/>
        <w:id w:val="6775380"/>
        <w:lock w:val="sdtLocked"/>
        <w:placeholder>
          <w:docPart w:val="GBC22222222222222222222222222222"/>
        </w:placeholder>
      </w:sdtPr>
      <w:sdtEndPr>
        <w:rPr>
          <w:rFonts w:hint="default" w:cs="宋体" w:asciiTheme="minorHAnsi" w:hAnsiTheme="minorHAnsi" w:eastAsiaTheme="minorEastAsia"/>
          <w:b w:val="0"/>
          <w:bCs w:val="0"/>
          <w:kern w:val="0"/>
          <w:szCs w:val="22"/>
        </w:rPr>
      </w:sdtEndPr>
      <w:sdtContent>
        <w:p>
          <w:pPr>
            <w:pStyle w:val="4"/>
            <w:numPr>
              <w:ilvl w:val="0"/>
              <w:numId w:val="66"/>
            </w:numPr>
            <w:tabs>
              <w:tab w:val="left" w:pos="504"/>
            </w:tabs>
            <w:rPr>
              <w:rFonts w:ascii="宋体" w:hAnsi="宋体"/>
              <w:szCs w:val="21"/>
            </w:rPr>
          </w:pPr>
          <w:r>
            <w:rPr>
              <w:rFonts w:hint="eastAsia" w:ascii="宋体" w:hAnsi="宋体"/>
              <w:bCs w:val="0"/>
              <w:szCs w:val="21"/>
            </w:rPr>
            <w:t>资</w:t>
          </w:r>
          <w:r>
            <w:rPr>
              <w:rFonts w:hint="eastAsia" w:ascii="宋体" w:hAnsi="宋体"/>
              <w:szCs w:val="21"/>
            </w:rPr>
            <w:t>产减值损失</w:t>
          </w:r>
        </w:p>
        <w:sdt>
          <w:sdtPr>
            <w:alias w:val="是否适用：资产减值损失[双击切换]"/>
            <w:tag w:val="_GBC_8b37643fea7c43289fdaf85f79b2bcae"/>
            <w:id w:val="677537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资产减值损失"/>
              <w:tag w:val="_GBC_fe85f36c54dd476ea970b9d8ae08135d"/>
              <w:id w:val="677537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67753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2574"/>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44de032f71b4e06985c561df3bcf55a"/>
                <w:id w:val="6775373"/>
                <w:lock w:val="sdtLocked"/>
              </w:sdtPr>
              <w:sdtContent>
                <w:tc>
                  <w:tcPr>
                    <w:tcW w:w="33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项目</w:t>
                    </w:r>
                  </w:p>
                </w:tc>
              </w:sdtContent>
            </w:sdt>
            <w:sdt>
              <w:sdtPr>
                <w:tag w:val="_PLD_9551307ec5c049a3aa84c3c7d3e61d92"/>
                <w:id w:val="6775374"/>
                <w:lock w:val="sdtLocked"/>
              </w:sdtPr>
              <w:sdtContent>
                <w:tc>
                  <w:tcPr>
                    <w:tcW w:w="2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本期发生额</w:t>
                    </w:r>
                  </w:p>
                </w:tc>
              </w:sdtContent>
            </w:sdt>
            <w:sdt>
              <w:sdtPr>
                <w:tag w:val="_PLD_46a2a62cd1b1406f877f135b9d7e38a6"/>
                <w:id w:val="6775375"/>
                <w:lock w:val="sdtLocked"/>
              </w:sdtPr>
              <w:sdtContent>
                <w:tc>
                  <w:tcPr>
                    <w:tcW w:w="3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5b0452207d64fb88ccbca66f785c80a"/>
                <w:id w:val="6775376"/>
                <w:lock w:val="sdtLocked"/>
              </w:sdtPr>
              <w:sdtContent>
                <w:tc>
                  <w:tcPr>
                    <w:tcW w:w="339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一、坏账损失</w:t>
                    </w:r>
                  </w:p>
                </w:tc>
              </w:sdtContent>
            </w:sdt>
            <w:tc>
              <w:tcPr>
                <w:tcW w:w="2574" w:type="dxa"/>
                <w:tcBorders>
                  <w:top w:val="single" w:color="auto" w:sz="4" w:space="0"/>
                  <w:left w:val="single" w:color="auto" w:sz="4" w:space="0"/>
                  <w:bottom w:val="single" w:color="auto" w:sz="4" w:space="0"/>
                  <w:right w:val="single" w:color="auto" w:sz="4" w:space="0"/>
                </w:tcBorders>
              </w:tcPr>
              <w:p>
                <w:pPr>
                  <w:jc w:val="right"/>
                  <w:rPr>
                    <w:szCs w:val="21"/>
                  </w:rPr>
                </w:pPr>
                <w:r>
                  <w:t>-15,317,524.56</w:t>
                </w:r>
              </w:p>
            </w:tc>
            <w:tc>
              <w:tcPr>
                <w:tcW w:w="3077" w:type="dxa"/>
                <w:tcBorders>
                  <w:top w:val="single" w:color="auto" w:sz="4" w:space="0"/>
                  <w:left w:val="single" w:color="auto" w:sz="4" w:space="0"/>
                  <w:bottom w:val="single" w:color="auto" w:sz="4" w:space="0"/>
                  <w:right w:val="single" w:color="auto" w:sz="4" w:space="0"/>
                </w:tcBorders>
              </w:tcPr>
              <w:p>
                <w:pPr>
                  <w:jc w:val="right"/>
                  <w:rPr>
                    <w:szCs w:val="21"/>
                  </w:rPr>
                </w:pPr>
                <w:r>
                  <w:t>30,514,986.96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e32356db3d143409ebb7c3f4c335f1e"/>
                <w:id w:val="6775377"/>
                <w:lock w:val="sdtLocked"/>
              </w:sdtPr>
              <w:sdtContent>
                <w:tc>
                  <w:tcPr>
                    <w:tcW w:w="339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二、存货跌价损失</w:t>
                    </w:r>
                  </w:p>
                </w:tc>
              </w:sdtContent>
            </w:sdt>
            <w:tc>
              <w:tcPr>
                <w:tcW w:w="2574" w:type="dxa"/>
                <w:tcBorders>
                  <w:top w:val="single" w:color="auto" w:sz="4" w:space="0"/>
                  <w:left w:val="single" w:color="auto" w:sz="4" w:space="0"/>
                  <w:bottom w:val="single" w:color="auto" w:sz="4" w:space="0"/>
                  <w:right w:val="single" w:color="auto" w:sz="4" w:space="0"/>
                </w:tcBorders>
              </w:tcPr>
              <w:p>
                <w:pPr>
                  <w:jc w:val="right"/>
                  <w:rPr>
                    <w:szCs w:val="21"/>
                  </w:rPr>
                </w:pPr>
                <w:r>
                  <w:t>27,517.39</w:t>
                </w:r>
              </w:p>
            </w:tc>
            <w:tc>
              <w:tcPr>
                <w:tcW w:w="3077" w:type="dxa"/>
                <w:tcBorders>
                  <w:top w:val="single" w:color="auto" w:sz="4" w:space="0"/>
                  <w:left w:val="single" w:color="auto" w:sz="4" w:space="0"/>
                  <w:bottom w:val="single" w:color="auto" w:sz="4" w:space="0"/>
                  <w:right w:val="single" w:color="auto" w:sz="4" w:space="0"/>
                </w:tcBorders>
              </w:tcPr>
              <w:p>
                <w:pPr>
                  <w:jc w:val="right"/>
                  <w:rPr>
                    <w:szCs w:val="21"/>
                  </w:rPr>
                </w:pPr>
                <w:r>
                  <w:t>-4,819,395.53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34f2e9360a2400a89862cd125871d4c"/>
                <w:id w:val="6775378"/>
                <w:lock w:val="sdtLocked"/>
              </w:sdtPr>
              <w:sdtContent>
                <w:tc>
                  <w:tcPr>
                    <w:tcW w:w="339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szCs w:val="21"/>
                      </w:rPr>
                    </w:pPr>
                    <w:r>
                      <w:rPr>
                        <w:rFonts w:hint="eastAsia"/>
                        <w:szCs w:val="21"/>
                      </w:rPr>
                      <w:t>合计</w:t>
                    </w:r>
                  </w:p>
                </w:tc>
              </w:sdtContent>
            </w:sdt>
            <w:tc>
              <w:tcPr>
                <w:tcW w:w="2574" w:type="dxa"/>
                <w:tcBorders>
                  <w:top w:val="single" w:color="auto" w:sz="4" w:space="0"/>
                  <w:left w:val="single" w:color="auto" w:sz="4" w:space="0"/>
                  <w:bottom w:val="single" w:color="auto" w:sz="4" w:space="0"/>
                  <w:right w:val="single" w:color="auto" w:sz="4" w:space="0"/>
                </w:tcBorders>
              </w:tcPr>
              <w:p>
                <w:pPr>
                  <w:jc w:val="right"/>
                  <w:rPr>
                    <w:szCs w:val="21"/>
                  </w:rPr>
                </w:pPr>
                <w:r>
                  <w:t>-15,290,007.17</w:t>
                </w:r>
              </w:p>
            </w:tc>
            <w:tc>
              <w:tcPr>
                <w:tcW w:w="3077" w:type="dxa"/>
                <w:tcBorders>
                  <w:top w:val="single" w:color="auto" w:sz="4" w:space="0"/>
                  <w:left w:val="single" w:color="auto" w:sz="4" w:space="0"/>
                  <w:bottom w:val="single" w:color="auto" w:sz="4" w:space="0"/>
                  <w:right w:val="single" w:color="auto" w:sz="4" w:space="0"/>
                </w:tcBorders>
              </w:tcPr>
              <w:p>
                <w:pPr>
                  <w:jc w:val="right"/>
                  <w:rPr>
                    <w:szCs w:val="21"/>
                  </w:rPr>
                </w:pPr>
                <w:r>
                  <w:t>25,695,591.43</w:t>
                </w:r>
              </w:p>
            </w:tc>
          </w:tr>
        </w:tbl>
      </w:sdtContent>
    </w:sdt>
    <w:p/>
    <w:sdt>
      <w:sdtPr>
        <w:rPr>
          <w:rFonts w:hint="eastAsia" w:ascii="宋体" w:hAnsi="宋体" w:cs="宋体"/>
          <w:b w:val="0"/>
          <w:bCs w:val="0"/>
          <w:kern w:val="0"/>
          <w:szCs w:val="21"/>
        </w:rPr>
        <w:alias w:val="模块:公允价值变动收益"/>
        <w:tag w:val="_SEC_59438245cbe649a8a2f89e01596add48"/>
        <w:id w:val="6775393"/>
        <w:lock w:val="sdtLocked"/>
        <w:placeholder>
          <w:docPart w:val="GBC22222222222222222222222222222"/>
        </w:placeholder>
      </w:sdtPr>
      <w:sdtEndPr>
        <w:rPr>
          <w:rFonts w:hint="eastAsia" w:ascii="宋体" w:hAnsi="宋体" w:cstheme="minorBidi"/>
          <w:b w:val="0"/>
          <w:bCs w:val="0"/>
          <w:kern w:val="2"/>
          <w:szCs w:val="21"/>
        </w:rPr>
      </w:sdtEndPr>
      <w:sdtContent>
        <w:p>
          <w:pPr>
            <w:pStyle w:val="4"/>
            <w:numPr>
              <w:ilvl w:val="0"/>
              <w:numId w:val="66"/>
            </w:numPr>
            <w:tabs>
              <w:tab w:val="left" w:pos="504"/>
            </w:tabs>
            <w:rPr>
              <w:rFonts w:ascii="宋体" w:hAnsi="宋体"/>
              <w:szCs w:val="21"/>
            </w:rPr>
          </w:pPr>
          <w:r>
            <w:rPr>
              <w:rFonts w:hint="eastAsia" w:ascii="宋体" w:hAnsi="宋体"/>
              <w:szCs w:val="21"/>
            </w:rPr>
            <w:t>公允价值变动收益</w:t>
          </w:r>
        </w:p>
        <w:sdt>
          <w:sdtPr>
            <w:alias w:val="是否适用：公允价值变动收益[双击切换]"/>
            <w:tag w:val="_GBC_ad6d251413ce483a893ec4e1075462bd"/>
            <w:id w:val="677538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公允价值变动收益"/>
              <w:tag w:val="_GBC_2bdc708cfe6d4b60bec879b6626e8fc9"/>
              <w:id w:val="677538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472c61c9e00f4cd3a95d6e0065fb826f"/>
              <w:id w:val="67753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9"/>
            <w:gridCol w:w="212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a0203e1abbf4cc38342890145c59776"/>
                <w:id w:val="6775384"/>
                <w:lock w:val="sdtLocked"/>
              </w:sdtPr>
              <w:sdtContent>
                <w:tc>
                  <w:tcPr>
                    <w:tcW w:w="5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产生公允价值变动收益的来源</w:t>
                    </w:r>
                  </w:p>
                </w:tc>
              </w:sdtContent>
            </w:sdt>
            <w:sdt>
              <w:sdtPr>
                <w:tag w:val="_PLD_0c5ed0791c1b4bfba950ed7315425c38"/>
                <w:id w:val="6775385"/>
                <w:lock w:val="sdtLocked"/>
              </w:sdtPr>
              <w:sdtContent>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本期发生额</w:t>
                    </w:r>
                  </w:p>
                </w:tc>
              </w:sdtContent>
            </w:sdt>
            <w:sdt>
              <w:sdtPr>
                <w:tag w:val="_PLD_a6744946b5f6404db16be148e85ca5b2"/>
                <w:id w:val="6775386"/>
                <w:lock w:val="sdtLocked"/>
              </w:sdtPr>
              <w:sdtContent>
                <w:tc>
                  <w:tcPr>
                    <w:tcW w:w="1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0224e375b1045c898b5ec4ca54eeaa9"/>
                <w:id w:val="6775387"/>
                <w:lock w:val="sdtLocked"/>
              </w:sdtPr>
              <w:sdtContent>
                <w:tc>
                  <w:tcPr>
                    <w:tcW w:w="5069"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以公允价值计量的且其变动计入当期损益的金融资产</w:t>
                    </w:r>
                  </w:p>
                </w:tc>
              </w:sdtContent>
            </w:sdt>
            <w:tc>
              <w:tcPr>
                <w:tcW w:w="21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t>-1,197,796.73</w:t>
                </w:r>
              </w:p>
            </w:tc>
            <w:tc>
              <w:tcPr>
                <w:tcW w:w="185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t>-5,187,631.49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a5f4aef225a4e699439df5c16d3dd51"/>
                <w:id w:val="6775388"/>
                <w:lock w:val="sdtLocked"/>
              </w:sdtPr>
              <w:sdtContent>
                <w:tc>
                  <w:tcPr>
                    <w:tcW w:w="5069"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其中：衍生金融工具产生的公允价值变动收益</w:t>
                    </w:r>
                  </w:p>
                </w:tc>
              </w:sdtContent>
            </w:sdt>
            <w:tc>
              <w:tcPr>
                <w:tcW w:w="21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c>
              <w:tcPr>
                <w:tcW w:w="185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e5d928043774442aabc26da3fe0e996"/>
                <w:id w:val="6775389"/>
                <w:lock w:val="sdtLocked"/>
              </w:sdtPr>
              <w:sdtContent>
                <w:tc>
                  <w:tcPr>
                    <w:tcW w:w="5069"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以公允价值计量的且其变动计入当期损益的金融负债</w:t>
                    </w:r>
                  </w:p>
                </w:tc>
              </w:sdtContent>
            </w:sdt>
            <w:tc>
              <w:tcPr>
                <w:tcW w:w="21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c>
              <w:tcPr>
                <w:tcW w:w="185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bda4d7102844f479ec1cabc84b8a9af"/>
                <w:id w:val="6775390"/>
                <w:lock w:val="sdtLocked"/>
              </w:sdtPr>
              <w:sdtContent>
                <w:tc>
                  <w:tcPr>
                    <w:tcW w:w="5069"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按公允价值计量的投资性房地产</w:t>
                    </w:r>
                  </w:p>
                </w:tc>
              </w:sdtContent>
            </w:sdt>
            <w:tc>
              <w:tcPr>
                <w:tcW w:w="212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c>
              <w:tcPr>
                <w:tcW w:w="185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1f5fefe31c941f0a060919528080734"/>
                <w:id w:val="6775391"/>
                <w:lock w:val="sdtLocked"/>
              </w:sdtPr>
              <w:sdtContent>
                <w:tc>
                  <w:tcPr>
                    <w:tcW w:w="5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合计</w:t>
                    </w:r>
                  </w:p>
                </w:tc>
              </w:sdtContent>
            </w:sdt>
            <w:tc>
              <w:tcPr>
                <w:tcW w:w="2127" w:type="dxa"/>
                <w:tcBorders>
                  <w:top w:val="single" w:color="auto" w:sz="4" w:space="0"/>
                  <w:left w:val="single" w:color="auto" w:sz="4" w:space="0"/>
                  <w:bottom w:val="single" w:color="auto" w:sz="4" w:space="0"/>
                  <w:right w:val="single" w:color="auto" w:sz="4" w:space="0"/>
                </w:tcBorders>
              </w:tcPr>
              <w:p>
                <w:pPr>
                  <w:jc w:val="right"/>
                  <w:rPr>
                    <w:szCs w:val="21"/>
                  </w:rPr>
                </w:pPr>
                <w:r>
                  <w:t>-1,197,796.73</w:t>
                </w:r>
              </w:p>
            </w:tc>
            <w:tc>
              <w:tcPr>
                <w:tcW w:w="185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t>-5,187,631.49</w:t>
                </w:r>
              </w:p>
            </w:tc>
          </w:tr>
        </w:tbl>
        <w:p/>
        <w:p>
          <w:pPr>
            <w:spacing w:before="60" w:after="60"/>
            <w:rPr>
              <w:szCs w:val="21"/>
            </w:rPr>
          </w:pPr>
          <w:r>
            <w:rPr>
              <w:rFonts w:hint="eastAsia"/>
              <w:szCs w:val="21"/>
            </w:rPr>
            <w:t>其他说明：</w:t>
          </w:r>
        </w:p>
        <w:sdt>
          <w:sdtPr>
            <w:rPr>
              <w:rFonts w:hint="eastAsia"/>
              <w:szCs w:val="21"/>
            </w:rPr>
            <w:alias w:val="公允价值变动收益的说明"/>
            <w:tag w:val="_GBC_bfce3b42eac04b4ab4474890e945a556"/>
            <w:id w:val="6775392"/>
            <w:lock w:val="sdtLocked"/>
            <w:placeholder>
              <w:docPart w:val="GBC22222222222222222222222222222"/>
            </w:placeholder>
          </w:sdtPr>
          <w:sdtEndPr>
            <w:rPr>
              <w:rFonts w:hint="eastAsia"/>
              <w:szCs w:val="21"/>
            </w:rPr>
          </w:sdtEndPr>
          <w:sdtContent>
            <w:p>
              <w:pPr>
                <w:rPr>
                  <w:szCs w:val="21"/>
                </w:rPr>
              </w:pPr>
              <w:r>
                <w:rPr>
                  <w:rFonts w:hint="eastAsia"/>
                  <w:szCs w:val="21"/>
                </w:rPr>
                <w:t>公司公允价值变动损益全部为证券投资期末市值变动产生的损益。</w:t>
              </w:r>
            </w:p>
          </w:sdtContent>
        </w:sdt>
      </w:sdtContent>
    </w:sdt>
    <w:p>
      <w:pPr>
        <w:rPr>
          <w:szCs w:val="21"/>
        </w:rPr>
      </w:pPr>
    </w:p>
    <w:p>
      <w:pPr>
        <w:pStyle w:val="4"/>
        <w:numPr>
          <w:ilvl w:val="0"/>
          <w:numId w:val="66"/>
        </w:numPr>
        <w:tabs>
          <w:tab w:val="left" w:pos="504"/>
        </w:tabs>
        <w:rPr>
          <w:rFonts w:ascii="宋体" w:hAnsi="宋体"/>
          <w:szCs w:val="21"/>
        </w:rPr>
      </w:pPr>
      <w:r>
        <w:rPr>
          <w:rFonts w:hint="eastAsia" w:ascii="宋体" w:hAnsi="宋体"/>
          <w:szCs w:val="21"/>
        </w:rPr>
        <w:t>投资收益</w:t>
      </w:r>
    </w:p>
    <w:sdt>
      <w:sdtPr>
        <w:alias w:val="是否适用：投资收益[双击切换]"/>
        <w:tag w:val="_GBC_1f66f397104e45798f742aa9d22590c6"/>
        <w:id w:val="677539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b/>
          <w:szCs w:val="21"/>
        </w:rPr>
        <w:alias w:val="模块:投资收益"/>
        <w:tag w:val="_SEC_e7407157ef4d445d8f28cfbe12012c34"/>
        <w:id w:val="6775405"/>
        <w:lock w:val="sdtLocked"/>
        <w:placeholder>
          <w:docPart w:val="GBC22222222222222222222222222222"/>
        </w:placeholder>
      </w:sdtPr>
      <w:sdtEndPr>
        <w:rPr>
          <w:b/>
          <w:szCs w:val="21"/>
        </w:rPr>
      </w:sdtEndPr>
      <w:sdtContent>
        <w:p>
          <w:pPr>
            <w:jc w:val="right"/>
            <w:rPr>
              <w:b/>
              <w:szCs w:val="21"/>
            </w:rPr>
          </w:pPr>
          <w:r>
            <w:rPr>
              <w:szCs w:val="21"/>
            </w:rPr>
            <w:t>单位</w:t>
          </w:r>
          <w:r>
            <w:rPr>
              <w:rFonts w:hint="eastAsia"/>
              <w:szCs w:val="21"/>
            </w:rPr>
            <w:t>：</w:t>
          </w:r>
          <w:sdt>
            <w:sdtPr>
              <w:rPr>
                <w:rFonts w:hint="eastAsia"/>
                <w:szCs w:val="21"/>
              </w:rPr>
              <w:alias w:val="单位：财务附注：会计报表中的投资收益项目增加"/>
              <w:tag w:val="_GBC_f4f5838ae1e547abb2383b2740d46da6"/>
              <w:id w:val="677539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0c99981703004ac2a5e8ab60008798ab"/>
              <w:id w:val="67753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2269"/>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2e245ee325249d783fe380f025395fb"/>
                <w:id w:val="6775397"/>
                <w:lock w:val="sdtLocked"/>
              </w:sdtPr>
              <w:sdtContent>
                <w:tc>
                  <w:tcPr>
                    <w:tcW w:w="4786" w:type="dxa"/>
                    <w:vAlign w:val="center"/>
                  </w:tcPr>
                  <w:p>
                    <w:pPr>
                      <w:ind w:left="420" w:hanging="420"/>
                      <w:jc w:val="center"/>
                      <w:rPr>
                        <w:szCs w:val="21"/>
                      </w:rPr>
                    </w:pPr>
                    <w:r>
                      <w:rPr>
                        <w:rFonts w:hint="eastAsia"/>
                        <w:szCs w:val="21"/>
                      </w:rPr>
                      <w:t>项目</w:t>
                    </w:r>
                  </w:p>
                </w:tc>
              </w:sdtContent>
            </w:sdt>
            <w:sdt>
              <w:sdtPr>
                <w:tag w:val="_PLD_00a0fb0b1ace45c9bad8f97c2b5cfb13"/>
                <w:id w:val="6775398"/>
                <w:lock w:val="sdtLocked"/>
              </w:sdtPr>
              <w:sdtContent>
                <w:tc>
                  <w:tcPr>
                    <w:tcW w:w="2269" w:type="dxa"/>
                    <w:vAlign w:val="center"/>
                  </w:tcPr>
                  <w:p>
                    <w:pPr>
                      <w:jc w:val="center"/>
                      <w:rPr>
                        <w:szCs w:val="21"/>
                      </w:rPr>
                    </w:pPr>
                    <w:r>
                      <w:rPr>
                        <w:rFonts w:hint="eastAsia"/>
                        <w:szCs w:val="21"/>
                      </w:rPr>
                      <w:t>本期发生额</w:t>
                    </w:r>
                  </w:p>
                </w:tc>
              </w:sdtContent>
            </w:sdt>
            <w:sdt>
              <w:sdtPr>
                <w:tag w:val="_PLD_5ef182e6bf2040998e67c737ce48f8ce"/>
                <w:id w:val="6775399"/>
                <w:lock w:val="sdtLocked"/>
              </w:sdtPr>
              <w:sdtContent>
                <w:tc>
                  <w:tcPr>
                    <w:tcW w:w="1994" w:type="dxa"/>
                    <w:vAlign w:val="center"/>
                  </w:tcPr>
                  <w:p>
                    <w:pPr>
                      <w:jc w:val="center"/>
                      <w:rPr>
                        <w:szCs w:val="21"/>
                      </w:rPr>
                    </w:pPr>
                    <w:r>
                      <w:rPr>
                        <w:rFonts w:hint="eastAsia"/>
                        <w:szCs w:val="21"/>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4b9443ceb494985b4c87976032cd164"/>
                <w:id w:val="6775400"/>
                <w:lock w:val="sdtLocked"/>
              </w:sdtPr>
              <w:sdtContent>
                <w:tc>
                  <w:tcPr>
                    <w:tcW w:w="4786" w:type="dxa"/>
                  </w:tcPr>
                  <w:p>
                    <w:pPr>
                      <w:rPr>
                        <w:szCs w:val="21"/>
                      </w:rPr>
                    </w:pPr>
                    <w:r>
                      <w:rPr>
                        <w:rFonts w:hint="eastAsia"/>
                        <w:szCs w:val="21"/>
                      </w:rPr>
                      <w:t>权益法核算的长期股权投资收益</w:t>
                    </w:r>
                  </w:p>
                </w:tc>
              </w:sdtContent>
            </w:sdt>
            <w:tc>
              <w:tcPr>
                <w:tcW w:w="2269" w:type="dxa"/>
                <w:vAlign w:val="center"/>
              </w:tcPr>
              <w:p>
                <w:pPr>
                  <w:jc w:val="right"/>
                  <w:rPr>
                    <w:szCs w:val="21"/>
                  </w:rPr>
                </w:pPr>
                <w:r>
                  <w:t>-299,813.56</w:t>
                </w:r>
              </w:p>
            </w:tc>
            <w:tc>
              <w:tcPr>
                <w:tcW w:w="1994" w:type="dxa"/>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253507fc07f46f18d02cdaa943bdb84"/>
                <w:id w:val="6775401"/>
                <w:lock w:val="sdtLocked"/>
              </w:sdtPr>
              <w:sdtContent>
                <w:tc>
                  <w:tcPr>
                    <w:tcW w:w="4786" w:type="dxa"/>
                  </w:tcPr>
                  <w:p>
                    <w:pPr>
                      <w:rPr>
                        <w:szCs w:val="21"/>
                      </w:rPr>
                    </w:pPr>
                    <w:r>
                      <w:rPr>
                        <w:rFonts w:hint="eastAsia"/>
                        <w:szCs w:val="21"/>
                      </w:rPr>
                      <w:t>处置长期股权投资产生的投资收益</w:t>
                    </w:r>
                  </w:p>
                </w:tc>
              </w:sdtContent>
            </w:sdt>
            <w:tc>
              <w:tcPr>
                <w:tcW w:w="2269" w:type="dxa"/>
                <w:vAlign w:val="center"/>
              </w:tcPr>
              <w:p>
                <w:pPr>
                  <w:jc w:val="right"/>
                  <w:rPr>
                    <w:szCs w:val="21"/>
                  </w:rPr>
                </w:pPr>
              </w:p>
            </w:tc>
            <w:tc>
              <w:tcPr>
                <w:tcW w:w="1994" w:type="dxa"/>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153d1d566454428bf4ee05c719bf702"/>
                <w:id w:val="6775402"/>
                <w:lock w:val="sdtLocked"/>
              </w:sdtPr>
              <w:sdtContent>
                <w:tc>
                  <w:tcPr>
                    <w:tcW w:w="4786" w:type="dxa"/>
                  </w:tcPr>
                  <w:p>
                    <w:pPr>
                      <w:rPr>
                        <w:szCs w:val="21"/>
                      </w:rPr>
                    </w:pPr>
                    <w:r>
                      <w:rPr>
                        <w:rFonts w:hint="eastAsia"/>
                        <w:szCs w:val="21"/>
                      </w:rPr>
                      <w:t>以公允价值计量且其变动计入当期损益的金融资产在持有期间的投资收益</w:t>
                    </w:r>
                  </w:p>
                </w:tc>
              </w:sdtContent>
            </w:sdt>
            <w:tc>
              <w:tcPr>
                <w:tcW w:w="2269" w:type="dxa"/>
                <w:vAlign w:val="center"/>
              </w:tcPr>
              <w:p>
                <w:pPr>
                  <w:jc w:val="right"/>
                  <w:rPr>
                    <w:szCs w:val="21"/>
                  </w:rPr>
                </w:pPr>
              </w:p>
            </w:tc>
            <w:tc>
              <w:tcPr>
                <w:tcW w:w="1994" w:type="dxa"/>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87970afcec348beb96f4b01d3b85755"/>
                <w:id w:val="6775403"/>
                <w:lock w:val="sdtLocked"/>
              </w:sdtPr>
              <w:sdtContent>
                <w:tc>
                  <w:tcPr>
                    <w:tcW w:w="4786" w:type="dxa"/>
                  </w:tcPr>
                  <w:p>
                    <w:pPr>
                      <w:rPr>
                        <w:szCs w:val="21"/>
                      </w:rPr>
                    </w:pPr>
                    <w:r>
                      <w:rPr>
                        <w:rFonts w:hint="eastAsia"/>
                        <w:szCs w:val="21"/>
                      </w:rPr>
                      <w:t>处置以公允价值计量且其变动计入当期损益的金融资产取得的投资收益</w:t>
                    </w:r>
                  </w:p>
                </w:tc>
              </w:sdtContent>
            </w:sdt>
            <w:tc>
              <w:tcPr>
                <w:tcW w:w="2269" w:type="dxa"/>
                <w:vAlign w:val="center"/>
              </w:tcPr>
              <w:p>
                <w:pPr>
                  <w:jc w:val="right"/>
                  <w:rPr>
                    <w:szCs w:val="21"/>
                  </w:rPr>
                </w:pPr>
                <w:r>
                  <w:t>-1,458,170.38</w:t>
                </w:r>
              </w:p>
            </w:tc>
            <w:tc>
              <w:tcPr>
                <w:tcW w:w="1994" w:type="dxa"/>
                <w:vAlign w:val="center"/>
              </w:tcPr>
              <w:p>
                <w:pPr>
                  <w:jc w:val="right"/>
                  <w:rPr>
                    <w:szCs w:val="21"/>
                  </w:rPr>
                </w:pPr>
                <w:r>
                  <w:t>-200,047.13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3907725f80e49b597640ea7d9281dc3"/>
                <w:id w:val="6775404"/>
                <w:lock w:val="sdtLocked"/>
              </w:sdtPr>
              <w:sdtContent>
                <w:tc>
                  <w:tcPr>
                    <w:tcW w:w="4786" w:type="dxa"/>
                    <w:vAlign w:val="center"/>
                  </w:tcPr>
                  <w:p>
                    <w:pPr>
                      <w:jc w:val="center"/>
                      <w:rPr>
                        <w:szCs w:val="21"/>
                      </w:rPr>
                    </w:pPr>
                    <w:r>
                      <w:rPr>
                        <w:rFonts w:hint="eastAsia"/>
                        <w:szCs w:val="21"/>
                      </w:rPr>
                      <w:t>合计</w:t>
                    </w:r>
                  </w:p>
                </w:tc>
              </w:sdtContent>
            </w:sdt>
            <w:tc>
              <w:tcPr>
                <w:tcW w:w="2269" w:type="dxa"/>
                <w:vAlign w:val="center"/>
              </w:tcPr>
              <w:p>
                <w:pPr>
                  <w:jc w:val="right"/>
                  <w:rPr>
                    <w:szCs w:val="21"/>
                  </w:rPr>
                </w:pPr>
                <w:r>
                  <w:t>-1,757,983.94</w:t>
                </w:r>
              </w:p>
            </w:tc>
            <w:tc>
              <w:tcPr>
                <w:tcW w:w="1994" w:type="dxa"/>
                <w:vAlign w:val="center"/>
              </w:tcPr>
              <w:p>
                <w:pPr>
                  <w:jc w:val="right"/>
                  <w:rPr>
                    <w:szCs w:val="21"/>
                  </w:rPr>
                </w:pPr>
                <w:r>
                  <w:t>-200,047.13</w:t>
                </w:r>
              </w:p>
            </w:tc>
          </w:tr>
        </w:tbl>
        <w:p>
          <w:pPr>
            <w:rPr>
              <w:b/>
              <w:szCs w:val="21"/>
            </w:rPr>
          </w:pPr>
        </w:p>
      </w:sdtContent>
    </w:sdt>
    <w:p>
      <w:pPr>
        <w:pStyle w:val="4"/>
        <w:numPr>
          <w:ilvl w:val="0"/>
          <w:numId w:val="66"/>
        </w:numPr>
        <w:tabs>
          <w:tab w:val="left" w:pos="504"/>
        </w:tabs>
        <w:rPr>
          <w:rFonts w:ascii="宋体" w:hAnsi="宋体"/>
          <w:szCs w:val="21"/>
        </w:rPr>
      </w:pPr>
      <w:r>
        <w:rPr>
          <w:rFonts w:hint="eastAsia" w:ascii="宋体" w:hAnsi="宋体"/>
          <w:szCs w:val="21"/>
        </w:rPr>
        <w:t>营业外收入</w:t>
      </w:r>
    </w:p>
    <w:sdt>
      <w:sdtPr>
        <w:rPr>
          <w:rFonts w:hint="eastAsia"/>
        </w:rPr>
        <w:alias w:val="模块:营业外收入情况"/>
        <w:tag w:val="_SEC_f6bd1fb85aac4d5fae732da5669c7d98"/>
        <w:id w:val="6775424"/>
        <w:lock w:val="sdtLocked"/>
        <w:placeholder>
          <w:docPart w:val="GBC22222222222222222222222222222"/>
        </w:placeholder>
      </w:sdtPr>
      <w:sdtEndPr>
        <w:rPr>
          <w:rFonts w:hint="eastAsia"/>
        </w:rPr>
      </w:sdtEndPr>
      <w:sdtContent>
        <w:p>
          <w:r>
            <w:rPr>
              <w:rFonts w:hint="eastAsia"/>
            </w:rPr>
            <w:t>营业外收入情况</w:t>
          </w:r>
        </w:p>
        <w:sdt>
          <w:sdtPr>
            <w:rPr>
              <w:rFonts w:hint="eastAsia"/>
            </w:rPr>
            <w:alias w:val="是否适用：营业外收入情况 [双击切换]"/>
            <w:tag w:val="_GBC_4aec8b65d0e744aaaddac8859ae249bc"/>
            <w:id w:val="6775408"/>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附注：营业外收入"/>
              <w:tag w:val="_GBC_79d3fe1c29e746e7b2a9a9acfcc43449"/>
              <w:id w:val="6775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营业外收入"/>
              <w:tag w:val="_GBC_4266913812da4517aa68b2f8bff79fbe"/>
              <w:id w:val="677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3"/>
            <w:gridCol w:w="1842"/>
            <w:gridCol w:w="1703"/>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b52b1902e1443609ba6891d7076aebe"/>
                <w:id w:val="6775411"/>
                <w:lock w:val="sdtLocked"/>
              </w:sdtPr>
              <w:sdtContent>
                <w:tc>
                  <w:tcPr>
                    <w:tcW w:w="36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项目</w:t>
                    </w:r>
                  </w:p>
                </w:tc>
              </w:sdtContent>
            </w:sdt>
            <w:sdt>
              <w:sdtPr>
                <w:tag w:val="_PLD_9dc87bd465124a2289f545f76d28c96c"/>
                <w:id w:val="6775412"/>
                <w:lock w:val="sdtLocked"/>
              </w:sdtPr>
              <w:sdtContent>
                <w:tc>
                  <w:tcPr>
                    <w:tcW w:w="18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本期发生额</w:t>
                    </w:r>
                  </w:p>
                </w:tc>
              </w:sdtContent>
            </w:sdt>
            <w:sdt>
              <w:sdtPr>
                <w:tag w:val="_PLD_e1b91f5db91a439083c1f9a1b7d17ef9"/>
                <w:id w:val="6775413"/>
                <w:lock w:val="sdtLocked"/>
              </w:sdtPr>
              <w:sdtContent>
                <w:tc>
                  <w:tcPr>
                    <w:tcW w:w="1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上期发生额</w:t>
                    </w:r>
                  </w:p>
                </w:tc>
              </w:sdtContent>
            </w:sdt>
            <w:sdt>
              <w:sdtPr>
                <w:tag w:val="_PLD_db1c9e08e7ea407889a350e8451d2848"/>
                <w:id w:val="6775414"/>
                <w:lock w:val="sdtLocked"/>
              </w:sdtPr>
              <w:sdtContent>
                <w:tc>
                  <w:tcPr>
                    <w:tcW w:w="1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FF0000"/>
                        <w:szCs w:val="21"/>
                      </w:rPr>
                    </w:pPr>
                    <w:r>
                      <w:rPr>
                        <w:rFonts w:hint="eastAsia"/>
                        <w:szCs w:val="21"/>
                      </w:rPr>
                      <w:t>计入当期非经常性损益的金额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d7d486e5802447694f6aabdd236c0f9"/>
                <w:id w:val="6775415"/>
                <w:lock w:val="sdtLocked"/>
              </w:sdtPr>
              <w:sdtContent>
                <w:tc>
                  <w:tcPr>
                    <w:tcW w:w="365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非流动资产处置利得合计</w:t>
                    </w:r>
                  </w:p>
                </w:tc>
              </w:sdtContent>
            </w:sdt>
            <w:tc>
              <w:tcPr>
                <w:tcW w:w="1842" w:type="dxa"/>
                <w:tcBorders>
                  <w:top w:val="single" w:color="auto" w:sz="4" w:space="0"/>
                  <w:left w:val="single" w:color="auto" w:sz="4" w:space="0"/>
                  <w:bottom w:val="single" w:color="auto" w:sz="4" w:space="0"/>
                  <w:right w:val="single" w:color="auto" w:sz="4" w:space="0"/>
                </w:tcBorders>
              </w:tcPr>
              <w:p>
                <w:pPr>
                  <w:jc w:val="right"/>
                  <w:rPr>
                    <w:szCs w:val="21"/>
                  </w:rPr>
                </w:pPr>
              </w:p>
            </w:tc>
            <w:tc>
              <w:tcPr>
                <w:tcW w:w="1703" w:type="dxa"/>
                <w:tcBorders>
                  <w:top w:val="single" w:color="auto" w:sz="4" w:space="0"/>
                  <w:left w:val="single" w:color="auto" w:sz="4" w:space="0"/>
                  <w:bottom w:val="single" w:color="auto" w:sz="4" w:space="0"/>
                  <w:right w:val="single" w:color="auto" w:sz="4" w:space="0"/>
                </w:tcBorders>
              </w:tcPr>
              <w:p>
                <w:pPr>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6e5a2dd44854ddd9b1f8deb77014232"/>
                <w:id w:val="6775416"/>
                <w:lock w:val="sdtLocked"/>
              </w:sdtPr>
              <w:sdtContent>
                <w:tc>
                  <w:tcPr>
                    <w:tcW w:w="365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其中：固定资产处置利得</w:t>
                    </w:r>
                  </w:p>
                </w:tc>
              </w:sdtContent>
            </w:sdt>
            <w:tc>
              <w:tcPr>
                <w:tcW w:w="1842" w:type="dxa"/>
                <w:tcBorders>
                  <w:top w:val="single" w:color="auto" w:sz="4" w:space="0"/>
                  <w:left w:val="single" w:color="auto" w:sz="4" w:space="0"/>
                  <w:bottom w:val="single" w:color="auto" w:sz="4" w:space="0"/>
                  <w:right w:val="single" w:color="auto" w:sz="4" w:space="0"/>
                </w:tcBorders>
              </w:tcPr>
              <w:p>
                <w:pPr>
                  <w:jc w:val="right"/>
                  <w:rPr>
                    <w:szCs w:val="21"/>
                  </w:rPr>
                </w:pPr>
              </w:p>
            </w:tc>
            <w:tc>
              <w:tcPr>
                <w:tcW w:w="1703" w:type="dxa"/>
                <w:tcBorders>
                  <w:top w:val="single" w:color="auto" w:sz="4" w:space="0"/>
                  <w:left w:val="single" w:color="auto" w:sz="4" w:space="0"/>
                  <w:bottom w:val="single" w:color="auto" w:sz="4" w:space="0"/>
                  <w:right w:val="single" w:color="auto" w:sz="4" w:space="0"/>
                </w:tcBorders>
              </w:tcPr>
              <w:p>
                <w:pPr>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c67c8623790441885ff3b307cc33e39"/>
                <w:id w:val="6775417"/>
                <w:lock w:val="sdtLocked"/>
              </w:sdtPr>
              <w:sdtContent>
                <w:tc>
                  <w:tcPr>
                    <w:tcW w:w="36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630" w:firstLineChars="300"/>
                      <w:rPr>
                        <w:szCs w:val="21"/>
                      </w:rPr>
                    </w:pPr>
                    <w:r>
                      <w:rPr>
                        <w:rFonts w:hint="eastAsia"/>
                        <w:szCs w:val="21"/>
                      </w:rPr>
                      <w:t>无形资产处置利得</w:t>
                    </w:r>
                  </w:p>
                </w:tc>
              </w:sdtContent>
            </w:sdt>
            <w:tc>
              <w:tcPr>
                <w:tcW w:w="1842" w:type="dxa"/>
                <w:tcBorders>
                  <w:top w:val="single" w:color="auto" w:sz="4" w:space="0"/>
                  <w:left w:val="single" w:color="auto" w:sz="4" w:space="0"/>
                  <w:bottom w:val="single" w:color="auto" w:sz="4" w:space="0"/>
                  <w:right w:val="single" w:color="auto" w:sz="4" w:space="0"/>
                </w:tcBorders>
              </w:tcPr>
              <w:p>
                <w:pPr>
                  <w:jc w:val="right"/>
                  <w:rPr>
                    <w:szCs w:val="21"/>
                  </w:rPr>
                </w:pPr>
              </w:p>
            </w:tc>
            <w:tc>
              <w:tcPr>
                <w:tcW w:w="1703" w:type="dxa"/>
                <w:tcBorders>
                  <w:top w:val="single" w:color="auto" w:sz="4" w:space="0"/>
                  <w:left w:val="single" w:color="auto" w:sz="4" w:space="0"/>
                  <w:bottom w:val="single" w:color="auto" w:sz="4" w:space="0"/>
                  <w:right w:val="single" w:color="auto" w:sz="4" w:space="0"/>
                </w:tcBorders>
              </w:tcPr>
              <w:p>
                <w:pPr>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32cc85383ec424cab6edaa5d4ee48d4"/>
                <w:id w:val="6775418"/>
                <w:lock w:val="sdtLocked"/>
              </w:sdtPr>
              <w:sdtContent>
                <w:tc>
                  <w:tcPr>
                    <w:tcW w:w="365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债务重组利得</w:t>
                    </w:r>
                  </w:p>
                </w:tc>
              </w:sdtContent>
            </w:sdt>
            <w:tc>
              <w:tcPr>
                <w:tcW w:w="1842" w:type="dxa"/>
                <w:tcBorders>
                  <w:top w:val="single" w:color="auto" w:sz="4" w:space="0"/>
                  <w:left w:val="single" w:color="auto" w:sz="4" w:space="0"/>
                  <w:bottom w:val="single" w:color="auto" w:sz="4" w:space="0"/>
                  <w:right w:val="single" w:color="auto" w:sz="4" w:space="0"/>
                </w:tcBorders>
              </w:tcPr>
              <w:p>
                <w:pPr>
                  <w:jc w:val="right"/>
                  <w:rPr>
                    <w:szCs w:val="21"/>
                  </w:rPr>
                </w:pPr>
              </w:p>
            </w:tc>
            <w:tc>
              <w:tcPr>
                <w:tcW w:w="1703" w:type="dxa"/>
                <w:tcBorders>
                  <w:top w:val="single" w:color="auto" w:sz="4" w:space="0"/>
                  <w:left w:val="single" w:color="auto" w:sz="4" w:space="0"/>
                  <w:bottom w:val="single" w:color="auto" w:sz="4" w:space="0"/>
                  <w:right w:val="single" w:color="auto" w:sz="4" w:space="0"/>
                </w:tcBorders>
              </w:tcPr>
              <w:p>
                <w:pPr>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1bafef3b0014764b4b915b52e29fba9"/>
                <w:id w:val="6775419"/>
                <w:lock w:val="sdtLocked"/>
              </w:sdtPr>
              <w:sdtContent>
                <w:tc>
                  <w:tcPr>
                    <w:tcW w:w="365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非货币性资产交换利得</w:t>
                    </w:r>
                  </w:p>
                </w:tc>
              </w:sdtContent>
            </w:sdt>
            <w:tc>
              <w:tcPr>
                <w:tcW w:w="1842" w:type="dxa"/>
                <w:tcBorders>
                  <w:top w:val="single" w:color="auto" w:sz="4" w:space="0"/>
                  <w:left w:val="single" w:color="auto" w:sz="4" w:space="0"/>
                  <w:bottom w:val="single" w:color="auto" w:sz="4" w:space="0"/>
                  <w:right w:val="single" w:color="auto" w:sz="4" w:space="0"/>
                </w:tcBorders>
              </w:tcPr>
              <w:p>
                <w:pPr>
                  <w:jc w:val="right"/>
                  <w:rPr>
                    <w:szCs w:val="21"/>
                  </w:rPr>
                </w:pPr>
              </w:p>
            </w:tc>
            <w:tc>
              <w:tcPr>
                <w:tcW w:w="1703" w:type="dxa"/>
                <w:tcBorders>
                  <w:top w:val="single" w:color="auto" w:sz="4" w:space="0"/>
                  <w:left w:val="single" w:color="auto" w:sz="4" w:space="0"/>
                  <w:bottom w:val="single" w:color="auto" w:sz="4" w:space="0"/>
                  <w:right w:val="single" w:color="auto" w:sz="4" w:space="0"/>
                </w:tcBorders>
              </w:tcPr>
              <w:p>
                <w:pPr>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2513254d4874268a6239e1ae075ea22"/>
                <w:id w:val="6775420"/>
                <w:lock w:val="sdtLocked"/>
              </w:sdtPr>
              <w:sdtContent>
                <w:tc>
                  <w:tcPr>
                    <w:tcW w:w="3653"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接受捐赠</w:t>
                    </w:r>
                  </w:p>
                </w:tc>
              </w:sdtContent>
            </w:sdt>
            <w:tc>
              <w:tcPr>
                <w:tcW w:w="1842" w:type="dxa"/>
                <w:tcBorders>
                  <w:top w:val="single" w:color="auto" w:sz="4" w:space="0"/>
                  <w:left w:val="single" w:color="auto" w:sz="4" w:space="0"/>
                  <w:bottom w:val="single" w:color="auto" w:sz="4" w:space="0"/>
                  <w:right w:val="single" w:color="auto" w:sz="4" w:space="0"/>
                </w:tcBorders>
              </w:tcPr>
              <w:p>
                <w:pPr>
                  <w:jc w:val="right"/>
                  <w:rPr>
                    <w:szCs w:val="21"/>
                  </w:rPr>
                </w:pPr>
              </w:p>
            </w:tc>
            <w:tc>
              <w:tcPr>
                <w:tcW w:w="1703" w:type="dxa"/>
                <w:tcBorders>
                  <w:top w:val="single" w:color="auto" w:sz="4" w:space="0"/>
                  <w:left w:val="single" w:color="auto" w:sz="4" w:space="0"/>
                  <w:bottom w:val="single" w:color="auto" w:sz="4" w:space="0"/>
                  <w:right w:val="single" w:color="auto" w:sz="4" w:space="0"/>
                </w:tcBorders>
              </w:tcPr>
              <w:p>
                <w:pPr>
                  <w:jc w:val="right"/>
                  <w:rPr>
                    <w:szCs w:val="21"/>
                  </w:rPr>
                </w:pPr>
              </w:p>
            </w:tc>
            <w:tc>
              <w:tcPr>
                <w:tcW w:w="18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ceb5cb8f02c47d68b9fbe69483149d9"/>
                <w:id w:val="6775421"/>
                <w:lock w:val="sdtLocked"/>
              </w:sdtPr>
              <w:sdtContent>
                <w:tc>
                  <w:tcPr>
                    <w:tcW w:w="3653" w:type="dxa"/>
                    <w:tcBorders>
                      <w:top w:val="single" w:color="auto" w:sz="4" w:space="0"/>
                      <w:left w:val="single" w:color="auto" w:sz="4" w:space="0"/>
                      <w:bottom w:val="single" w:color="auto" w:sz="4" w:space="0"/>
                      <w:right w:val="single" w:color="auto" w:sz="4" w:space="0"/>
                    </w:tcBorders>
                  </w:tcPr>
                  <w:p>
                    <w:pPr>
                      <w:ind w:right="6"/>
                      <w:rPr>
                        <w:bCs/>
                        <w:szCs w:val="21"/>
                      </w:rPr>
                    </w:pPr>
                    <w:r>
                      <w:rPr>
                        <w:rFonts w:hint="eastAsia"/>
                        <w:bCs/>
                        <w:szCs w:val="21"/>
                      </w:rPr>
                      <w:t>政府补助</w:t>
                    </w:r>
                  </w:p>
                </w:tc>
              </w:sdtContent>
            </w:sdt>
            <w:tc>
              <w:tcPr>
                <w:tcW w:w="1842" w:type="dxa"/>
                <w:tcBorders>
                  <w:top w:val="single" w:color="auto" w:sz="4" w:space="0"/>
                  <w:left w:val="single" w:color="auto" w:sz="4" w:space="0"/>
                  <w:bottom w:val="single" w:color="auto" w:sz="4" w:space="0"/>
                  <w:right w:val="single" w:color="auto" w:sz="4" w:space="0"/>
                </w:tcBorders>
                <w:vAlign w:val="center"/>
              </w:tcPr>
              <w:p>
                <w:pPr>
                  <w:jc w:val="right"/>
                  <w:rPr>
                    <w:rFonts w:asciiTheme="majorEastAsia" w:hAnsiTheme="majorEastAsia" w:eastAsiaTheme="majorEastAsia"/>
                    <w:szCs w:val="21"/>
                  </w:rPr>
                </w:pPr>
                <w:r>
                  <w:rPr>
                    <w:rFonts w:asciiTheme="majorEastAsia" w:hAnsiTheme="majorEastAsia" w:eastAsiaTheme="majorEastAsia"/>
                    <w:color w:val="000000"/>
                    <w:szCs w:val="21"/>
                  </w:rPr>
                  <w:t>1,025,665.00</w:t>
                </w:r>
              </w:p>
            </w:tc>
            <w:tc>
              <w:tcPr>
                <w:tcW w:w="1703" w:type="dxa"/>
                <w:tcBorders>
                  <w:top w:val="single" w:color="auto" w:sz="4" w:space="0"/>
                  <w:left w:val="single" w:color="auto" w:sz="4" w:space="0"/>
                  <w:bottom w:val="single" w:color="auto" w:sz="4" w:space="0"/>
                  <w:right w:val="single" w:color="auto" w:sz="4" w:space="0"/>
                </w:tcBorders>
                <w:vAlign w:val="center"/>
              </w:tcPr>
              <w:p>
                <w:pPr>
                  <w:jc w:val="right"/>
                  <w:rPr>
                    <w:szCs w:val="21"/>
                  </w:rPr>
                </w:pPr>
                <w:r>
                  <w:t>47,553,045.58</w:t>
                </w:r>
              </w:p>
            </w:tc>
            <w:tc>
              <w:tcPr>
                <w:tcW w:w="18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rPr>
                    <w:rFonts w:asciiTheme="majorEastAsia" w:hAnsiTheme="majorEastAsia" w:eastAsiaTheme="majorEastAsia"/>
                    <w:color w:val="000000"/>
                    <w:szCs w:val="21"/>
                  </w:rPr>
                  <w:t>1,025,665.00</w:t>
                </w:r>
              </w:p>
            </w:tc>
          </w:tr>
          <w:sdt>
            <w:sdtPr>
              <w:rPr>
                <w:rFonts w:hint="eastAsia"/>
                <w:szCs w:val="21"/>
              </w:rPr>
              <w:alias w:val="营业外收入明细"/>
              <w:tag w:val="_TUP_46937c9656934b67a9abb141e7420d0e"/>
              <w:id w:val="6775422"/>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3"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其他</w:t>
                    </w:r>
                  </w:p>
                </w:tc>
                <w:tc>
                  <w:tcPr>
                    <w:tcW w:w="1842" w:type="dxa"/>
                    <w:tcBorders>
                      <w:top w:val="single" w:color="auto" w:sz="4" w:space="0"/>
                      <w:left w:val="single" w:color="auto" w:sz="4" w:space="0"/>
                      <w:bottom w:val="single" w:color="auto" w:sz="4" w:space="0"/>
                      <w:right w:val="single" w:color="auto" w:sz="4" w:space="0"/>
                    </w:tcBorders>
                    <w:vAlign w:val="center"/>
                  </w:tcPr>
                  <w:p>
                    <w:pPr>
                      <w:jc w:val="right"/>
                      <w:rPr>
                        <w:szCs w:val="21"/>
                      </w:rPr>
                    </w:pPr>
                    <w:r>
                      <w:t>7,169,277.01</w:t>
                    </w:r>
                  </w:p>
                </w:tc>
                <w:tc>
                  <w:tcPr>
                    <w:tcW w:w="1703" w:type="dxa"/>
                    <w:tcBorders>
                      <w:top w:val="single" w:color="auto" w:sz="4" w:space="0"/>
                      <w:left w:val="single" w:color="auto" w:sz="4" w:space="0"/>
                      <w:bottom w:val="single" w:color="auto" w:sz="4" w:space="0"/>
                      <w:right w:val="single" w:color="auto" w:sz="4" w:space="0"/>
                    </w:tcBorders>
                    <w:vAlign w:val="center"/>
                  </w:tcPr>
                  <w:p>
                    <w:pPr>
                      <w:jc w:val="right"/>
                      <w:rPr>
                        <w:szCs w:val="21"/>
                      </w:rPr>
                    </w:pPr>
                    <w:r>
                      <w:t>11,773,470.19</w:t>
                    </w:r>
                  </w:p>
                </w:tc>
                <w:tc>
                  <w:tcPr>
                    <w:tcW w:w="1851" w:type="dxa"/>
                    <w:tcBorders>
                      <w:top w:val="single" w:color="auto" w:sz="4" w:space="0"/>
                      <w:left w:val="single" w:color="auto" w:sz="4" w:space="0"/>
                      <w:bottom w:val="single" w:color="auto" w:sz="4" w:space="0"/>
                      <w:right w:val="single" w:color="auto" w:sz="4" w:space="0"/>
                    </w:tcBorders>
                  </w:tcPr>
                  <w:p>
                    <w:pPr>
                      <w:jc w:val="right"/>
                      <w:rPr>
                        <w:szCs w:val="21"/>
                      </w:rPr>
                    </w:pPr>
                    <w:r>
                      <w:t>7,169,277.01</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701136e79c0479f9536922958a26987"/>
                <w:id w:val="6775423"/>
                <w:lock w:val="sdtLocked"/>
              </w:sdtPr>
              <w:sdtContent>
                <w:tc>
                  <w:tcPr>
                    <w:tcW w:w="365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w:t>
                    </w:r>
                  </w:p>
                </w:tc>
              </w:sdtContent>
            </w:sdt>
            <w:tc>
              <w:tcPr>
                <w:tcW w:w="1842" w:type="dxa"/>
                <w:tcBorders>
                  <w:top w:val="single" w:color="auto" w:sz="4" w:space="0"/>
                  <w:left w:val="single" w:color="auto" w:sz="4" w:space="0"/>
                  <w:bottom w:val="single" w:color="auto" w:sz="4" w:space="0"/>
                  <w:right w:val="single" w:color="auto" w:sz="4" w:space="0"/>
                </w:tcBorders>
                <w:vAlign w:val="center"/>
              </w:tcPr>
              <w:p>
                <w:pPr>
                  <w:jc w:val="right"/>
                </w:pPr>
                <w:r>
                  <w:t>8,194,942.01</w:t>
                </w:r>
              </w:p>
            </w:tc>
            <w:tc>
              <w:tcPr>
                <w:tcW w:w="1703" w:type="dxa"/>
                <w:tcBorders>
                  <w:top w:val="single" w:color="auto" w:sz="4" w:space="0"/>
                  <w:left w:val="single" w:color="auto" w:sz="4" w:space="0"/>
                  <w:bottom w:val="single" w:color="auto" w:sz="4" w:space="0"/>
                  <w:right w:val="single" w:color="auto" w:sz="4" w:space="0"/>
                </w:tcBorders>
                <w:vAlign w:val="center"/>
              </w:tcPr>
              <w:p>
                <w:pPr>
                  <w:jc w:val="right"/>
                </w:pPr>
                <w:r>
                  <w:t>59,326,515.77</w:t>
                </w:r>
              </w:p>
            </w:tc>
            <w:tc>
              <w:tcPr>
                <w:tcW w:w="1851" w:type="dxa"/>
                <w:tcBorders>
                  <w:top w:val="single" w:color="auto" w:sz="4" w:space="0"/>
                  <w:left w:val="single" w:color="auto" w:sz="4" w:space="0"/>
                  <w:bottom w:val="single" w:color="auto" w:sz="4" w:space="0"/>
                  <w:right w:val="single" w:color="auto" w:sz="4" w:space="0"/>
                </w:tcBorders>
                <w:vAlign w:val="center"/>
              </w:tcPr>
              <w:p>
                <w:pPr>
                  <w:jc w:val="right"/>
                </w:pPr>
                <w:r>
                  <w:t>8,194,942.01</w:t>
                </w:r>
              </w:p>
            </w:tc>
          </w:tr>
        </w:tbl>
        <w:p/>
      </w:sdtContent>
    </w:sdt>
    <w:p>
      <w:pPr>
        <w:rPr>
          <w:szCs w:val="21"/>
        </w:rPr>
      </w:pPr>
    </w:p>
    <w:sdt>
      <w:sdtPr>
        <w:rPr>
          <w:rFonts w:hint="eastAsia"/>
          <w:b/>
        </w:rPr>
        <w:alias w:val="模块:计入当期损益的政府补助"/>
        <w:tag w:val="_SEC_7da34acddedf41ad98cc013fa3418dfa"/>
        <w:id w:val="6775449"/>
        <w:lock w:val="sdtLocked"/>
        <w:placeholder>
          <w:docPart w:val="GBC22222222222222222222222222222"/>
        </w:placeholder>
      </w:sdtPr>
      <w:sdtEndPr>
        <w:rPr>
          <w:rFonts w:hint="eastAsia"/>
          <w:b w:val="0"/>
          <w:szCs w:val="21"/>
        </w:rPr>
      </w:sdtEndPr>
      <w:sdtContent>
        <w:p>
          <w:pPr>
            <w:rPr>
              <w:rStyle w:val="45"/>
              <w:rFonts w:ascii="宋体" w:hAnsi="宋体"/>
              <w:b w:val="0"/>
              <w:szCs w:val="21"/>
            </w:rPr>
          </w:pPr>
          <w:r>
            <w:rPr>
              <w:rStyle w:val="45"/>
              <w:rFonts w:hint="eastAsia" w:ascii="宋体" w:hAnsi="宋体"/>
              <w:b w:val="0"/>
              <w:szCs w:val="21"/>
            </w:rPr>
            <w:t>计入当期</w:t>
          </w:r>
          <w:r>
            <w:rPr>
              <w:rFonts w:hint="eastAsia"/>
            </w:rPr>
            <w:t>损益</w:t>
          </w:r>
          <w:r>
            <w:rPr>
              <w:rStyle w:val="45"/>
              <w:rFonts w:hint="eastAsia" w:ascii="宋体" w:hAnsi="宋体"/>
              <w:b w:val="0"/>
              <w:szCs w:val="21"/>
            </w:rPr>
            <w:t>的政府补助</w:t>
          </w:r>
        </w:p>
        <w:p>
          <w:pPr>
            <w:rPr>
              <w:rStyle w:val="45"/>
              <w:rFonts w:ascii="宋体" w:hAnsi="宋体"/>
              <w:b w:val="0"/>
              <w:szCs w:val="21"/>
            </w:rPr>
          </w:pPr>
          <w:sdt>
            <w:sdtPr>
              <w:rPr>
                <w:rStyle w:val="45"/>
                <w:rFonts w:ascii="宋体" w:hAnsi="宋体"/>
                <w:b w:val="0"/>
                <w:szCs w:val="21"/>
              </w:rPr>
              <w:alias w:val="是否适用：计入当期损益的政府补助[双击切换]"/>
              <w:tag w:val="_GBC_4a57096a511a4052b159cd6811fa40df"/>
              <w:id w:val="6775425"/>
              <w:lock w:val="sdtContentLocked"/>
              <w:placeholder>
                <w:docPart w:val="GBC22222222222222222222222222222"/>
              </w:placeholder>
            </w:sdtPr>
            <w:sdtEndPr>
              <w:rPr>
                <w:rStyle w:val="45"/>
                <w:rFonts w:ascii="宋体" w:hAnsi="宋体"/>
                <w:b w:val="0"/>
                <w:szCs w:val="21"/>
              </w:rPr>
            </w:sdtEndPr>
            <w:sdtContent>
              <w:r>
                <w:rPr>
                  <w:rStyle w:val="45"/>
                  <w:rFonts w:ascii="宋体" w:hAnsi="宋体"/>
                  <w:b w:val="0"/>
                  <w:szCs w:val="21"/>
                </w:rPr>
                <w:fldChar w:fldCharType="begin"/>
              </w:r>
              <w:r>
                <w:rPr>
                  <w:rStyle w:val="45"/>
                  <w:rFonts w:ascii="宋体" w:hAnsi="宋体"/>
                  <w:b w:val="0"/>
                  <w:szCs w:val="21"/>
                </w:rPr>
                <w:instrText xml:space="preserve">MACROBUTTON  SnrToggleCheckbox √适用 </w:instrText>
              </w:r>
              <w:r>
                <w:rPr>
                  <w:rStyle w:val="45"/>
                  <w:rFonts w:ascii="宋体" w:hAnsi="宋体"/>
                  <w:b w:val="0"/>
                  <w:szCs w:val="21"/>
                </w:rPr>
                <w:fldChar w:fldCharType="end"/>
              </w:r>
              <w:r>
                <w:rPr>
                  <w:rStyle w:val="45"/>
                  <w:rFonts w:ascii="宋体" w:hAnsi="宋体"/>
                  <w:b w:val="0"/>
                  <w:szCs w:val="21"/>
                </w:rPr>
                <w:fldChar w:fldCharType="begin"/>
              </w:r>
              <w:r>
                <w:rPr>
                  <w:rStyle w:val="45"/>
                  <w:rFonts w:ascii="宋体" w:hAnsi="宋体"/>
                  <w:b w:val="0"/>
                  <w:szCs w:val="21"/>
                </w:rPr>
                <w:instrText xml:space="preserve"> MACROBUTTON  SnrToggleCheckbox □不适用 </w:instrText>
              </w:r>
              <w:r>
                <w:rPr>
                  <w:rStyle w:val="45"/>
                  <w:rFonts w:ascii="宋体" w:hAnsi="宋体"/>
                  <w:b w:val="0"/>
                  <w:szCs w:val="21"/>
                </w:rPr>
                <w:fldChar w:fldCharType="end"/>
              </w:r>
            </w:sdtContent>
          </w:sdt>
        </w:p>
        <w:p>
          <w:pPr>
            <w:jc w:val="right"/>
            <w:rPr>
              <w:szCs w:val="21"/>
            </w:rPr>
          </w:pPr>
          <w:r>
            <w:rPr>
              <w:rFonts w:hint="eastAsia"/>
              <w:szCs w:val="21"/>
            </w:rPr>
            <w:t xml:space="preserve"> 单位：</w:t>
          </w:r>
          <w:sdt>
            <w:sdtPr>
              <w:rPr>
                <w:rFonts w:hint="eastAsia"/>
                <w:szCs w:val="21"/>
              </w:rPr>
              <w:alias w:val="单位：财务附注：计入当期损益的政府补助"/>
              <w:tag w:val="_GBC_a253ac579fd34bc794b89c4d3d4d304a"/>
              <w:id w:val="6775426"/>
              <w:lock w:val="sdtLocked"/>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9a6e699bbc0b43f98b9c9be25141a93b"/>
              <w:id w:val="6775427"/>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rPr>
                <w:rFonts w:hint="eastAsia"/>
                <w:szCs w:val="21"/>
              </w:rPr>
            </w:sdtEndPr>
            <w:sdtContent>
              <w:r>
                <w:rPr>
                  <w:rFonts w:hint="eastAsia"/>
                  <w:szCs w:val="21"/>
                </w:rPr>
                <w:t>人民币</w:t>
              </w:r>
            </w:sdtContent>
          </w:sdt>
        </w:p>
        <w:tbl>
          <w:tblPr>
            <w:tblStyle w:val="83"/>
            <w:tblW w:w="8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141"/>
            <w:gridCol w:w="1419"/>
            <w:gridCol w:w="1273"/>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56" w:hRule="atLeast"/>
              <w:jc w:val="center"/>
            </w:trPr>
            <w:sdt>
              <w:sdtPr>
                <w:rPr>
                  <w:sz w:val="18"/>
                  <w:szCs w:val="18"/>
                </w:rPr>
                <w:tag w:val="_PLD_86798175e8274935b14c55657369624d"/>
                <w:id w:val="253713408"/>
                <w:lock w:val="sdtLocked"/>
              </w:sdtPr>
              <w:sdtEndPr>
                <w:rPr>
                  <w:sz w:val="18"/>
                  <w:szCs w:val="18"/>
                </w:rPr>
              </w:sdtEndPr>
              <w:sdtContent>
                <w:tc>
                  <w:tcPr>
                    <w:tcW w:w="414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补助项目</w:t>
                    </w:r>
                  </w:p>
                </w:tc>
              </w:sdtContent>
            </w:sdt>
            <w:sdt>
              <w:sdtPr>
                <w:rPr>
                  <w:sz w:val="18"/>
                  <w:szCs w:val="18"/>
                </w:rPr>
                <w:tag w:val="_PLD_4aa15420d5c045e4a4982225afbb2ce5"/>
                <w:id w:val="-1223596336"/>
                <w:lock w:val="sdtLocked"/>
              </w:sdtPr>
              <w:sdtEndPr>
                <w:rPr>
                  <w:sz w:val="18"/>
                  <w:szCs w:val="18"/>
                </w:rPr>
              </w:sdtEndPr>
              <w:sdtContent>
                <w:tc>
                  <w:tcPr>
                    <w:tcW w:w="14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本期发生</w:t>
                    </w:r>
                    <w:r>
                      <w:rPr>
                        <w:rFonts w:hint="eastAsia"/>
                        <w:sz w:val="18"/>
                        <w:szCs w:val="18"/>
                      </w:rPr>
                      <w:t>金</w:t>
                    </w:r>
                    <w:r>
                      <w:rPr>
                        <w:sz w:val="18"/>
                        <w:szCs w:val="18"/>
                      </w:rPr>
                      <w:t>额</w:t>
                    </w:r>
                  </w:p>
                </w:tc>
              </w:sdtContent>
            </w:sdt>
            <w:sdt>
              <w:sdtPr>
                <w:rPr>
                  <w:sz w:val="18"/>
                  <w:szCs w:val="18"/>
                </w:rPr>
                <w:tag w:val="_PLD_698f3be90de143b0ab21d08bd35dfea3"/>
                <w:id w:val="-2138256355"/>
                <w:lock w:val="sdtLocked"/>
              </w:sdtPr>
              <w:sdtEndPr>
                <w:rPr>
                  <w:sz w:val="18"/>
                  <w:szCs w:val="18"/>
                </w:rPr>
              </w:sdtEndPr>
              <w:sdtContent>
                <w:tc>
                  <w:tcPr>
                    <w:tcW w:w="127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上期发生</w:t>
                    </w:r>
                    <w:r>
                      <w:rPr>
                        <w:rFonts w:hint="eastAsia"/>
                        <w:sz w:val="18"/>
                        <w:szCs w:val="18"/>
                      </w:rPr>
                      <w:t>金</w:t>
                    </w:r>
                    <w:r>
                      <w:rPr>
                        <w:sz w:val="18"/>
                        <w:szCs w:val="18"/>
                      </w:rPr>
                      <w:t>额</w:t>
                    </w:r>
                  </w:p>
                </w:tc>
              </w:sdtContent>
            </w:sdt>
            <w:sdt>
              <w:sdtPr>
                <w:rPr>
                  <w:sz w:val="18"/>
                  <w:szCs w:val="18"/>
                </w:rPr>
                <w:tag w:val="_PLD_1ccc55fac54348899e665549cfebd368"/>
                <w:id w:val="-626241045"/>
                <w:lock w:val="sdtLocked"/>
              </w:sdtPr>
              <w:sdtEndPr>
                <w:rPr>
                  <w:sz w:val="18"/>
                  <w:szCs w:val="18"/>
                </w:rPr>
              </w:sdtEndPr>
              <w:sdtContent>
                <w:tc>
                  <w:tcPr>
                    <w:tcW w:w="206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与资产相关/与收益相关</w:t>
                    </w:r>
                  </w:p>
                </w:tc>
              </w:sdtContent>
            </w:sdt>
          </w:tr>
          <w:sdt>
            <w:sdtPr>
              <w:rPr>
                <w:rFonts w:asciiTheme="minorHAnsi" w:hAnsiTheme="minorHAnsi" w:eastAsiaTheme="minorEastAsia" w:cstheme="minorBidi"/>
                <w:kern w:val="2"/>
                <w:sz w:val="18"/>
                <w:szCs w:val="18"/>
              </w:rPr>
              <w:alias w:val="计入当期损益的政府补助明细"/>
              <w:tag w:val="_TUP_a1482265863e4cccb3ef6f5ba7bda669"/>
              <w:id w:val="-261692575"/>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资源综合利用增值税退税</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41,161,307.98</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与收益相关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2111471879"/>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三焦加煤、推焦除尘地面站改造工程政府补助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197,987.64</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147541020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焦化厂干熄焦节能技术改造工程政府补助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637,891.68</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929654648"/>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3#4#干熄焦节能改造工程政府补助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539,874.00</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13267996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160吨/h干熄焦节能改造工程政府补助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440,064.48</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43804084"/>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焦炉煤气氨气回收综合利用工程政府补助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181,995.96</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21598647"/>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110M2、265M2烧结机头烟气脱硫工程政府补助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337,388.88</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1786156781"/>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1#烧结机(360M2烧结机)技术改造工程政府补助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536,107.68</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156013285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第二高速线材技术改造工程政府补助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330,173.28</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134405014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合金棒材生产线技术改造政府补助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199,115.04</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198985207"/>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150吨转炉技术改造政府补助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266,472.24</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181798866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棒线型材厂第四棒线生产线技术改造工程政府补助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166,666.68</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1118908615"/>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2*360M2烧结机头烟气脱硫工程政府补助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1,431,333.36</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494770708"/>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焦化全干熄焦配套完善工程政府补助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133,333.32</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1262494491"/>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焦化230万吨/年煤调湿工程政府补助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726,666.72</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15656943"/>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球团烟气脱硫技术改造工程</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266,666.64</w:t>
                    </w: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与资产相关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359631290"/>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科技发明专利奖</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268,000.00</w:t>
                    </w: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与收益相关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200368939"/>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科技成果转化补助</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250,500.00</w:t>
                    </w: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与收益相关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1146974434"/>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能效提升奖励</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428,445.00</w:t>
                    </w: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与收益相关</w:t>
                    </w:r>
                  </w:p>
                </w:tc>
              </w:tr>
            </w:sdtContent>
          </w:sdt>
          <w:sdt>
            <w:sdtPr>
              <w:rPr>
                <w:rFonts w:asciiTheme="minorHAnsi" w:hAnsiTheme="minorHAnsi" w:eastAsiaTheme="minorEastAsia" w:cstheme="minorBidi"/>
                <w:kern w:val="2"/>
                <w:sz w:val="18"/>
                <w:szCs w:val="18"/>
              </w:rPr>
              <w:alias w:val="计入当期损益的政府补助明细"/>
              <w:tag w:val="_TUP_a1482265863e4cccb3ef6f5ba7bda669"/>
              <w:id w:val="-638340725"/>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41"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商标专利奖</w:t>
                    </w:r>
                  </w:p>
                </w:tc>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78,720.00</w:t>
                    </w: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p>
                </w:tc>
                <w:tc>
                  <w:tcPr>
                    <w:tcW w:w="206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与收益相关</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jc w:val="center"/>
            </w:trPr>
            <w:sdt>
              <w:sdtPr>
                <w:rPr>
                  <w:sz w:val="18"/>
                  <w:szCs w:val="18"/>
                </w:rPr>
                <w:tag w:val="_PLD_9008b9d37b304082add15f48e9ccdd64"/>
                <w:id w:val="-1881460493"/>
                <w:lock w:val="sdtLocked"/>
              </w:sdtPr>
              <w:sdtEndPr>
                <w:rPr>
                  <w:sz w:val="18"/>
                  <w:szCs w:val="18"/>
                </w:rPr>
              </w:sdtEndPr>
              <w:sdtContent>
                <w:tc>
                  <w:tcPr>
                    <w:tcW w:w="414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合计</w:t>
                    </w:r>
                  </w:p>
                </w:tc>
              </w:sdtContent>
            </w:sdt>
            <w:tc>
              <w:tcPr>
                <w:tcW w:w="1419"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1,025,665</w:t>
                </w:r>
                <w:r>
                  <w:rPr>
                    <w:rFonts w:hint="eastAsia"/>
                    <w:sz w:val="18"/>
                    <w:szCs w:val="18"/>
                  </w:rPr>
                  <w:t>.00</w:t>
                </w:r>
              </w:p>
            </w:tc>
            <w:tc>
              <w:tcPr>
                <w:tcW w:w="1273" w:type="dxa"/>
                <w:tcBorders>
                  <w:top w:val="single" w:color="auto" w:sz="4" w:space="0"/>
                  <w:left w:val="single" w:color="auto" w:sz="4" w:space="0"/>
                  <w:bottom w:val="single" w:color="auto" w:sz="4" w:space="0"/>
                  <w:right w:val="single" w:color="auto" w:sz="4" w:space="0"/>
                </w:tcBorders>
              </w:tcPr>
              <w:p>
                <w:pPr>
                  <w:jc w:val="right"/>
                  <w:rPr>
                    <w:sz w:val="18"/>
                    <w:szCs w:val="18"/>
                  </w:rPr>
                </w:pPr>
                <w:r>
                  <w:rPr>
                    <w:sz w:val="18"/>
                    <w:szCs w:val="18"/>
                  </w:rPr>
                  <w:t>47,553,045.58</w:t>
                </w:r>
              </w:p>
            </w:tc>
            <w:tc>
              <w:tcPr>
                <w:tcW w:w="2060"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w:t>
                </w:r>
              </w:p>
            </w:tc>
          </w:tr>
        </w:tbl>
        <w:p>
          <w:pPr>
            <w:rPr>
              <w:szCs w:val="21"/>
            </w:rPr>
          </w:pPr>
        </w:p>
      </w:sdtContent>
    </w:sdt>
    <w:sdt>
      <w:sdtPr>
        <w:rPr>
          <w:rFonts w:hint="eastAsia"/>
          <w:szCs w:val="21"/>
        </w:rPr>
        <w:alias w:val="模块:营业外收入说明"/>
        <w:tag w:val="_SEC_784c1ba1d166453d9ae358ccd8c78ff4"/>
        <w:id w:val="6775452"/>
        <w:lock w:val="sdtLocked"/>
        <w:placeholder>
          <w:docPart w:val="GBC22222222222222222222222222222"/>
        </w:placeholder>
      </w:sdtPr>
      <w:sdtEndPr>
        <w:rPr>
          <w:rFonts w:hint="eastAsia"/>
          <w:szCs w:val="21"/>
        </w:rPr>
      </w:sdtEndPr>
      <w:sdtContent>
        <w:p>
          <w:pPr>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6775450"/>
            <w:lock w:val="sdtContentLocked"/>
            <w:placeholder>
              <w:docPart w:val="GBC22222222222222222222222222222"/>
            </w:placeholder>
          </w:sdtPr>
          <w:sdtEndPr>
            <w:rPr>
              <w:szCs w:val="21"/>
            </w:rPr>
          </w:sdtEndPr>
          <w:sdtContent>
            <w:p>
              <w:pPr>
                <w:spacing w:before="60" w:after="60" w:line="360" w:lineRule="exact"/>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营业外收入说明"/>
            <w:tag w:val="_GBC_025da34f568f41658c5fa2bdac45f3f2"/>
            <w:id w:val="6775451"/>
            <w:lock w:val="sdtLocked"/>
            <w:placeholder>
              <w:docPart w:val="GBC22222222222222222222222222222"/>
            </w:placeholder>
          </w:sdtPr>
          <w:sdtEndPr>
            <w:rPr>
              <w:rFonts w:hint="eastAsia"/>
              <w:szCs w:val="21"/>
            </w:rPr>
          </w:sdtEndPr>
          <w:sdtContent>
            <w:p>
              <w:pPr>
                <w:rPr>
                  <w:szCs w:val="21"/>
                </w:rPr>
              </w:pPr>
              <w:r>
                <w:rPr>
                  <w:rFonts w:hint="eastAsia"/>
                  <w:szCs w:val="21"/>
                </w:rPr>
                <w:t>本期公司收到的与日常经营活动相关的政府补助以及与政府补助相关的递延收益摊销均在“其他收益”报表项目列示。</w:t>
              </w:r>
            </w:p>
          </w:sdtContent>
        </w:sdt>
      </w:sdtContent>
    </w:sdt>
    <w:p/>
    <w:sdt>
      <w:sdtPr>
        <w:rPr>
          <w:rFonts w:hint="eastAsia" w:ascii="宋体" w:hAnsi="宋体" w:cs="宋体"/>
          <w:b w:val="0"/>
          <w:bCs w:val="0"/>
          <w:kern w:val="0"/>
          <w:szCs w:val="21"/>
        </w:rPr>
        <w:alias w:val="模块:营业外支出"/>
        <w:tag w:val="_SEC_c9367abe549f4ea783abbf3c125e949f"/>
        <w:id w:val="6775469"/>
        <w:lock w:val="sdtLocked"/>
        <w:placeholder>
          <w:docPart w:val="GBC22222222222222222222222222222"/>
        </w:placeholder>
      </w:sdtPr>
      <w:sdtEndPr>
        <w:rPr>
          <w:rFonts w:hint="eastAsia" w:asciiTheme="minorHAnsi" w:hAnsiTheme="minorHAnsi" w:cstheme="minorBidi"/>
          <w:b w:val="0"/>
          <w:bCs w:val="0"/>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营业外支出</w:t>
          </w:r>
        </w:p>
        <w:sdt>
          <w:sdtPr>
            <w:rPr>
              <w:rFonts w:hint="eastAsia"/>
              <w:szCs w:val="21"/>
            </w:rPr>
            <w:alias w:val="是否适用：营业外支出[双击切换]"/>
            <w:tag w:val="_GBC_8e8d3e6e563742f48edf759d6034f4ce"/>
            <w:id w:val="677545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jc w:val="right"/>
            <w:rPr>
              <w:szCs w:val="21"/>
            </w:rPr>
          </w:pPr>
          <w:r>
            <w:rPr>
              <w:rFonts w:hint="eastAsia"/>
              <w:szCs w:val="21"/>
            </w:rPr>
            <w:t>单位：</w:t>
          </w:r>
          <w:sdt>
            <w:sdtPr>
              <w:rPr>
                <w:rFonts w:hint="eastAsia"/>
                <w:szCs w:val="21"/>
              </w:rPr>
              <w:alias w:val="单位：财务附注：营业外支出"/>
              <w:tag w:val="_GBC_825ccc5a51fd47a4888bf19121bc88e6"/>
              <w:id w:val="677545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6775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701"/>
            <w:gridCol w:w="184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e5b39f95fae41609c103f36a1017c54"/>
                <w:id w:val="6775456"/>
                <w:lock w:val="sdtLocked"/>
              </w:sdtPr>
              <w:sdtContent>
                <w:tc>
                  <w:tcPr>
                    <w:tcW w:w="28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项目</w:t>
                    </w:r>
                  </w:p>
                </w:tc>
              </w:sdtContent>
            </w:sdt>
            <w:sdt>
              <w:sdtPr>
                <w:tag w:val="_PLD_9ea5703e0d9641a1acf20638053e3dd5"/>
                <w:id w:val="6775457"/>
                <w:lock w:val="sdtLocked"/>
              </w:sdtPr>
              <w:sdtContent>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本期发生额</w:t>
                    </w:r>
                  </w:p>
                </w:tc>
              </w:sdtContent>
            </w:sdt>
            <w:sdt>
              <w:sdtPr>
                <w:tag w:val="_PLD_27cbc4bb29594bcfa61154a0d46b4d20"/>
                <w:id w:val="6775458"/>
                <w:lock w:val="sdtLocked"/>
              </w:sdtPr>
              <w:sdtContent>
                <w:tc>
                  <w:tcPr>
                    <w:tcW w:w="18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上期发生额</w:t>
                    </w:r>
                  </w:p>
                </w:tc>
              </w:sdtContent>
            </w:sdt>
            <w:sdt>
              <w:sdtPr>
                <w:tag w:val="_PLD_cab5bf568f924fed9d087fb26b588481"/>
                <w:id w:val="6775459"/>
                <w:lock w:val="sdtLocked"/>
              </w:sdtPr>
              <w:sdtContent>
                <w:tc>
                  <w:tcPr>
                    <w:tcW w:w="25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计入当期非经常性损益的金额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a1137f80f424464b95a182d4e48d247"/>
                <w:id w:val="6775460"/>
                <w:lock w:val="sdtLocked"/>
              </w:sdtPr>
              <w:sdtContent>
                <w:tc>
                  <w:tcPr>
                    <w:tcW w:w="28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非流动资产处置损失合计</w:t>
                    </w:r>
                  </w:p>
                </w:tc>
              </w:sdtContent>
            </w:sdt>
            <w:tc>
              <w:tcPr>
                <w:tcW w:w="1701" w:type="dxa"/>
                <w:tcBorders>
                  <w:top w:val="single" w:color="auto" w:sz="4" w:space="0"/>
                  <w:left w:val="single" w:color="auto" w:sz="4" w:space="0"/>
                  <w:bottom w:val="single" w:color="auto" w:sz="4" w:space="0"/>
                  <w:right w:val="single" w:color="auto" w:sz="4" w:space="0"/>
                </w:tcBorders>
              </w:tcPr>
              <w:p>
                <w:pPr>
                  <w:jc w:val="right"/>
                  <w:rPr>
                    <w:szCs w:val="21"/>
                  </w:rPr>
                </w:pPr>
                <w:r>
                  <w:t>3,825,393.16</w:t>
                </w:r>
              </w:p>
            </w:tc>
            <w:tc>
              <w:tcPr>
                <w:tcW w:w="1842" w:type="dxa"/>
                <w:tcBorders>
                  <w:top w:val="single" w:color="auto" w:sz="4" w:space="0"/>
                  <w:left w:val="single" w:color="auto" w:sz="4" w:space="0"/>
                  <w:bottom w:val="single" w:color="auto" w:sz="4" w:space="0"/>
                  <w:right w:val="single" w:color="auto" w:sz="4" w:space="0"/>
                </w:tcBorders>
              </w:tcPr>
              <w:p>
                <w:pPr>
                  <w:jc w:val="right"/>
                  <w:rPr>
                    <w:szCs w:val="21"/>
                  </w:rPr>
                </w:pPr>
                <w:r>
                  <w:t>25,347,736.57</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t>3,825,393.16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042ec27aa0b45deb7d091b82164f45c"/>
                <w:id w:val="6775461"/>
                <w:lock w:val="sdtLocked"/>
              </w:sdtPr>
              <w:sdtContent>
                <w:tc>
                  <w:tcPr>
                    <w:tcW w:w="28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其中：固定资产处置损失</w:t>
                    </w:r>
                  </w:p>
                </w:tc>
              </w:sdtContent>
            </w:sdt>
            <w:tc>
              <w:tcPr>
                <w:tcW w:w="1701" w:type="dxa"/>
                <w:tcBorders>
                  <w:top w:val="single" w:color="auto" w:sz="4" w:space="0"/>
                  <w:left w:val="single" w:color="auto" w:sz="4" w:space="0"/>
                  <w:bottom w:val="single" w:color="auto" w:sz="4" w:space="0"/>
                  <w:right w:val="single" w:color="auto" w:sz="4" w:space="0"/>
                </w:tcBorders>
              </w:tcPr>
              <w:p>
                <w:pPr>
                  <w:jc w:val="right"/>
                  <w:rPr>
                    <w:szCs w:val="21"/>
                  </w:rPr>
                </w:pPr>
                <w:r>
                  <w:t>3,825,393.16</w:t>
                </w:r>
              </w:p>
            </w:tc>
            <w:tc>
              <w:tcPr>
                <w:tcW w:w="1842" w:type="dxa"/>
                <w:tcBorders>
                  <w:top w:val="single" w:color="auto" w:sz="4" w:space="0"/>
                  <w:left w:val="single" w:color="auto" w:sz="4" w:space="0"/>
                  <w:bottom w:val="single" w:color="auto" w:sz="4" w:space="0"/>
                  <w:right w:val="single" w:color="auto" w:sz="4" w:space="0"/>
                </w:tcBorders>
              </w:tcPr>
              <w:p>
                <w:pPr>
                  <w:jc w:val="right"/>
                  <w:rPr>
                    <w:szCs w:val="21"/>
                  </w:rPr>
                </w:pPr>
                <w:r>
                  <w:t>25,347,736.57</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t>3,825,393.16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6c4042207ee4588afa39cb729ee058e"/>
                <w:id w:val="6775462"/>
                <w:lock w:val="sdtLocked"/>
              </w:sdtPr>
              <w:sdtContent>
                <w:tc>
                  <w:tcPr>
                    <w:tcW w:w="2802"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630" w:firstLineChars="300"/>
                      <w:rPr>
                        <w:szCs w:val="21"/>
                      </w:rPr>
                    </w:pPr>
                    <w:r>
                      <w:rPr>
                        <w:rFonts w:hint="eastAsia"/>
                        <w:szCs w:val="21"/>
                      </w:rPr>
                      <w:t>无形资产处置损失</w:t>
                    </w:r>
                  </w:p>
                </w:tc>
              </w:sdtContent>
            </w:sdt>
            <w:tc>
              <w:tcPr>
                <w:tcW w:w="1701" w:type="dxa"/>
                <w:tcBorders>
                  <w:top w:val="single" w:color="auto" w:sz="4" w:space="0"/>
                  <w:left w:val="single" w:color="auto" w:sz="4" w:space="0"/>
                  <w:bottom w:val="single" w:color="auto" w:sz="4" w:space="0"/>
                  <w:right w:val="single" w:color="auto" w:sz="4" w:space="0"/>
                </w:tcBorders>
              </w:tcPr>
              <w:p>
                <w:pPr>
                  <w:jc w:val="right"/>
                  <w:rPr>
                    <w:szCs w:val="21"/>
                  </w:rPr>
                </w:pPr>
              </w:p>
            </w:tc>
            <w:tc>
              <w:tcPr>
                <w:tcW w:w="1842" w:type="dxa"/>
                <w:tcBorders>
                  <w:top w:val="single" w:color="auto" w:sz="4" w:space="0"/>
                  <w:left w:val="single" w:color="auto" w:sz="4" w:space="0"/>
                  <w:bottom w:val="single" w:color="auto" w:sz="4" w:space="0"/>
                  <w:right w:val="single" w:color="auto" w:sz="4" w:space="0"/>
                </w:tcBorders>
              </w:tcPr>
              <w:p>
                <w:pPr>
                  <w:jc w:val="right"/>
                  <w:rPr>
                    <w:szCs w:val="21"/>
                  </w:rPr>
                </w:pP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1c21ef931fe4fa5910f57ecc1d02e08"/>
                <w:id w:val="6775463"/>
                <w:lock w:val="sdtLocked"/>
              </w:sdtPr>
              <w:sdtContent>
                <w:tc>
                  <w:tcPr>
                    <w:tcW w:w="28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债务重组损失</w:t>
                    </w:r>
                  </w:p>
                </w:tc>
              </w:sdtContent>
            </w:sdt>
            <w:tc>
              <w:tcPr>
                <w:tcW w:w="1701" w:type="dxa"/>
                <w:tcBorders>
                  <w:top w:val="single" w:color="auto" w:sz="4" w:space="0"/>
                  <w:left w:val="single" w:color="auto" w:sz="4" w:space="0"/>
                  <w:bottom w:val="single" w:color="auto" w:sz="4" w:space="0"/>
                  <w:right w:val="single" w:color="auto" w:sz="4" w:space="0"/>
                </w:tcBorders>
              </w:tcPr>
              <w:p>
                <w:pPr>
                  <w:jc w:val="right"/>
                  <w:rPr>
                    <w:szCs w:val="21"/>
                  </w:rPr>
                </w:pPr>
              </w:p>
            </w:tc>
            <w:tc>
              <w:tcPr>
                <w:tcW w:w="1842" w:type="dxa"/>
                <w:tcBorders>
                  <w:top w:val="single" w:color="auto" w:sz="4" w:space="0"/>
                  <w:left w:val="single" w:color="auto" w:sz="4" w:space="0"/>
                  <w:bottom w:val="single" w:color="auto" w:sz="4" w:space="0"/>
                  <w:right w:val="single" w:color="auto" w:sz="4" w:space="0"/>
                </w:tcBorders>
              </w:tcPr>
              <w:p>
                <w:pPr>
                  <w:jc w:val="right"/>
                  <w:rPr>
                    <w:szCs w:val="21"/>
                  </w:rPr>
                </w:pP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e977913c5e242ec93d414c55e3d4616"/>
                <w:id w:val="6775464"/>
                <w:lock w:val="sdtLocked"/>
              </w:sdtPr>
              <w:sdtContent>
                <w:tc>
                  <w:tcPr>
                    <w:tcW w:w="28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非货币性资产交换损失</w:t>
                    </w:r>
                  </w:p>
                </w:tc>
              </w:sdtContent>
            </w:sdt>
            <w:tc>
              <w:tcPr>
                <w:tcW w:w="1701" w:type="dxa"/>
                <w:tcBorders>
                  <w:top w:val="single" w:color="auto" w:sz="4" w:space="0"/>
                  <w:left w:val="single" w:color="auto" w:sz="4" w:space="0"/>
                  <w:bottom w:val="single" w:color="auto" w:sz="4" w:space="0"/>
                  <w:right w:val="single" w:color="auto" w:sz="4" w:space="0"/>
                </w:tcBorders>
              </w:tcPr>
              <w:p>
                <w:pPr>
                  <w:jc w:val="right"/>
                  <w:rPr>
                    <w:szCs w:val="21"/>
                  </w:rPr>
                </w:pPr>
              </w:p>
            </w:tc>
            <w:tc>
              <w:tcPr>
                <w:tcW w:w="1842" w:type="dxa"/>
                <w:tcBorders>
                  <w:top w:val="single" w:color="auto" w:sz="4" w:space="0"/>
                  <w:left w:val="single" w:color="auto" w:sz="4" w:space="0"/>
                  <w:bottom w:val="single" w:color="auto" w:sz="4" w:space="0"/>
                  <w:right w:val="single" w:color="auto" w:sz="4" w:space="0"/>
                </w:tcBorders>
              </w:tcPr>
              <w:p>
                <w:pPr>
                  <w:jc w:val="right"/>
                  <w:rPr>
                    <w:szCs w:val="21"/>
                  </w:rPr>
                </w:pP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e47fed3bcb1413ea1180de7d4fc5c85"/>
                <w:id w:val="6775465"/>
                <w:lock w:val="sdtLocked"/>
              </w:sdtPr>
              <w:sdtContent>
                <w:tc>
                  <w:tcPr>
                    <w:tcW w:w="28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Cs w:val="21"/>
                      </w:rPr>
                    </w:pPr>
                    <w:r>
                      <w:rPr>
                        <w:rFonts w:hint="eastAsia"/>
                        <w:szCs w:val="21"/>
                      </w:rPr>
                      <w:t>对外捐赠</w:t>
                    </w:r>
                  </w:p>
                </w:tc>
              </w:sdtContent>
            </w:sdt>
            <w:tc>
              <w:tcPr>
                <w:tcW w:w="1701" w:type="dxa"/>
                <w:tcBorders>
                  <w:top w:val="single" w:color="auto" w:sz="4" w:space="0"/>
                  <w:left w:val="single" w:color="auto" w:sz="4" w:space="0"/>
                  <w:bottom w:val="single" w:color="auto" w:sz="4" w:space="0"/>
                  <w:right w:val="single" w:color="auto" w:sz="4" w:space="0"/>
                </w:tcBorders>
              </w:tcPr>
              <w:p>
                <w:pPr>
                  <w:jc w:val="right"/>
                  <w:rPr>
                    <w:szCs w:val="21"/>
                  </w:rPr>
                </w:pPr>
                <w:r>
                  <w:t>891,261.29</w:t>
                </w:r>
              </w:p>
            </w:tc>
            <w:tc>
              <w:tcPr>
                <w:tcW w:w="1842" w:type="dxa"/>
                <w:tcBorders>
                  <w:top w:val="single" w:color="auto" w:sz="4" w:space="0"/>
                  <w:left w:val="single" w:color="auto" w:sz="4" w:space="0"/>
                  <w:bottom w:val="single" w:color="auto" w:sz="4" w:space="0"/>
                  <w:right w:val="single" w:color="auto" w:sz="4" w:space="0"/>
                </w:tcBorders>
              </w:tcPr>
              <w:p>
                <w:pPr>
                  <w:jc w:val="right"/>
                  <w:rPr>
                    <w:szCs w:val="21"/>
                  </w:rPr>
                </w:pP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t>891,261.29</w:t>
                </w:r>
              </w:p>
            </w:tc>
          </w:tr>
          <w:sdt>
            <w:sdtPr>
              <w:rPr>
                <w:rFonts w:hint="eastAsia"/>
                <w:szCs w:val="21"/>
              </w:rPr>
              <w:alias w:val="营业外支出明细"/>
              <w:tag w:val="_TUP_bd09bb7bd32c41f2b26ca414c6e9418d"/>
              <w:id w:val="6775466"/>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其他</w:t>
                    </w:r>
                  </w:p>
                </w:tc>
                <w:tc>
                  <w:tcPr>
                    <w:tcW w:w="1701" w:type="dxa"/>
                    <w:tcBorders>
                      <w:top w:val="single" w:color="auto" w:sz="4" w:space="0"/>
                      <w:left w:val="single" w:color="auto" w:sz="4" w:space="0"/>
                      <w:bottom w:val="single" w:color="auto" w:sz="4" w:space="0"/>
                      <w:right w:val="single" w:color="auto" w:sz="4" w:space="0"/>
                    </w:tcBorders>
                  </w:tcPr>
                  <w:p>
                    <w:pPr>
                      <w:jc w:val="right"/>
                      <w:rPr>
                        <w:szCs w:val="21"/>
                      </w:rPr>
                    </w:pPr>
                    <w:r>
                      <w:t>998,116.00</w:t>
                    </w:r>
                  </w:p>
                </w:tc>
                <w:tc>
                  <w:tcPr>
                    <w:tcW w:w="1842" w:type="dxa"/>
                    <w:tcBorders>
                      <w:top w:val="single" w:color="auto" w:sz="4" w:space="0"/>
                      <w:left w:val="single" w:color="auto" w:sz="4" w:space="0"/>
                      <w:bottom w:val="single" w:color="auto" w:sz="4" w:space="0"/>
                      <w:right w:val="single" w:color="auto" w:sz="4" w:space="0"/>
                    </w:tcBorders>
                  </w:tcPr>
                  <w:p>
                    <w:pPr>
                      <w:jc w:val="right"/>
                      <w:rPr>
                        <w:szCs w:val="21"/>
                      </w:rPr>
                    </w:pPr>
                    <w:r>
                      <w:t>35,144,779.54</w:t>
                    </w:r>
                  </w:p>
                </w:tc>
                <w:tc>
                  <w:tcPr>
                    <w:tcW w:w="2552" w:type="dxa"/>
                    <w:tcBorders>
                      <w:top w:val="single" w:color="auto" w:sz="4" w:space="0"/>
                      <w:left w:val="single" w:color="auto" w:sz="4" w:space="0"/>
                      <w:bottom w:val="single" w:color="auto" w:sz="4" w:space="0"/>
                      <w:right w:val="single" w:color="auto" w:sz="4" w:space="0"/>
                    </w:tcBorders>
                  </w:tcPr>
                  <w:p>
                    <w:pPr>
                      <w:jc w:val="right"/>
                      <w:rPr>
                        <w:szCs w:val="21"/>
                      </w:rPr>
                    </w:pPr>
                    <w:r>
                      <w:t>998,116.00</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10e235b598c4cba837dde9ff8f4cdba"/>
                <w:id w:val="6775467"/>
                <w:lock w:val="sdtLocked"/>
              </w:sdtPr>
              <w:sdtContent>
                <w:tc>
                  <w:tcPr>
                    <w:tcW w:w="2802" w:type="dxa"/>
                    <w:tcBorders>
                      <w:top w:val="single" w:color="auto" w:sz="4" w:space="0"/>
                      <w:left w:val="single" w:color="auto" w:sz="4" w:space="0"/>
                      <w:bottom w:val="single" w:color="auto" w:sz="4" w:space="0"/>
                      <w:right w:val="single" w:color="auto" w:sz="4" w:space="0"/>
                    </w:tcBorders>
                  </w:tcPr>
                  <w:p>
                    <w:pPr>
                      <w:ind w:right="6"/>
                      <w:jc w:val="center"/>
                      <w:rPr>
                        <w:szCs w:val="21"/>
                      </w:rPr>
                    </w:pPr>
                    <w:r>
                      <w:rPr>
                        <w:rFonts w:hint="eastAsia"/>
                        <w:szCs w:val="21"/>
                      </w:rPr>
                      <w:t>合计</w:t>
                    </w:r>
                  </w:p>
                </w:tc>
              </w:sdtContent>
            </w:sdt>
            <w:tc>
              <w:tcPr>
                <w:tcW w:w="1701" w:type="dxa"/>
                <w:tcBorders>
                  <w:top w:val="single" w:color="auto" w:sz="4" w:space="0"/>
                  <w:left w:val="single" w:color="auto" w:sz="4" w:space="0"/>
                  <w:bottom w:val="single" w:color="auto" w:sz="4" w:space="0"/>
                  <w:right w:val="single" w:color="auto" w:sz="4" w:space="0"/>
                </w:tcBorders>
              </w:tcPr>
              <w:p>
                <w:pPr>
                  <w:jc w:val="right"/>
                  <w:rPr>
                    <w:szCs w:val="21"/>
                  </w:rPr>
                </w:pPr>
                <w:r>
                  <w:t>5,714,770.45</w:t>
                </w:r>
              </w:p>
            </w:tc>
            <w:tc>
              <w:tcPr>
                <w:tcW w:w="1842" w:type="dxa"/>
                <w:tcBorders>
                  <w:top w:val="single" w:color="auto" w:sz="4" w:space="0"/>
                  <w:left w:val="single" w:color="auto" w:sz="4" w:space="0"/>
                  <w:bottom w:val="single" w:color="auto" w:sz="4" w:space="0"/>
                  <w:right w:val="single" w:color="auto" w:sz="4" w:space="0"/>
                </w:tcBorders>
              </w:tcPr>
              <w:p>
                <w:pPr>
                  <w:jc w:val="right"/>
                  <w:rPr>
                    <w:szCs w:val="21"/>
                  </w:rPr>
                </w:pPr>
                <w:r>
                  <w:t>60,492,516.11</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szCs w:val="21"/>
                  </w:rPr>
                </w:pPr>
                <w:r>
                  <w:t>5,714,770.45</w:t>
                </w:r>
              </w:p>
            </w:tc>
          </w:tr>
        </w:tbl>
      </w:sdtContent>
    </w:sdt>
    <w:p/>
    <w:sdt>
      <w:sdtPr>
        <w:rPr>
          <w:rFonts w:hint="eastAsia" w:ascii="宋体" w:hAnsi="宋体" w:cs="宋体"/>
          <w:b w:val="0"/>
          <w:bCs w:val="0"/>
          <w:kern w:val="0"/>
          <w:szCs w:val="21"/>
        </w:rPr>
        <w:alias w:val="模块:所得税费用"/>
        <w:tag w:val="_SEC_dedc71a0d12742a59ac6ee5cfbfa509f"/>
        <w:id w:val="6775495"/>
        <w:lock w:val="sdtLocked"/>
        <w:placeholder>
          <w:docPart w:val="GBC22222222222222222222222222222"/>
        </w:placeholder>
      </w:sdtPr>
      <w:sdtEndPr>
        <w:rPr>
          <w:rFonts w:hint="default" w:asciiTheme="minorHAnsi" w:hAnsiTheme="minorHAnsi" w:cstheme="minorBidi"/>
          <w:b w:val="0"/>
          <w:bCs w:val="0"/>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所得税费用</w:t>
          </w:r>
        </w:p>
        <w:p>
          <w:pPr>
            <w:pStyle w:val="5"/>
            <w:numPr>
              <w:ilvl w:val="0"/>
              <w:numId w:val="92"/>
            </w:numPr>
          </w:pPr>
          <w:r>
            <w:rPr>
              <w:rFonts w:hint="eastAsia"/>
            </w:rPr>
            <w:t>所得税费用表</w:t>
          </w:r>
        </w:p>
        <w:sdt>
          <w:sdtPr>
            <w:alias w:val="是否适用：所得税费用表[双击切换]"/>
            <w:tag w:val="_GBC_3ea18046339d457a8712506679035498"/>
            <w:id w:val="677547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677547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67754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3157"/>
            <w:gridCol w:w="2877"/>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trHeight w:val="279" w:hRule="atLeast"/>
            </w:trPr>
            <w:sdt>
              <w:sdtPr>
                <w:tag w:val="_PLD_e0d72a7f55e04c898352587240ce636b"/>
                <w:id w:val="2016724327"/>
                <w:lock w:val="sdtLocked"/>
              </w:sdtPr>
              <w:sdtContent>
                <w:tc>
                  <w:tcPr>
                    <w:tcW w:w="3157" w:type="dxa"/>
                    <w:vAlign w:val="center"/>
                  </w:tcPr>
                  <w:p>
                    <w:pPr>
                      <w:ind w:right="6"/>
                      <w:jc w:val="center"/>
                      <w:rPr>
                        <w:szCs w:val="21"/>
                      </w:rPr>
                    </w:pPr>
                    <w:r>
                      <w:rPr>
                        <w:rFonts w:hint="eastAsia"/>
                        <w:szCs w:val="21"/>
                      </w:rPr>
                      <w:t>项目</w:t>
                    </w:r>
                  </w:p>
                </w:tc>
              </w:sdtContent>
            </w:sdt>
            <w:sdt>
              <w:sdtPr>
                <w:tag w:val="_PLD_e2b12491de324856a6b2f7034aa875da"/>
                <w:id w:val="1889370401"/>
                <w:lock w:val="sdtLocked"/>
              </w:sdtPr>
              <w:sdtContent>
                <w:tc>
                  <w:tcPr>
                    <w:tcW w:w="2877" w:type="dxa"/>
                    <w:vAlign w:val="center"/>
                  </w:tcPr>
                  <w:p>
                    <w:pPr>
                      <w:ind w:right="6"/>
                      <w:jc w:val="center"/>
                      <w:rPr>
                        <w:szCs w:val="21"/>
                      </w:rPr>
                    </w:pPr>
                    <w:r>
                      <w:rPr>
                        <w:rFonts w:hint="eastAsia"/>
                        <w:szCs w:val="21"/>
                      </w:rPr>
                      <w:t>本期发生额</w:t>
                    </w:r>
                  </w:p>
                </w:tc>
              </w:sdtContent>
            </w:sdt>
            <w:sdt>
              <w:sdtPr>
                <w:tag w:val="_PLD_4b2515977b8d462088eb538637703bf1"/>
                <w:id w:val="937406744"/>
                <w:lock w:val="sdtLocked"/>
              </w:sdtPr>
              <w:sdtContent>
                <w:tc>
                  <w:tcPr>
                    <w:tcW w:w="2861" w:type="dxa"/>
                    <w:vAlign w:val="center"/>
                  </w:tcPr>
                  <w:p>
                    <w:pPr>
                      <w:ind w:right="6"/>
                      <w:jc w:val="center"/>
                      <w:rPr>
                        <w:szCs w:val="21"/>
                      </w:rPr>
                    </w:pPr>
                    <w:r>
                      <w:rPr>
                        <w:rFonts w:hint="eastAsia"/>
                        <w:szCs w:val="21"/>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sdt>
              <w:sdtPr>
                <w:tag w:val="_PLD_eb618de0537148aeb9864c6338e1cc40"/>
                <w:id w:val="1009030460"/>
                <w:lock w:val="sdtLocked"/>
              </w:sdtPr>
              <w:sdtContent>
                <w:tc>
                  <w:tcPr>
                    <w:tcW w:w="3157" w:type="dxa"/>
                  </w:tcPr>
                  <w:p>
                    <w:pPr>
                      <w:ind w:right="6"/>
                      <w:rPr>
                        <w:b/>
                        <w:bCs/>
                        <w:szCs w:val="21"/>
                      </w:rPr>
                    </w:pPr>
                    <w:r>
                      <w:rPr>
                        <w:rFonts w:hint="eastAsia"/>
                        <w:szCs w:val="21"/>
                      </w:rPr>
                      <w:t>当期所得税费用</w:t>
                    </w:r>
                  </w:p>
                </w:tc>
              </w:sdtContent>
            </w:sdt>
            <w:tc>
              <w:tcPr>
                <w:tcW w:w="2877" w:type="dxa"/>
              </w:tcPr>
              <w:p>
                <w:pPr>
                  <w:jc w:val="right"/>
                  <w:rPr>
                    <w:szCs w:val="21"/>
                  </w:rPr>
                </w:pPr>
                <w:r>
                  <w:t>298,595,116.14</w:t>
                </w:r>
              </w:p>
            </w:tc>
            <w:tc>
              <w:tcPr>
                <w:tcW w:w="2861" w:type="dxa"/>
              </w:tcPr>
              <w:p>
                <w:pPr>
                  <w:ind w:right="6"/>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sdt>
              <w:sdtPr>
                <w:tag w:val="_PLD_41728eb82b7b4c598f50b1463edd74e5"/>
                <w:id w:val="-2054306026"/>
                <w:lock w:val="sdtLocked"/>
              </w:sdtPr>
              <w:sdtContent>
                <w:tc>
                  <w:tcPr>
                    <w:tcW w:w="3157" w:type="dxa"/>
                  </w:tcPr>
                  <w:p>
                    <w:pPr>
                      <w:ind w:right="6"/>
                      <w:rPr>
                        <w:szCs w:val="21"/>
                      </w:rPr>
                    </w:pPr>
                    <w:r>
                      <w:rPr>
                        <w:rFonts w:hint="eastAsia"/>
                        <w:szCs w:val="21"/>
                      </w:rPr>
                      <w:t>递延所得税费用</w:t>
                    </w:r>
                  </w:p>
                </w:tc>
              </w:sdtContent>
            </w:sdt>
            <w:tc>
              <w:tcPr>
                <w:tcW w:w="2877" w:type="dxa"/>
              </w:tcPr>
              <w:p>
                <w:pPr>
                  <w:jc w:val="right"/>
                  <w:rPr>
                    <w:szCs w:val="21"/>
                  </w:rPr>
                </w:pPr>
                <w:r>
                  <w:t>91,137,513.68</w:t>
                </w:r>
              </w:p>
            </w:tc>
            <w:tc>
              <w:tcPr>
                <w:tcW w:w="2861" w:type="dxa"/>
              </w:tcPr>
              <w:p>
                <w:pPr>
                  <w:ind w:right="6"/>
                  <w:jc w:val="right"/>
                  <w:rPr>
                    <w:szCs w:val="21"/>
                  </w:rPr>
                </w:pPr>
                <w:r>
                  <w:t>25,928,515.36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sdt>
              <w:sdtPr>
                <w:tag w:val="_PLD_b68ddca7a6004bd4964d19fff997989b"/>
                <w:id w:val="-165480973"/>
                <w:lock w:val="sdtLocked"/>
              </w:sdtPr>
              <w:sdtContent>
                <w:tc>
                  <w:tcPr>
                    <w:tcW w:w="3157" w:type="dxa"/>
                  </w:tcPr>
                  <w:p>
                    <w:pPr>
                      <w:ind w:right="6"/>
                      <w:jc w:val="center"/>
                      <w:rPr>
                        <w:szCs w:val="21"/>
                      </w:rPr>
                    </w:pPr>
                    <w:r>
                      <w:rPr>
                        <w:rFonts w:hint="eastAsia"/>
                        <w:szCs w:val="21"/>
                      </w:rPr>
                      <w:t>合计</w:t>
                    </w:r>
                  </w:p>
                </w:tc>
              </w:sdtContent>
            </w:sdt>
            <w:tc>
              <w:tcPr>
                <w:tcW w:w="2877" w:type="dxa"/>
              </w:tcPr>
              <w:p>
                <w:pPr>
                  <w:ind w:right="6"/>
                  <w:jc w:val="right"/>
                  <w:rPr>
                    <w:szCs w:val="21"/>
                  </w:rPr>
                </w:pPr>
                <w:r>
                  <w:rPr>
                    <w:rFonts w:hint="eastAsia" w:cs="Arial"/>
                    <w:szCs w:val="21"/>
                  </w:rPr>
                  <w:t>389,732,629.82</w:t>
                </w:r>
              </w:p>
            </w:tc>
            <w:tc>
              <w:tcPr>
                <w:tcW w:w="2861" w:type="dxa"/>
              </w:tcPr>
              <w:p>
                <w:pPr>
                  <w:ind w:right="6"/>
                  <w:jc w:val="right"/>
                  <w:rPr>
                    <w:szCs w:val="21"/>
                  </w:rPr>
                </w:pPr>
                <w:r>
                  <w:t>25,928,515.36</w:t>
                </w:r>
              </w:p>
            </w:tc>
          </w:tr>
        </w:tbl>
        <w:p/>
        <w:p>
          <w:pPr>
            <w:pStyle w:val="5"/>
            <w:numPr>
              <w:ilvl w:val="0"/>
              <w:numId w:val="92"/>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add00d323e2049ad8bc932f632966661"/>
            <w:id w:val="677547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会计利润与所得税费用调整过程"/>
              <w:tag w:val="_GBC_10825cb9bb5e445c9210ee34dc80406a"/>
              <w:id w:val="677548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67754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889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
          <w:tblGrid>
            <w:gridCol w:w="6410"/>
            <w:gridCol w:w="2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1123621c9879400694da9a8842888e14"/>
                <w:id w:val="6775482"/>
                <w:lock w:val="sdtLocked"/>
              </w:sdtPr>
              <w:sdtContent>
                <w:tc>
                  <w:tcPr>
                    <w:tcW w:w="6410"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项目</w:t>
                    </w:r>
                  </w:p>
                </w:tc>
              </w:sdtContent>
            </w:sdt>
            <w:sdt>
              <w:sdtPr>
                <w:tag w:val="_PLD_4a270148a32846b69754961e55c75a04"/>
                <w:id w:val="6775483"/>
                <w:lock w:val="sdtLocked"/>
              </w:sdtPr>
              <w:sdtContent>
                <w:tc>
                  <w:tcPr>
                    <w:tcW w:w="2481"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本期发生额</w:t>
                    </w:r>
                  </w:p>
                </w:tc>
              </w:sdtContent>
            </w:sdt>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fe27eedc229b486899ed547c51d37917"/>
                <w:id w:val="6775484"/>
                <w:lock w:val="sdtLocked"/>
              </w:sdtPr>
              <w:sdtContent>
                <w:tc>
                  <w:tcPr>
                    <w:tcW w:w="6410" w:type="dxa"/>
                    <w:tcBorders>
                      <w:top w:val="single" w:color="auto" w:sz="4" w:space="0"/>
                      <w:left w:val="single" w:color="auto" w:sz="4" w:space="0"/>
                      <w:bottom w:val="single" w:color="auto" w:sz="4" w:space="0"/>
                      <w:right w:val="single" w:color="auto" w:sz="4" w:space="0"/>
                    </w:tcBorders>
                    <w:shd w:val="clear" w:color="auto" w:fill="auto"/>
                  </w:tcPr>
                  <w:p>
                    <w:pPr>
                      <w:ind w:right="6"/>
                      <w:rPr>
                        <w:b/>
                        <w:bCs/>
                        <w:szCs w:val="21"/>
                      </w:rPr>
                    </w:pPr>
                    <w:r>
                      <w:rPr>
                        <w:rFonts w:hint="eastAsia"/>
                        <w:szCs w:val="21"/>
                      </w:rPr>
                      <w:t>利润总额</w:t>
                    </w:r>
                  </w:p>
                </w:tc>
              </w:sdtContent>
            </w:sdt>
            <w:tc>
              <w:tcPr>
                <w:tcW w:w="2481" w:type="dxa"/>
                <w:tcBorders>
                  <w:top w:val="single" w:color="auto" w:sz="4" w:space="0"/>
                  <w:left w:val="single" w:color="auto" w:sz="4" w:space="0"/>
                  <w:bottom w:val="single" w:color="auto" w:sz="6" w:space="0"/>
                  <w:right w:val="single" w:color="auto" w:sz="6" w:space="0"/>
                </w:tcBorders>
                <w:shd w:val="clear" w:color="auto" w:fill="auto"/>
              </w:tcPr>
              <w:p>
                <w:pPr>
                  <w:jc w:val="right"/>
                </w:pPr>
                <w:r>
                  <w:t>3,035,908,923.49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f7ffc0c7ca9b497d8dc0dce5bf0eda9a"/>
                <w:id w:val="6775485"/>
                <w:lock w:val="sdtLocked"/>
              </w:sdtPr>
              <w:sdtContent>
                <w:tc>
                  <w:tcPr>
                    <w:tcW w:w="6410" w:type="dxa"/>
                    <w:tcBorders>
                      <w:top w:val="single" w:color="auto" w:sz="4" w:space="0"/>
                      <w:left w:val="single" w:color="auto" w:sz="4" w:space="0"/>
                      <w:bottom w:val="single" w:color="auto" w:sz="4" w:space="0"/>
                      <w:right w:val="single" w:color="auto" w:sz="4" w:space="0"/>
                    </w:tcBorders>
                    <w:shd w:val="clear" w:color="auto" w:fill="auto"/>
                  </w:tcPr>
                  <w:p>
                    <w:pPr>
                      <w:ind w:right="6"/>
                    </w:pPr>
                    <w:r>
                      <w:rPr>
                        <w:rFonts w:hint="eastAsia"/>
                      </w:rPr>
                      <w:t>按法定</w:t>
                    </w:r>
                    <w:r>
                      <w:t>/</w:t>
                    </w:r>
                    <w:r>
                      <w:rPr>
                        <w:rFonts w:hint="eastAsia"/>
                      </w:rPr>
                      <w:t>适用税率计算的所得税费用</w:t>
                    </w:r>
                  </w:p>
                </w:tc>
              </w:sdtContent>
            </w:sdt>
            <w:tc>
              <w:tcPr>
                <w:tcW w:w="2481" w:type="dxa"/>
                <w:tcBorders>
                  <w:top w:val="single" w:color="auto" w:sz="6" w:space="0"/>
                  <w:left w:val="single" w:color="auto" w:sz="4" w:space="0"/>
                  <w:bottom w:val="single" w:color="auto" w:sz="6" w:space="0"/>
                  <w:right w:val="single" w:color="auto" w:sz="6" w:space="0"/>
                </w:tcBorders>
                <w:shd w:val="clear" w:color="auto" w:fill="auto"/>
              </w:tcPr>
              <w:p>
                <w:pPr>
                  <w:jc w:val="right"/>
                </w:pPr>
                <w:r>
                  <w:t>455,386,338.52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trPr>
              <w:trHeight w:val="139" w:hRule="atLeast"/>
            </w:trPr>
            <w:sdt>
              <w:sdtPr>
                <w:tag w:val="_PLD_9df18bdcd694449695ac6d0f65c229b7"/>
                <w:id w:val="6775486"/>
                <w:lock w:val="sdtLocked"/>
              </w:sdtPr>
              <w:sdtContent>
                <w:tc>
                  <w:tcPr>
                    <w:tcW w:w="6410" w:type="dxa"/>
                    <w:tcBorders>
                      <w:top w:val="single" w:color="auto" w:sz="4" w:space="0"/>
                      <w:left w:val="single" w:color="auto" w:sz="4" w:space="0"/>
                      <w:bottom w:val="single" w:color="auto" w:sz="4" w:space="0"/>
                      <w:right w:val="single" w:color="auto" w:sz="4" w:space="0"/>
                    </w:tcBorders>
                    <w:shd w:val="clear" w:color="auto" w:fill="auto"/>
                  </w:tcPr>
                  <w:p>
                    <w:pPr>
                      <w:ind w:right="6"/>
                    </w:pPr>
                    <w:r>
                      <w:rPr>
                        <w:rFonts w:hint="eastAsia"/>
                      </w:rPr>
                      <w:t>子公司适用不同税率的影响</w:t>
                    </w:r>
                  </w:p>
                </w:tc>
              </w:sdtContent>
            </w:sdt>
            <w:tc>
              <w:tcPr>
                <w:tcW w:w="2481" w:type="dxa"/>
                <w:tcBorders>
                  <w:top w:val="single" w:color="auto" w:sz="6" w:space="0"/>
                  <w:left w:val="single" w:color="auto" w:sz="4" w:space="0"/>
                  <w:bottom w:val="single" w:color="auto" w:sz="6" w:space="0"/>
                  <w:right w:val="single" w:color="auto" w:sz="6" w:space="0"/>
                </w:tcBorders>
                <w:shd w:val="clear" w:color="auto" w:fill="auto"/>
              </w:tcPr>
              <w:p>
                <w:pPr>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3265a7f97078414e8992682ae705b8ae"/>
                <w:id w:val="6775487"/>
                <w:lock w:val="sdtLocked"/>
              </w:sdtPr>
              <w:sdtContent>
                <w:tc>
                  <w:tcPr>
                    <w:tcW w:w="6410" w:type="dxa"/>
                    <w:tcBorders>
                      <w:top w:val="single" w:color="auto" w:sz="4" w:space="0"/>
                      <w:left w:val="single" w:color="auto" w:sz="4" w:space="0"/>
                      <w:bottom w:val="single" w:color="auto" w:sz="4" w:space="0"/>
                      <w:right w:val="single" w:color="auto" w:sz="4" w:space="0"/>
                    </w:tcBorders>
                    <w:shd w:val="clear" w:color="auto" w:fill="auto"/>
                  </w:tcPr>
                  <w:p>
                    <w:pPr>
                      <w:ind w:right="6"/>
                    </w:pPr>
                    <w:r>
                      <w:rPr>
                        <w:rFonts w:hint="eastAsia"/>
                      </w:rPr>
                      <w:t>调整以前期间所得税的影响</w:t>
                    </w:r>
                  </w:p>
                </w:tc>
              </w:sdtContent>
            </w:sdt>
            <w:tc>
              <w:tcPr>
                <w:tcW w:w="2481" w:type="dxa"/>
                <w:tcBorders>
                  <w:top w:val="single" w:color="auto" w:sz="6" w:space="0"/>
                  <w:left w:val="single" w:color="auto" w:sz="4" w:space="0"/>
                  <w:bottom w:val="single" w:color="auto" w:sz="6" w:space="0"/>
                  <w:right w:val="single" w:color="auto" w:sz="6" w:space="0"/>
                </w:tcBorders>
                <w:shd w:val="clear" w:color="auto" w:fill="auto"/>
              </w:tcPr>
              <w:p>
                <w:pPr>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d221a1750972424fa59e109036c4105d"/>
                <w:id w:val="6775488"/>
                <w:lock w:val="sdtLocked"/>
              </w:sdtPr>
              <w:sdtContent>
                <w:tc>
                  <w:tcPr>
                    <w:tcW w:w="6410" w:type="dxa"/>
                    <w:tcBorders>
                      <w:top w:val="single" w:color="auto" w:sz="4" w:space="0"/>
                      <w:left w:val="single" w:color="auto" w:sz="4" w:space="0"/>
                      <w:bottom w:val="single" w:color="auto" w:sz="4" w:space="0"/>
                      <w:right w:val="single" w:color="auto" w:sz="4" w:space="0"/>
                    </w:tcBorders>
                    <w:shd w:val="clear" w:color="auto" w:fill="auto"/>
                  </w:tcPr>
                  <w:p>
                    <w:pPr>
                      <w:ind w:right="6"/>
                    </w:pPr>
                    <w:r>
                      <w:rPr>
                        <w:rFonts w:hint="eastAsia"/>
                      </w:rPr>
                      <w:t>非应税收入的影响</w:t>
                    </w:r>
                  </w:p>
                </w:tc>
              </w:sdtContent>
            </w:sdt>
            <w:tc>
              <w:tcPr>
                <w:tcW w:w="2481" w:type="dxa"/>
                <w:tcBorders>
                  <w:top w:val="single" w:color="auto" w:sz="6" w:space="0"/>
                  <w:left w:val="single" w:color="auto" w:sz="4" w:space="0"/>
                  <w:bottom w:val="single" w:color="auto" w:sz="6" w:space="0"/>
                  <w:right w:val="single" w:color="auto" w:sz="6" w:space="0"/>
                </w:tcBorders>
                <w:shd w:val="clear" w:color="auto" w:fill="auto"/>
              </w:tcPr>
              <w:p>
                <w:pPr>
                  <w:jc w:val="right"/>
                </w:pPr>
                <w:r>
                  <w:t>-5,206,032.93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b267521bfe9246aa95e35e3cebc4a1f8"/>
                <w:id w:val="6775489"/>
                <w:lock w:val="sdtLocked"/>
              </w:sdtPr>
              <w:sdtContent>
                <w:tc>
                  <w:tcPr>
                    <w:tcW w:w="6410" w:type="dxa"/>
                    <w:tcBorders>
                      <w:top w:val="single" w:color="auto" w:sz="4" w:space="0"/>
                      <w:left w:val="single" w:color="auto" w:sz="4" w:space="0"/>
                      <w:bottom w:val="single" w:color="auto" w:sz="4" w:space="0"/>
                      <w:right w:val="single" w:color="auto" w:sz="4" w:space="0"/>
                    </w:tcBorders>
                    <w:shd w:val="clear" w:color="auto" w:fill="auto"/>
                  </w:tcPr>
                  <w:p>
                    <w:pPr>
                      <w:ind w:right="6"/>
                    </w:pPr>
                    <w:r>
                      <w:rPr>
                        <w:rFonts w:hint="eastAsia"/>
                      </w:rPr>
                      <w:t>不可抵扣的成本、费用和损失的影响</w:t>
                    </w:r>
                  </w:p>
                </w:tc>
              </w:sdtContent>
            </w:sdt>
            <w:tc>
              <w:tcPr>
                <w:tcW w:w="2481" w:type="dxa"/>
                <w:tcBorders>
                  <w:top w:val="single" w:color="auto" w:sz="6" w:space="0"/>
                  <w:left w:val="single" w:color="auto" w:sz="4" w:space="0"/>
                  <w:bottom w:val="single" w:color="auto" w:sz="6" w:space="0"/>
                  <w:right w:val="single" w:color="auto" w:sz="6" w:space="0"/>
                </w:tcBorders>
                <w:shd w:val="clear" w:color="auto" w:fill="auto"/>
              </w:tcPr>
              <w:p>
                <w:pPr>
                  <w:jc w:val="right"/>
                </w:pPr>
                <w:r>
                  <w:t>13,431,475.25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e3ea20a1997a4604af76b7db091e8702"/>
                <w:id w:val="6775490"/>
                <w:lock w:val="sdtLocked"/>
              </w:sdtPr>
              <w:sdtContent>
                <w:tc>
                  <w:tcPr>
                    <w:tcW w:w="6410" w:type="dxa"/>
                    <w:tcBorders>
                      <w:top w:val="single" w:color="auto" w:sz="4" w:space="0"/>
                      <w:left w:val="single" w:color="auto" w:sz="4" w:space="0"/>
                      <w:bottom w:val="single" w:color="auto" w:sz="4" w:space="0"/>
                      <w:right w:val="single" w:color="auto" w:sz="4" w:space="0"/>
                    </w:tcBorders>
                    <w:shd w:val="clear" w:color="auto" w:fill="auto"/>
                  </w:tcPr>
                  <w:p>
                    <w:pPr>
                      <w:ind w:right="6"/>
                    </w:pPr>
                    <w:r>
                      <w:rPr>
                        <w:rFonts w:hint="eastAsia"/>
                      </w:rPr>
                      <w:t>使用前期未确认递延所得税资产的可抵扣亏损的影响</w:t>
                    </w:r>
                  </w:p>
                </w:tc>
              </w:sdtContent>
            </w:sdt>
            <w:tc>
              <w:tcPr>
                <w:tcW w:w="2481" w:type="dxa"/>
                <w:tcBorders>
                  <w:top w:val="single" w:color="auto" w:sz="6" w:space="0"/>
                  <w:left w:val="single" w:color="auto" w:sz="4" w:space="0"/>
                  <w:bottom w:val="single" w:color="auto" w:sz="6" w:space="0"/>
                  <w:right w:val="single" w:color="auto" w:sz="6" w:space="0"/>
                </w:tcBorders>
                <w:shd w:val="clear" w:color="auto" w:fill="auto"/>
              </w:tcPr>
              <w:p>
                <w:pPr>
                  <w:jc w:val="right"/>
                </w:pPr>
                <w:r>
                  <w:t>-70,167,751.43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8401811b11b54235be79955ebe812995"/>
                <w:id w:val="6775491"/>
                <w:lock w:val="sdtLocked"/>
              </w:sdtPr>
              <w:sdtContent>
                <w:tc>
                  <w:tcPr>
                    <w:tcW w:w="6410" w:type="dxa"/>
                    <w:tcBorders>
                      <w:top w:val="single" w:color="auto" w:sz="4" w:space="0"/>
                      <w:left w:val="single" w:color="auto" w:sz="4" w:space="0"/>
                      <w:bottom w:val="single" w:color="auto" w:sz="4" w:space="0"/>
                      <w:right w:val="single" w:color="auto" w:sz="4" w:space="0"/>
                    </w:tcBorders>
                    <w:shd w:val="clear" w:color="auto" w:fill="auto"/>
                  </w:tcPr>
                  <w:p>
                    <w:pPr>
                      <w:ind w:right="6"/>
                    </w:pPr>
                    <w:r>
                      <w:rPr>
                        <w:rFonts w:hint="eastAsia"/>
                      </w:rPr>
                      <w:t>本期未确认递延所得税资产的可抵扣暂时性差异或可抵扣亏损的影响</w:t>
                    </w:r>
                  </w:p>
                </w:tc>
              </w:sdtContent>
            </w:sdt>
            <w:tc>
              <w:tcPr>
                <w:tcW w:w="2481" w:type="dxa"/>
                <w:tcBorders>
                  <w:top w:val="single" w:color="auto" w:sz="6" w:space="0"/>
                  <w:left w:val="single" w:color="auto" w:sz="4" w:space="0"/>
                  <w:bottom w:val="single" w:color="auto" w:sz="6" w:space="0"/>
                  <w:right w:val="single" w:color="auto" w:sz="6" w:space="0"/>
                </w:tcBorders>
                <w:shd w:val="clear" w:color="auto" w:fill="auto"/>
              </w:tcPr>
              <w:p>
                <w:pPr>
                  <w:jc w:val="right"/>
                </w:pPr>
              </w:p>
            </w:tc>
          </w:tr>
          <w:sdt>
            <w:sdtPr>
              <w:alias w:val="会计利润与所得税费用调整过程明细"/>
              <w:tag w:val="_TUP_e9f3609279ef4d50b65ce0510eb9fee4"/>
              <w:id w:val="6775492"/>
              <w:lock w:val="sdtLocked"/>
            </w:sdtPr>
            <w:sdtContent>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tc>
                  <w:tcPr>
                    <w:tcW w:w="6410" w:type="dxa"/>
                    <w:tcBorders>
                      <w:top w:val="single" w:color="auto" w:sz="4" w:space="0"/>
                      <w:left w:val="single" w:color="auto" w:sz="6" w:space="0"/>
                      <w:bottom w:val="single" w:color="auto" w:sz="6" w:space="0"/>
                      <w:right w:val="single" w:color="auto" w:sz="6" w:space="0"/>
                    </w:tcBorders>
                    <w:shd w:val="clear" w:color="auto" w:fill="auto"/>
                    <w:vAlign w:val="center"/>
                  </w:tcPr>
                  <w:p>
                    <w:r>
                      <w:rPr>
                        <w:rFonts w:hint="eastAsia"/>
                      </w:rPr>
                      <w:t>研发费加计扣除</w:t>
                    </w:r>
                  </w:p>
                </w:tc>
                <w:tc>
                  <w:tcPr>
                    <w:tcW w:w="2481" w:type="dxa"/>
                    <w:tcBorders>
                      <w:top w:val="single" w:color="auto" w:sz="6" w:space="0"/>
                      <w:left w:val="single" w:color="auto" w:sz="6" w:space="0"/>
                      <w:bottom w:val="single" w:color="auto" w:sz="6" w:space="0"/>
                      <w:right w:val="single" w:color="auto" w:sz="6" w:space="0"/>
                    </w:tcBorders>
                    <w:shd w:val="clear" w:color="auto" w:fill="auto"/>
                  </w:tcPr>
                  <w:p>
                    <w:pPr>
                      <w:jc w:val="right"/>
                    </w:pPr>
                    <w:r>
                      <w:t>-3,711,399.59</w:t>
                    </w:r>
                  </w:p>
                </w:tc>
              </w:tr>
            </w:sdtContent>
          </w:sdt>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1" w:type="dxa"/>
                <w:bottom w:w="0" w:type="dxa"/>
                <w:right w:w="31" w:type="dxa"/>
              </w:tblCellMar>
            </w:tblPrEx>
            <w:sdt>
              <w:sdtPr>
                <w:tag w:val="_PLD_0d947a5f645f44d7ade144f76e03c99e"/>
                <w:id w:val="6775493"/>
                <w:lock w:val="sdtLocked"/>
              </w:sdtPr>
              <w:sdtContent>
                <w:tc>
                  <w:tcPr>
                    <w:tcW w:w="6410"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所得税费用</w:t>
                    </w:r>
                  </w:p>
                </w:tc>
              </w:sdtContent>
            </w:sdt>
            <w:tc>
              <w:tcPr>
                <w:tcW w:w="2481" w:type="dxa"/>
                <w:tcBorders>
                  <w:top w:val="single" w:color="auto" w:sz="6" w:space="0"/>
                  <w:left w:val="single" w:color="auto" w:sz="4" w:space="0"/>
                  <w:bottom w:val="single" w:color="auto" w:sz="6" w:space="0"/>
                  <w:right w:val="single" w:color="auto" w:sz="6" w:space="0"/>
                </w:tcBorders>
                <w:shd w:val="clear" w:color="auto" w:fill="auto"/>
              </w:tcPr>
              <w:p>
                <w:pPr>
                  <w:jc w:val="right"/>
                </w:pPr>
                <w:r>
                  <w:rPr>
                    <w:rFonts w:hint="eastAsia" w:cs="Arial"/>
                    <w:szCs w:val="21"/>
                  </w:rPr>
                  <w:t>389,732,629.82</w:t>
                </w:r>
              </w:p>
            </w:tc>
          </w:tr>
        </w:tbl>
        <w:p>
          <w:pPr>
            <w:rPr>
              <w:szCs w:val="21"/>
            </w:rPr>
          </w:pPr>
        </w:p>
        <w:p>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6775494"/>
            <w:lock w:val="sdtContentLocked"/>
            <w:placeholder>
              <w:docPart w:val="GBC22222222222222222222222222222"/>
            </w:placeholder>
          </w:sdtPr>
          <w:sdtEndPr>
            <w:rPr>
              <w:szCs w:val="21"/>
            </w:rPr>
          </w:sdtEndPr>
          <w:sdtContent>
            <w:p>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b/>
        </w:rPr>
      </w:pPr>
    </w:p>
    <w:sdt>
      <w:sdtPr>
        <w:rPr>
          <w:rFonts w:hint="eastAsia" w:ascii="宋体" w:hAnsi="宋体" w:cs="宋体"/>
          <w:b w:val="0"/>
          <w:bCs w:val="0"/>
          <w:kern w:val="0"/>
          <w:szCs w:val="21"/>
        </w:rPr>
        <w:alias w:val="模块:其他综合收益"/>
        <w:tag w:val="_SEC_abcda0c67180436c970991051af2777d"/>
        <w:id w:val="6775497"/>
        <w:lock w:val="sdtLocked"/>
        <w:placeholder>
          <w:docPart w:val="GBC22222222222222222222222222222"/>
        </w:placeholder>
      </w:sdtPr>
      <w:sdtEndPr>
        <w:rPr>
          <w:rFonts w:hint="eastAsia" w:cs="宋体" w:asciiTheme="minorHAnsi" w:hAnsiTheme="minorHAnsi" w:eastAsiaTheme="minorEastAsia"/>
          <w:b w:val="0"/>
          <w:bCs w:val="0"/>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其他综合收益</w:t>
          </w:r>
        </w:p>
        <w:sdt>
          <w:sdtPr>
            <w:alias w:val="是否适用：其他综合收益说明[双击切换]"/>
            <w:tag w:val="_GBC_055e86e99cd742699e3e89a438a26b74"/>
            <w:id w:val="677549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
      <w:pPr>
        <w:pStyle w:val="4"/>
        <w:numPr>
          <w:ilvl w:val="0"/>
          <w:numId w:val="66"/>
        </w:numPr>
        <w:tabs>
          <w:tab w:val="left" w:pos="504"/>
        </w:tabs>
        <w:rPr>
          <w:rFonts w:ascii="宋体" w:hAnsi="宋体"/>
          <w:szCs w:val="21"/>
        </w:rPr>
      </w:pPr>
      <w:r>
        <w:rPr>
          <w:rFonts w:hint="eastAsia" w:ascii="宋体" w:hAnsi="宋体"/>
          <w:szCs w:val="21"/>
        </w:rPr>
        <w:t>现金流量表项目</w:t>
      </w:r>
    </w:p>
    <w:sdt>
      <w:sdtPr>
        <w:rPr>
          <w:rFonts w:hint="eastAsia" w:ascii="Calibri" w:hAnsi="Calibri" w:cs="宋体" w:eastAsiaTheme="minorEastAsia"/>
          <w:b w:val="0"/>
          <w:bCs w:val="0"/>
          <w:kern w:val="0"/>
          <w:sz w:val="24"/>
          <w:szCs w:val="21"/>
        </w:rPr>
        <w:alias w:val="模块:收到的其他与经营活动有关的现金"/>
        <w:tag w:val="_SEC_db9c62b020ec4e9ea32fddcc998663ec"/>
        <w:id w:val="6775510"/>
        <w:lock w:val="sdtLocked"/>
        <w:placeholder>
          <w:docPart w:val="GBC22222222222222222222222222222"/>
        </w:placeholder>
      </w:sdtPr>
      <w:sdtEndPr>
        <w:rPr>
          <w:rFonts w:hint="default" w:asciiTheme="minorHAnsi" w:hAnsiTheme="minorHAnsi" w:eastAsiaTheme="minorEastAsia" w:cstheme="minorBidi"/>
          <w:b w:val="0"/>
          <w:bCs w:val="0"/>
          <w:kern w:val="2"/>
          <w:sz w:val="21"/>
          <w:szCs w:val="21"/>
        </w:rPr>
      </w:sdtEndPr>
      <w:sdtContent>
        <w:p>
          <w:pPr>
            <w:pStyle w:val="5"/>
            <w:numPr>
              <w:ilvl w:val="0"/>
              <w:numId w:val="93"/>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27345010807c4445aa9d99ce1518a33b"/>
            <w:id w:val="677549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677549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6775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347"/>
            <w:gridCol w:w="2778"/>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f7a5d7090c5c4e2b95d9e6f0ea383580"/>
                <w:id w:val="6775501"/>
                <w:lock w:val="sdtLocked"/>
              </w:sdtPr>
              <w:sdtContent>
                <w:tc>
                  <w:tcPr>
                    <w:tcW w:w="3347" w:type="dxa"/>
                  </w:tcPr>
                  <w:p>
                    <w:pPr>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6775502"/>
                <w:lock w:val="sdtLocked"/>
              </w:sdtPr>
              <w:sdtContent>
                <w:tc>
                  <w:tcPr>
                    <w:tcW w:w="2778" w:type="dxa"/>
                  </w:tcPr>
                  <w:p>
                    <w:pPr>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6775503"/>
                <w:lock w:val="sdtLocked"/>
              </w:sdtPr>
              <w:sdtContent>
                <w:tc>
                  <w:tcPr>
                    <w:tcW w:w="2768" w:type="dxa"/>
                  </w:tcPr>
                  <w:p>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TUP_ca9171e54df6430e9436143874401ecc"/>
              <w:id w:val="6775504"/>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spacing w:line="240" w:lineRule="atLeast"/>
                      <w:rPr>
                        <w:szCs w:val="21"/>
                      </w:rPr>
                    </w:pPr>
                    <w:r>
                      <w:t>利息收入</w:t>
                    </w:r>
                  </w:p>
                </w:tc>
                <w:tc>
                  <w:tcPr>
                    <w:tcW w:w="2778" w:type="dxa"/>
                    <w:vAlign w:val="bottom"/>
                  </w:tcPr>
                  <w:p>
                    <w:pPr>
                      <w:jc w:val="right"/>
                      <w:rPr>
                        <w:szCs w:val="21"/>
                      </w:rPr>
                    </w:pPr>
                    <w:r>
                      <w:t>69,056,465.15</w:t>
                    </w:r>
                  </w:p>
                </w:tc>
                <w:tc>
                  <w:tcPr>
                    <w:tcW w:w="2768" w:type="dxa"/>
                  </w:tcPr>
                  <w:p>
                    <w:pPr>
                      <w:jc w:val="right"/>
                      <w:rPr>
                        <w:szCs w:val="21"/>
                      </w:rPr>
                    </w:pPr>
                    <w:r>
                      <w:t>39,850,092.69</w:t>
                    </w:r>
                  </w:p>
                </w:tc>
              </w:tr>
            </w:sdtContent>
          </w:sdt>
          <w:sdt>
            <w:sdtPr>
              <w:rPr>
                <w:rFonts w:hint="eastAsia"/>
                <w:szCs w:val="21"/>
              </w:rPr>
              <w:alias w:val="收到的其他与经营活动有关的现金明细"/>
              <w:tag w:val="_TUP_ca9171e54df6430e9436143874401ecc"/>
              <w:id w:val="6775505"/>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spacing w:line="240" w:lineRule="atLeast"/>
                      <w:rPr>
                        <w:szCs w:val="21"/>
                      </w:rPr>
                    </w:pPr>
                    <w:r>
                      <w:t>违约收入</w:t>
                    </w:r>
                  </w:p>
                </w:tc>
                <w:tc>
                  <w:tcPr>
                    <w:tcW w:w="2778" w:type="dxa"/>
                    <w:vAlign w:val="bottom"/>
                  </w:tcPr>
                  <w:p>
                    <w:pPr>
                      <w:jc w:val="right"/>
                      <w:rPr>
                        <w:szCs w:val="21"/>
                      </w:rPr>
                    </w:pPr>
                    <w:r>
                      <w:t>1,910,101.80</w:t>
                    </w:r>
                  </w:p>
                </w:tc>
                <w:tc>
                  <w:tcPr>
                    <w:tcW w:w="2768" w:type="dxa"/>
                  </w:tcPr>
                  <w:p>
                    <w:pPr>
                      <w:jc w:val="right"/>
                      <w:rPr>
                        <w:szCs w:val="21"/>
                      </w:rPr>
                    </w:pPr>
                    <w:r>
                      <w:t>481,902.00</w:t>
                    </w:r>
                  </w:p>
                </w:tc>
              </w:tr>
            </w:sdtContent>
          </w:sdt>
          <w:sdt>
            <w:sdtPr>
              <w:rPr>
                <w:rFonts w:hint="eastAsia"/>
                <w:szCs w:val="21"/>
              </w:rPr>
              <w:alias w:val="收到的其他与经营活动有关的现金明细"/>
              <w:tag w:val="_TUP_ca9171e54df6430e9436143874401ecc"/>
              <w:id w:val="6775506"/>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spacing w:line="240" w:lineRule="atLeast"/>
                      <w:rPr>
                        <w:szCs w:val="21"/>
                      </w:rPr>
                    </w:pPr>
                    <w:r>
                      <w:t>票据保证金</w:t>
                    </w:r>
                  </w:p>
                </w:tc>
                <w:tc>
                  <w:tcPr>
                    <w:tcW w:w="2778" w:type="dxa"/>
                    <w:vAlign w:val="bottom"/>
                  </w:tcPr>
                  <w:p>
                    <w:pPr>
                      <w:jc w:val="right"/>
                      <w:rPr>
                        <w:szCs w:val="21"/>
                      </w:rPr>
                    </w:pPr>
                    <w:r>
                      <w:t>398,165,686.06</w:t>
                    </w:r>
                  </w:p>
                </w:tc>
                <w:tc>
                  <w:tcPr>
                    <w:tcW w:w="2768" w:type="dxa"/>
                  </w:tcPr>
                  <w:p>
                    <w:pPr>
                      <w:jc w:val="right"/>
                      <w:rPr>
                        <w:szCs w:val="21"/>
                      </w:rPr>
                    </w:pPr>
                    <w:r>
                      <w:t>57,381,427.49</w:t>
                    </w:r>
                  </w:p>
                </w:tc>
              </w:tr>
            </w:sdtContent>
          </w:sdt>
          <w:sdt>
            <w:sdtPr>
              <w:rPr>
                <w:rFonts w:hint="eastAsia"/>
                <w:szCs w:val="21"/>
              </w:rPr>
              <w:alias w:val="收到的其他与经营活动有关的现金明细"/>
              <w:tag w:val="_TUP_ca9171e54df6430e9436143874401ecc"/>
              <w:id w:val="6775507"/>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spacing w:line="240" w:lineRule="atLeast"/>
                      <w:rPr>
                        <w:szCs w:val="21"/>
                      </w:rPr>
                    </w:pPr>
                    <w:r>
                      <w:t>其他往来款项</w:t>
                    </w:r>
                  </w:p>
                </w:tc>
                <w:tc>
                  <w:tcPr>
                    <w:tcW w:w="2778" w:type="dxa"/>
                    <w:vAlign w:val="bottom"/>
                  </w:tcPr>
                  <w:p>
                    <w:pPr>
                      <w:jc w:val="right"/>
                      <w:rPr>
                        <w:szCs w:val="21"/>
                      </w:rPr>
                    </w:pPr>
                    <w:r>
                      <w:t>60,179,544.81</w:t>
                    </w:r>
                  </w:p>
                </w:tc>
                <w:tc>
                  <w:tcPr>
                    <w:tcW w:w="2768" w:type="dxa"/>
                  </w:tcPr>
                  <w:p>
                    <w:pPr>
                      <w:jc w:val="right"/>
                      <w:rPr>
                        <w:szCs w:val="21"/>
                      </w:rPr>
                    </w:pPr>
                    <w:r>
                      <w:t>11,291,568.19</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15c008cf970d4546b79acd33ba59b803"/>
                <w:id w:val="6775508"/>
                <w:lock w:val="sdtLocked"/>
              </w:sdtPr>
              <w:sdtContent>
                <w:tc>
                  <w:tcPr>
                    <w:tcW w:w="3347" w:type="dxa"/>
                  </w:tcPr>
                  <w:p>
                    <w:pPr>
                      <w:autoSpaceDE w:val="0"/>
                      <w:autoSpaceDN w:val="0"/>
                      <w:adjustRightInd w:val="0"/>
                      <w:snapToGrid w:val="0"/>
                      <w:spacing w:line="240" w:lineRule="atLeast"/>
                      <w:jc w:val="center"/>
                      <w:rPr>
                        <w:szCs w:val="21"/>
                      </w:rPr>
                    </w:pPr>
                    <w:r>
                      <w:rPr>
                        <w:rFonts w:hint="eastAsia"/>
                        <w:szCs w:val="21"/>
                      </w:rPr>
                      <w:t>合计</w:t>
                    </w:r>
                  </w:p>
                </w:tc>
              </w:sdtContent>
            </w:sdt>
            <w:tc>
              <w:tcPr>
                <w:tcW w:w="2778" w:type="dxa"/>
                <w:vAlign w:val="bottom"/>
              </w:tcPr>
              <w:p>
                <w:pPr>
                  <w:jc w:val="right"/>
                  <w:rPr>
                    <w:szCs w:val="21"/>
                  </w:rPr>
                </w:pPr>
                <w:r>
                  <w:t>529,311,797.82</w:t>
                </w:r>
              </w:p>
            </w:tc>
            <w:tc>
              <w:tcPr>
                <w:tcW w:w="2768" w:type="dxa"/>
              </w:tcPr>
              <w:p>
                <w:pPr>
                  <w:jc w:val="right"/>
                  <w:rPr>
                    <w:szCs w:val="21"/>
                  </w:rPr>
                </w:pPr>
                <w:r>
                  <w:t>109,004,990.37</w:t>
                </w:r>
              </w:p>
            </w:tc>
          </w:tr>
        </w:tbl>
        <w:p/>
        <w:p>
          <w:pPr>
            <w:rPr>
              <w:szCs w:val="21"/>
            </w:rPr>
          </w:pPr>
        </w:p>
      </w:sdtContent>
    </w:sdt>
    <w:p>
      <w:pPr>
        <w:rPr>
          <w:szCs w:val="21"/>
        </w:rPr>
      </w:pPr>
    </w:p>
    <w:sdt>
      <w:sdtPr>
        <w:rPr>
          <w:rFonts w:hint="eastAsia" w:ascii="宋体" w:hAnsi="宋体" w:cs="宋体" w:eastAsiaTheme="minorEastAsia"/>
          <w:b w:val="0"/>
          <w:bCs w:val="0"/>
          <w:kern w:val="0"/>
          <w:sz w:val="24"/>
          <w:szCs w:val="21"/>
        </w:rPr>
        <w:alias w:val="模块:支付的其他与经营活动有关的现金"/>
        <w:tag w:val="_SEC_69836e8867b347e7b3fe206eca280b9d"/>
        <w:id w:val="6775523"/>
        <w:lock w:val="sdtLocked"/>
        <w:placeholder>
          <w:docPart w:val="GBC22222222222222222222222222222"/>
        </w:placeholder>
      </w:sdtPr>
      <w:sdtEndPr>
        <w:rPr>
          <w:rFonts w:hint="eastAsia" w:asciiTheme="minorHAnsi" w:hAnsiTheme="minorHAnsi" w:eastAsiaTheme="minorEastAsia" w:cstheme="minorBidi"/>
          <w:b w:val="0"/>
          <w:bCs w:val="0"/>
          <w:kern w:val="2"/>
          <w:sz w:val="21"/>
          <w:szCs w:val="21"/>
        </w:rPr>
      </w:sdtEndPr>
      <w:sdtContent>
        <w:p>
          <w:pPr>
            <w:pStyle w:val="5"/>
            <w:numPr>
              <w:ilvl w:val="0"/>
              <w:numId w:val="93"/>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f4dd9812849049808cd722f0acb16a7a"/>
            <w:id w:val="677551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67755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67755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347"/>
            <w:gridCol w:w="2759"/>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313336294a534de9a634e32311d5592e"/>
                <w:id w:val="6775514"/>
                <w:lock w:val="sdtLocked"/>
              </w:sdtPr>
              <w:sdtContent>
                <w:tc>
                  <w:tcPr>
                    <w:tcW w:w="3347" w:type="dxa"/>
                  </w:tcPr>
                  <w:p>
                    <w:pPr>
                      <w:autoSpaceDE w:val="0"/>
                      <w:autoSpaceDN w:val="0"/>
                      <w:adjustRightInd w:val="0"/>
                      <w:snapToGrid w:val="0"/>
                      <w:jc w:val="center"/>
                      <w:rPr>
                        <w:szCs w:val="21"/>
                      </w:rPr>
                    </w:pPr>
                    <w:r>
                      <w:rPr>
                        <w:rFonts w:hint="eastAsia"/>
                        <w:szCs w:val="21"/>
                      </w:rPr>
                      <w:t>项目</w:t>
                    </w:r>
                  </w:p>
                </w:tc>
              </w:sdtContent>
            </w:sdt>
            <w:sdt>
              <w:sdtPr>
                <w:tag w:val="_PLD_254446e36934468da941d479360a4c79"/>
                <w:id w:val="6775515"/>
                <w:lock w:val="sdtLocked"/>
              </w:sdtPr>
              <w:sdtContent>
                <w:tc>
                  <w:tcPr>
                    <w:tcW w:w="2759" w:type="dxa"/>
                  </w:tcPr>
                  <w:p>
                    <w:pPr>
                      <w:autoSpaceDE w:val="0"/>
                      <w:autoSpaceDN w:val="0"/>
                      <w:adjustRightInd w:val="0"/>
                      <w:snapToGrid w:val="0"/>
                      <w:jc w:val="center"/>
                      <w:rPr>
                        <w:szCs w:val="21"/>
                      </w:rPr>
                    </w:pPr>
                    <w:r>
                      <w:rPr>
                        <w:rFonts w:hint="eastAsia"/>
                      </w:rPr>
                      <w:t>本期发生额</w:t>
                    </w:r>
                  </w:p>
                </w:tc>
              </w:sdtContent>
            </w:sdt>
            <w:sdt>
              <w:sdtPr>
                <w:tag w:val="_PLD_7dc479c1c10240cc94f89ea3fc1d6136"/>
                <w:id w:val="6775516"/>
                <w:lock w:val="sdtLocked"/>
              </w:sdtPr>
              <w:sdtContent>
                <w:tc>
                  <w:tcPr>
                    <w:tcW w:w="2787" w:type="dxa"/>
                  </w:tcPr>
                  <w:p>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TUP_6bc26f086cee402ca4d348d61c665ec6"/>
              <w:id w:val="6775517"/>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rPr>
                        <w:szCs w:val="21"/>
                      </w:rPr>
                    </w:pPr>
                    <w:r>
                      <w:t>销售费用</w:t>
                    </w:r>
                  </w:p>
                </w:tc>
                <w:tc>
                  <w:tcPr>
                    <w:tcW w:w="2759" w:type="dxa"/>
                  </w:tcPr>
                  <w:p>
                    <w:pPr>
                      <w:jc w:val="right"/>
                      <w:rPr>
                        <w:szCs w:val="21"/>
                      </w:rPr>
                    </w:pPr>
                    <w:r>
                      <w:t>8,684,834.70</w:t>
                    </w:r>
                  </w:p>
                </w:tc>
                <w:tc>
                  <w:tcPr>
                    <w:tcW w:w="2787" w:type="dxa"/>
                  </w:tcPr>
                  <w:p>
                    <w:pPr>
                      <w:jc w:val="right"/>
                      <w:rPr>
                        <w:szCs w:val="21"/>
                      </w:rPr>
                    </w:pPr>
                    <w:r>
                      <w:t>16,295,628.52</w:t>
                    </w:r>
                  </w:p>
                </w:tc>
              </w:tr>
            </w:sdtContent>
          </w:sdt>
          <w:sdt>
            <w:sdtPr>
              <w:rPr>
                <w:rFonts w:hint="eastAsia"/>
                <w:szCs w:val="21"/>
              </w:rPr>
              <w:alias w:val="支付的其他与经营活动有关的现金明细"/>
              <w:tag w:val="_TUP_6bc26f086cee402ca4d348d61c665ec6"/>
              <w:id w:val="6775518"/>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rPr>
                        <w:szCs w:val="21"/>
                      </w:rPr>
                    </w:pPr>
                    <w:r>
                      <w:t>管理费用</w:t>
                    </w:r>
                  </w:p>
                </w:tc>
                <w:tc>
                  <w:tcPr>
                    <w:tcW w:w="2759" w:type="dxa"/>
                  </w:tcPr>
                  <w:p>
                    <w:pPr>
                      <w:jc w:val="right"/>
                      <w:rPr>
                        <w:szCs w:val="21"/>
                      </w:rPr>
                    </w:pPr>
                    <w:r>
                      <w:t>62,573,118.49</w:t>
                    </w:r>
                  </w:p>
                </w:tc>
                <w:tc>
                  <w:tcPr>
                    <w:tcW w:w="2787" w:type="dxa"/>
                  </w:tcPr>
                  <w:p>
                    <w:pPr>
                      <w:jc w:val="right"/>
                      <w:rPr>
                        <w:szCs w:val="21"/>
                      </w:rPr>
                    </w:pPr>
                    <w:r>
                      <w:t>82,285,005.43</w:t>
                    </w:r>
                  </w:p>
                </w:tc>
              </w:tr>
            </w:sdtContent>
          </w:sdt>
          <w:sdt>
            <w:sdtPr>
              <w:rPr>
                <w:rFonts w:hint="eastAsia"/>
                <w:szCs w:val="21"/>
              </w:rPr>
              <w:alias w:val="支付的其他与经营活动有关的现金明细"/>
              <w:tag w:val="_TUP_6bc26f086cee402ca4d348d61c665ec6"/>
              <w:id w:val="6775519"/>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rPr>
                        <w:szCs w:val="21"/>
                      </w:rPr>
                    </w:pPr>
                    <w:r>
                      <w:t>票据保证金</w:t>
                    </w:r>
                  </w:p>
                </w:tc>
                <w:tc>
                  <w:tcPr>
                    <w:tcW w:w="2759" w:type="dxa"/>
                  </w:tcPr>
                  <w:p>
                    <w:pPr>
                      <w:jc w:val="right"/>
                      <w:rPr>
                        <w:szCs w:val="21"/>
                      </w:rPr>
                    </w:pPr>
                    <w:r>
                      <w:t>419,459,986.06</w:t>
                    </w:r>
                  </w:p>
                </w:tc>
                <w:tc>
                  <w:tcPr>
                    <w:tcW w:w="2787" w:type="dxa"/>
                  </w:tcPr>
                  <w:p>
                    <w:pPr>
                      <w:jc w:val="right"/>
                      <w:rPr>
                        <w:szCs w:val="21"/>
                      </w:rPr>
                    </w:pPr>
                    <w:r>
                      <w:t>55,628,427.99</w:t>
                    </w:r>
                  </w:p>
                </w:tc>
              </w:tr>
            </w:sdtContent>
          </w:sdt>
          <w:sdt>
            <w:sdtPr>
              <w:rPr>
                <w:rFonts w:hint="eastAsia"/>
                <w:szCs w:val="21"/>
              </w:rPr>
              <w:alias w:val="支付的其他与经营活动有关的现金明细"/>
              <w:tag w:val="_TUP_6bc26f086cee402ca4d348d61c665ec6"/>
              <w:id w:val="6775520"/>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rPr>
                        <w:szCs w:val="21"/>
                      </w:rPr>
                    </w:pPr>
                    <w:r>
                      <w:t>其他</w:t>
                    </w:r>
                  </w:p>
                </w:tc>
                <w:tc>
                  <w:tcPr>
                    <w:tcW w:w="2759" w:type="dxa"/>
                  </w:tcPr>
                  <w:p>
                    <w:pPr>
                      <w:jc w:val="right"/>
                      <w:rPr>
                        <w:szCs w:val="21"/>
                      </w:rPr>
                    </w:pPr>
                    <w:r>
                      <w:t>1,889,377.29</w:t>
                    </w:r>
                  </w:p>
                </w:tc>
                <w:tc>
                  <w:tcPr>
                    <w:tcW w:w="2787" w:type="dxa"/>
                  </w:tcPr>
                  <w:p>
                    <w:pPr>
                      <w:jc w:val="right"/>
                      <w:rPr>
                        <w:szCs w:val="21"/>
                      </w:rPr>
                    </w:pPr>
                    <w:r>
                      <w:t>44,790,312.21</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b2a645bcc9174623a4e7eefea3a149f5"/>
                <w:id w:val="6775521"/>
                <w:lock w:val="sdtLocked"/>
              </w:sdtPr>
              <w:sdtContent>
                <w:tc>
                  <w:tcPr>
                    <w:tcW w:w="3347" w:type="dxa"/>
                  </w:tcPr>
                  <w:p>
                    <w:pPr>
                      <w:autoSpaceDE w:val="0"/>
                      <w:autoSpaceDN w:val="0"/>
                      <w:adjustRightInd w:val="0"/>
                      <w:snapToGrid w:val="0"/>
                      <w:jc w:val="center"/>
                      <w:rPr>
                        <w:szCs w:val="21"/>
                      </w:rPr>
                    </w:pPr>
                    <w:r>
                      <w:rPr>
                        <w:rFonts w:hint="eastAsia"/>
                        <w:szCs w:val="21"/>
                      </w:rPr>
                      <w:t>合计</w:t>
                    </w:r>
                  </w:p>
                </w:tc>
              </w:sdtContent>
            </w:sdt>
            <w:tc>
              <w:tcPr>
                <w:tcW w:w="2759" w:type="dxa"/>
              </w:tcPr>
              <w:p>
                <w:pPr>
                  <w:jc w:val="right"/>
                  <w:rPr>
                    <w:szCs w:val="21"/>
                  </w:rPr>
                </w:pPr>
                <w:r>
                  <w:t>492,607,316.54</w:t>
                </w:r>
              </w:p>
            </w:tc>
            <w:tc>
              <w:tcPr>
                <w:tcW w:w="2787" w:type="dxa"/>
              </w:tcPr>
              <w:p>
                <w:pPr>
                  <w:jc w:val="right"/>
                  <w:rPr>
                    <w:szCs w:val="21"/>
                  </w:rPr>
                </w:pPr>
                <w:r>
                  <w:t>198,999,374.15</w:t>
                </w:r>
              </w:p>
            </w:tc>
          </w:tr>
        </w:tbl>
      </w:sdtContent>
    </w:sdt>
    <w:p>
      <w:pPr>
        <w:spacing w:line="360" w:lineRule="exact"/>
        <w:ind w:right="5"/>
        <w:rPr>
          <w:szCs w:val="21"/>
        </w:rPr>
      </w:pPr>
    </w:p>
    <w:sdt>
      <w:sdtPr>
        <w:rPr>
          <w:rFonts w:hint="eastAsia" w:ascii="宋体" w:hAnsi="宋体" w:cs="宋体" w:eastAsiaTheme="minorEastAsia"/>
          <w:b w:val="0"/>
          <w:bCs w:val="0"/>
          <w:kern w:val="0"/>
          <w:sz w:val="24"/>
          <w:szCs w:val="21"/>
        </w:rPr>
        <w:alias w:val="模块:收到的其他与投资活动有关的现金"/>
        <w:tag w:val="_SEC_bffd728d3f034a24a21a18f895399812"/>
        <w:id w:val="6775533"/>
        <w:lock w:val="sdtLocked"/>
        <w:placeholder>
          <w:docPart w:val="GBC22222222222222222222222222222"/>
        </w:placeholder>
      </w:sdtPr>
      <w:sdtEndPr>
        <w:rPr>
          <w:rFonts w:hint="default" w:asciiTheme="minorHAnsi" w:hAnsiTheme="minorHAnsi" w:eastAsiaTheme="minorEastAsia" w:cstheme="minorBidi"/>
          <w:b w:val="0"/>
          <w:bCs w:val="0"/>
          <w:kern w:val="2"/>
          <w:sz w:val="21"/>
          <w:szCs w:val="21"/>
        </w:rPr>
      </w:sdtEndPr>
      <w:sdtContent>
        <w:p>
          <w:pPr>
            <w:pStyle w:val="5"/>
            <w:numPr>
              <w:ilvl w:val="0"/>
              <w:numId w:val="93"/>
            </w:numPr>
            <w:tabs>
              <w:tab w:val="left" w:pos="728"/>
            </w:tabs>
            <w:rPr>
              <w:rFonts w:ascii="宋体" w:hAnsi="宋体"/>
              <w:szCs w:val="21"/>
            </w:rPr>
          </w:pPr>
          <w:r>
            <w:rPr>
              <w:rFonts w:hint="eastAsia" w:ascii="宋体" w:hAnsi="宋体"/>
              <w:szCs w:val="21"/>
            </w:rPr>
            <w:t>收到的其他与投资活动有关的现金</w:t>
          </w:r>
        </w:p>
        <w:sdt>
          <w:sdtPr>
            <w:alias w:val="是否适用：收到的其他与投资活动有关的现金[双击切换]"/>
            <w:tag w:val="_GBC_a9d11a87566b448d9e6aac9a017a8388"/>
            <w:id w:val="677552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收到的其他与投资活动有关的现金"/>
              <w:tag w:val="_GBC_0c9cf16095dd4d5ab3121520e225b633"/>
              <w:id w:val="67755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791e060c2d294266a3abaf8a745aad01"/>
              <w:id w:val="67755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347"/>
            <w:gridCol w:w="2862"/>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8fe69c5749494bb49faf620c5198417e"/>
                <w:id w:val="6775527"/>
                <w:lock w:val="sdtLocked"/>
              </w:sdtPr>
              <w:sdtContent>
                <w:tc>
                  <w:tcPr>
                    <w:tcW w:w="3347" w:type="dxa"/>
                  </w:tcPr>
                  <w:p>
                    <w:pPr>
                      <w:autoSpaceDE w:val="0"/>
                      <w:autoSpaceDN w:val="0"/>
                      <w:adjustRightInd w:val="0"/>
                      <w:snapToGrid w:val="0"/>
                      <w:spacing w:line="240" w:lineRule="atLeast"/>
                      <w:jc w:val="center"/>
                      <w:rPr>
                        <w:szCs w:val="21"/>
                      </w:rPr>
                    </w:pPr>
                    <w:r>
                      <w:rPr>
                        <w:rFonts w:hint="eastAsia"/>
                        <w:szCs w:val="21"/>
                      </w:rPr>
                      <w:t>项目</w:t>
                    </w:r>
                  </w:p>
                </w:tc>
              </w:sdtContent>
            </w:sdt>
            <w:sdt>
              <w:sdtPr>
                <w:tag w:val="_PLD_bf91a26c50244250a28701d650837068"/>
                <w:id w:val="6775528"/>
                <w:lock w:val="sdtLocked"/>
              </w:sdtPr>
              <w:sdtContent>
                <w:tc>
                  <w:tcPr>
                    <w:tcW w:w="2862" w:type="dxa"/>
                  </w:tcPr>
                  <w:p>
                    <w:pPr>
                      <w:autoSpaceDE w:val="0"/>
                      <w:autoSpaceDN w:val="0"/>
                      <w:adjustRightInd w:val="0"/>
                      <w:snapToGrid w:val="0"/>
                      <w:spacing w:line="240" w:lineRule="atLeast"/>
                      <w:jc w:val="center"/>
                      <w:rPr>
                        <w:szCs w:val="21"/>
                      </w:rPr>
                    </w:pPr>
                    <w:r>
                      <w:rPr>
                        <w:rFonts w:hint="eastAsia"/>
                      </w:rPr>
                      <w:t>本期发生额</w:t>
                    </w:r>
                  </w:p>
                </w:tc>
              </w:sdtContent>
            </w:sdt>
            <w:sdt>
              <w:sdtPr>
                <w:tag w:val="_PLD_6ba4cebdd5f34f0ebe4577174e11dd6c"/>
                <w:id w:val="6775529"/>
                <w:lock w:val="sdtLocked"/>
              </w:sdtPr>
              <w:sdtContent>
                <w:tc>
                  <w:tcPr>
                    <w:tcW w:w="2684" w:type="dxa"/>
                  </w:tcPr>
                  <w:p>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投资活动有关的现金明细"/>
              <w:tag w:val="_TUP_2a9537f55bbc4ae4adcaec7f75a44ddf"/>
              <w:id w:val="6775530"/>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spacing w:line="240" w:lineRule="atLeast"/>
                      <w:rPr>
                        <w:szCs w:val="21"/>
                      </w:rPr>
                    </w:pPr>
                    <w:r>
                      <w:t>收到的与资产相关的政府补助</w:t>
                    </w:r>
                  </w:p>
                </w:tc>
                <w:tc>
                  <w:tcPr>
                    <w:tcW w:w="2862" w:type="dxa"/>
                    <w:vAlign w:val="bottom"/>
                  </w:tcPr>
                  <w:p>
                    <w:pPr>
                      <w:jc w:val="right"/>
                      <w:rPr>
                        <w:szCs w:val="21"/>
                      </w:rPr>
                    </w:pPr>
                    <w:r>
                      <w:t>2,880,000.00</w:t>
                    </w:r>
                  </w:p>
                </w:tc>
                <w:tc>
                  <w:tcPr>
                    <w:tcW w:w="2684" w:type="dxa"/>
                  </w:tcPr>
                  <w:p>
                    <w:pPr>
                      <w:jc w:val="right"/>
                      <w:rPr>
                        <w:szCs w:val="21"/>
                      </w:rPr>
                    </w:pPr>
                    <w:r>
                      <w:t>15,000,000.00</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a28679f982044352b3f67fcf372b12e8"/>
                <w:id w:val="6775531"/>
                <w:lock w:val="sdtLocked"/>
              </w:sdtPr>
              <w:sdtContent>
                <w:tc>
                  <w:tcPr>
                    <w:tcW w:w="3347" w:type="dxa"/>
                  </w:tcPr>
                  <w:p>
                    <w:pPr>
                      <w:autoSpaceDE w:val="0"/>
                      <w:autoSpaceDN w:val="0"/>
                      <w:adjustRightInd w:val="0"/>
                      <w:snapToGrid w:val="0"/>
                      <w:spacing w:line="240" w:lineRule="atLeast"/>
                      <w:jc w:val="center"/>
                      <w:rPr>
                        <w:szCs w:val="21"/>
                      </w:rPr>
                    </w:pPr>
                    <w:r>
                      <w:rPr>
                        <w:rFonts w:hint="eastAsia"/>
                        <w:szCs w:val="21"/>
                      </w:rPr>
                      <w:t>合计</w:t>
                    </w:r>
                  </w:p>
                </w:tc>
              </w:sdtContent>
            </w:sdt>
            <w:tc>
              <w:tcPr>
                <w:tcW w:w="2862" w:type="dxa"/>
                <w:vAlign w:val="bottom"/>
              </w:tcPr>
              <w:p>
                <w:pPr>
                  <w:jc w:val="right"/>
                  <w:rPr>
                    <w:szCs w:val="21"/>
                  </w:rPr>
                </w:pPr>
                <w:r>
                  <w:t>2,880,000.00</w:t>
                </w:r>
              </w:p>
            </w:tc>
            <w:tc>
              <w:tcPr>
                <w:tcW w:w="2684" w:type="dxa"/>
              </w:tcPr>
              <w:p>
                <w:pPr>
                  <w:jc w:val="right"/>
                  <w:rPr>
                    <w:szCs w:val="21"/>
                  </w:rPr>
                </w:pPr>
                <w:r>
                  <w:t>15,000,000.00</w:t>
                </w:r>
              </w:p>
            </w:tc>
          </w:tr>
        </w:tbl>
      </w:sdtContent>
    </w:sdt>
    <w:p>
      <w:pPr>
        <w:rPr>
          <w:szCs w:val="21"/>
        </w:rPr>
      </w:pPr>
    </w:p>
    <w:sdt>
      <w:sdtPr>
        <w:rPr>
          <w:rFonts w:hint="eastAsia" w:ascii="宋体" w:hAnsi="宋体" w:cs="宋体" w:eastAsiaTheme="minorEastAsia"/>
          <w:b w:val="0"/>
          <w:bCs w:val="0"/>
          <w:kern w:val="0"/>
          <w:sz w:val="24"/>
          <w:szCs w:val="21"/>
        </w:rPr>
        <w:alias w:val="模块:支付的其他与投资活动有关的现金"/>
        <w:tag w:val="_SEC_aafc72f0aabb4b5faeb8c5be6629eee5"/>
        <w:id w:val="6775543"/>
        <w:lock w:val="sdtLocked"/>
        <w:placeholder>
          <w:docPart w:val="GBC22222222222222222222222222222"/>
        </w:placeholder>
      </w:sdtPr>
      <w:sdtEndPr>
        <w:rPr>
          <w:rFonts w:hint="eastAsia" w:asciiTheme="minorHAnsi" w:hAnsiTheme="minorHAnsi" w:eastAsiaTheme="minorEastAsia" w:cstheme="minorBidi"/>
          <w:b w:val="0"/>
          <w:bCs w:val="0"/>
          <w:kern w:val="2"/>
          <w:sz w:val="21"/>
          <w:szCs w:val="21"/>
        </w:rPr>
      </w:sdtEndPr>
      <w:sdtContent>
        <w:p>
          <w:pPr>
            <w:pStyle w:val="5"/>
            <w:numPr>
              <w:ilvl w:val="0"/>
              <w:numId w:val="93"/>
            </w:numPr>
            <w:tabs>
              <w:tab w:val="left" w:pos="728"/>
            </w:tabs>
            <w:rPr>
              <w:rFonts w:ascii="宋体" w:hAnsi="宋体"/>
              <w:szCs w:val="21"/>
            </w:rPr>
          </w:pPr>
          <w:r>
            <w:rPr>
              <w:rFonts w:hint="eastAsia" w:ascii="宋体" w:hAnsi="宋体"/>
              <w:szCs w:val="21"/>
            </w:rPr>
            <w:t>支付的其他与投资活动有关的现金</w:t>
          </w:r>
        </w:p>
        <w:sdt>
          <w:sdtPr>
            <w:alias w:val="是否适用：支付的其他与投资活动有关的现金[双击切换]"/>
            <w:tag w:val="_GBC_c733aab18a804ecea142a329ce5180ba"/>
            <w:id w:val="677553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支付的其他与投资活动有关的现金"/>
              <w:tag w:val="_GBC_c9261a723e034bd4842ebc9aa57bb713"/>
              <w:id w:val="67755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1ac8f59aa2ce48d0af7c6d580cad336c"/>
              <w:id w:val="67755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347"/>
            <w:gridCol w:w="2864"/>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587dffb6cb394ed0abe3449c37ec4700"/>
                <w:id w:val="6775537"/>
                <w:lock w:val="sdtLocked"/>
              </w:sdtPr>
              <w:sdtContent>
                <w:tc>
                  <w:tcPr>
                    <w:tcW w:w="3347" w:type="dxa"/>
                  </w:tcPr>
                  <w:p>
                    <w:pPr>
                      <w:autoSpaceDE w:val="0"/>
                      <w:autoSpaceDN w:val="0"/>
                      <w:adjustRightInd w:val="0"/>
                      <w:snapToGrid w:val="0"/>
                      <w:jc w:val="center"/>
                      <w:rPr>
                        <w:szCs w:val="21"/>
                      </w:rPr>
                    </w:pPr>
                    <w:r>
                      <w:rPr>
                        <w:rFonts w:hint="eastAsia"/>
                        <w:szCs w:val="21"/>
                      </w:rPr>
                      <w:t>项目</w:t>
                    </w:r>
                  </w:p>
                </w:tc>
              </w:sdtContent>
            </w:sdt>
            <w:sdt>
              <w:sdtPr>
                <w:tag w:val="_PLD_df7899e6c0274bae9f145af85a8eb277"/>
                <w:id w:val="6775538"/>
                <w:lock w:val="sdtLocked"/>
              </w:sdtPr>
              <w:sdtContent>
                <w:tc>
                  <w:tcPr>
                    <w:tcW w:w="2864" w:type="dxa"/>
                  </w:tcPr>
                  <w:p>
                    <w:pPr>
                      <w:autoSpaceDE w:val="0"/>
                      <w:autoSpaceDN w:val="0"/>
                      <w:adjustRightInd w:val="0"/>
                      <w:snapToGrid w:val="0"/>
                      <w:jc w:val="center"/>
                      <w:rPr>
                        <w:szCs w:val="21"/>
                      </w:rPr>
                    </w:pPr>
                    <w:r>
                      <w:rPr>
                        <w:rFonts w:hint="eastAsia"/>
                      </w:rPr>
                      <w:t>本期发生额</w:t>
                    </w:r>
                  </w:p>
                </w:tc>
              </w:sdtContent>
            </w:sdt>
            <w:sdt>
              <w:sdtPr>
                <w:tag w:val="_PLD_f161b1c392e440818862ceb1761bb906"/>
                <w:id w:val="6775539"/>
                <w:lock w:val="sdtLocked"/>
              </w:sdtPr>
              <w:sdtContent>
                <w:tc>
                  <w:tcPr>
                    <w:tcW w:w="2682" w:type="dxa"/>
                  </w:tcPr>
                  <w:p>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投资活动有关的现金明细"/>
              <w:tag w:val="_TUP_b6c724ac4860419dabcf1acda6dd60f4"/>
              <w:id w:val="6775540"/>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rPr>
                        <w:szCs w:val="21"/>
                      </w:rPr>
                    </w:pPr>
                    <w:r>
                      <w:t>处置固定资产净支出</w:t>
                    </w:r>
                  </w:p>
                </w:tc>
                <w:tc>
                  <w:tcPr>
                    <w:tcW w:w="2864" w:type="dxa"/>
                    <w:vAlign w:val="bottom"/>
                  </w:tcPr>
                  <w:p>
                    <w:pPr>
                      <w:jc w:val="right"/>
                      <w:rPr>
                        <w:szCs w:val="21"/>
                      </w:rPr>
                    </w:pPr>
                  </w:p>
                </w:tc>
                <w:tc>
                  <w:tcPr>
                    <w:tcW w:w="2682" w:type="dxa"/>
                  </w:tcPr>
                  <w:p>
                    <w:pPr>
                      <w:jc w:val="right"/>
                      <w:rPr>
                        <w:szCs w:val="21"/>
                      </w:rPr>
                    </w:pPr>
                    <w:r>
                      <w:t>1,080,947.08</w:t>
                    </w:r>
                  </w:p>
                </w:tc>
              </w:tr>
            </w:sdtContent>
          </w:sdt>
          <w:sdt>
            <w:sdtPr>
              <w:rPr>
                <w:rFonts w:hint="eastAsia"/>
                <w:szCs w:val="21"/>
              </w:rPr>
              <w:alias w:val="支付的其他与投资活动有关的现金明细"/>
              <w:tag w:val="_TUP_b6c724ac4860419dabcf1acda6dd60f4"/>
              <w:id w:val="6775541"/>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jc w:val="center"/>
                      <w:rPr>
                        <w:szCs w:val="21"/>
                      </w:rPr>
                    </w:pPr>
                    <w:r>
                      <w:t>合计</w:t>
                    </w:r>
                  </w:p>
                </w:tc>
                <w:tc>
                  <w:tcPr>
                    <w:tcW w:w="2864" w:type="dxa"/>
                    <w:vAlign w:val="bottom"/>
                  </w:tcPr>
                  <w:p>
                    <w:pPr>
                      <w:jc w:val="right"/>
                      <w:rPr>
                        <w:szCs w:val="21"/>
                      </w:rPr>
                    </w:pPr>
                  </w:p>
                </w:tc>
                <w:tc>
                  <w:tcPr>
                    <w:tcW w:w="2682" w:type="dxa"/>
                  </w:tcPr>
                  <w:p>
                    <w:pPr>
                      <w:jc w:val="right"/>
                      <w:rPr>
                        <w:szCs w:val="21"/>
                      </w:rPr>
                    </w:pPr>
                    <w:r>
                      <w:t>1,080,947.08</w:t>
                    </w:r>
                  </w:p>
                </w:tc>
              </w:tr>
            </w:sdtContent>
          </w:sdt>
        </w:tbl>
      </w:sdtContent>
    </w:sdt>
    <w:p>
      <w:pPr>
        <w:rPr>
          <w:szCs w:val="21"/>
        </w:rPr>
      </w:pPr>
    </w:p>
    <w:sdt>
      <w:sdtPr>
        <w:rPr>
          <w:rFonts w:hint="eastAsia" w:ascii="宋体" w:hAnsi="宋体" w:cs="宋体" w:eastAsiaTheme="minorEastAsia"/>
          <w:b w:val="0"/>
          <w:bCs w:val="0"/>
          <w:kern w:val="0"/>
          <w:sz w:val="24"/>
          <w:szCs w:val="21"/>
        </w:rPr>
        <w:alias w:val="模块:收到的其他与筹资活动有关的现金"/>
        <w:tag w:val="_SEC_cee5e63128ad411498f4c0e9e303807b"/>
        <w:id w:val="6775553"/>
        <w:lock w:val="sdtLocked"/>
        <w:placeholder>
          <w:docPart w:val="GBC22222222222222222222222222222"/>
        </w:placeholder>
      </w:sdtPr>
      <w:sdtEndPr>
        <w:rPr>
          <w:rFonts w:hint="eastAsia" w:asciiTheme="minorHAnsi" w:hAnsiTheme="minorHAnsi" w:eastAsiaTheme="minorEastAsia" w:cstheme="minorBidi"/>
          <w:b w:val="0"/>
          <w:bCs w:val="0"/>
          <w:kern w:val="2"/>
          <w:sz w:val="21"/>
          <w:szCs w:val="22"/>
        </w:rPr>
      </w:sdtEndPr>
      <w:sdtContent>
        <w:p>
          <w:pPr>
            <w:pStyle w:val="5"/>
            <w:numPr>
              <w:ilvl w:val="0"/>
              <w:numId w:val="93"/>
            </w:numPr>
            <w:rPr>
              <w:szCs w:val="21"/>
            </w:rPr>
          </w:pPr>
          <w:r>
            <w:rPr>
              <w:rFonts w:hint="eastAsia"/>
              <w:szCs w:val="21"/>
            </w:rPr>
            <w:t>收到的</w:t>
          </w:r>
          <w:r>
            <w:rPr>
              <w:rFonts w:hint="eastAsia" w:ascii="宋体" w:hAnsi="宋体"/>
              <w:szCs w:val="21"/>
            </w:rPr>
            <w:t>其他</w:t>
          </w:r>
          <w:r>
            <w:rPr>
              <w:rFonts w:hint="eastAsia"/>
              <w:szCs w:val="21"/>
            </w:rPr>
            <w:t>与筹资活动有关的现金</w:t>
          </w:r>
        </w:p>
        <w:sdt>
          <w:sdtPr>
            <w:alias w:val="是否适用：收到的其他与筹资活动有关的现金[双击切换]"/>
            <w:tag w:val="_GBC_031910cf781944cf80900ffa99f7a9d7"/>
            <w:id w:val="677554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收到的其他与筹资活动有关的现金"/>
              <w:tag w:val="_GBC_666160c9e7144e11b24beaa82a8d20a2"/>
              <w:id w:val="67755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5dbb9457a5854b088449e8b9e69e8c2e"/>
              <w:id w:val="67755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347"/>
            <w:gridCol w:w="2864"/>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a77349a2c05f473b9ac20b64fc24179e"/>
                <w:id w:val="6775547"/>
                <w:lock w:val="sdtLocked"/>
              </w:sdtPr>
              <w:sdtContent>
                <w:tc>
                  <w:tcPr>
                    <w:tcW w:w="3347" w:type="dxa"/>
                  </w:tcPr>
                  <w:p>
                    <w:pPr>
                      <w:autoSpaceDE w:val="0"/>
                      <w:autoSpaceDN w:val="0"/>
                      <w:adjustRightInd w:val="0"/>
                      <w:snapToGrid w:val="0"/>
                      <w:jc w:val="center"/>
                      <w:rPr>
                        <w:szCs w:val="21"/>
                      </w:rPr>
                    </w:pPr>
                    <w:r>
                      <w:rPr>
                        <w:rFonts w:hint="eastAsia"/>
                        <w:szCs w:val="21"/>
                      </w:rPr>
                      <w:t>项目</w:t>
                    </w:r>
                  </w:p>
                </w:tc>
              </w:sdtContent>
            </w:sdt>
            <w:sdt>
              <w:sdtPr>
                <w:tag w:val="_PLD_4f0ec6d40c994acb9eb5b3560f97c407"/>
                <w:id w:val="6775548"/>
                <w:lock w:val="sdtLocked"/>
              </w:sdtPr>
              <w:sdtContent>
                <w:tc>
                  <w:tcPr>
                    <w:tcW w:w="2864" w:type="dxa"/>
                  </w:tcPr>
                  <w:p>
                    <w:pPr>
                      <w:autoSpaceDE w:val="0"/>
                      <w:autoSpaceDN w:val="0"/>
                      <w:adjustRightInd w:val="0"/>
                      <w:snapToGrid w:val="0"/>
                      <w:jc w:val="center"/>
                      <w:rPr>
                        <w:szCs w:val="21"/>
                      </w:rPr>
                    </w:pPr>
                    <w:r>
                      <w:rPr>
                        <w:rFonts w:hint="eastAsia"/>
                      </w:rPr>
                      <w:t>本期发生额</w:t>
                    </w:r>
                  </w:p>
                </w:tc>
              </w:sdtContent>
            </w:sdt>
            <w:sdt>
              <w:sdtPr>
                <w:tag w:val="_PLD_aa071ffac82040379300e6f5150e4ff7"/>
                <w:id w:val="6775549"/>
                <w:lock w:val="sdtLocked"/>
              </w:sdtPr>
              <w:sdtContent>
                <w:tc>
                  <w:tcPr>
                    <w:tcW w:w="2682" w:type="dxa"/>
                  </w:tcPr>
                  <w:p>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收到的其他与筹资活动有关的现金明细"/>
              <w:tag w:val="_TUP_afb02f29341a473a8c5477beb6ba2747"/>
              <w:id w:val="6775550"/>
              <w:lock w:val="sdtLocked"/>
            </w:sdtPr>
            <w:sdtEndPr>
              <w:rPr>
                <w:rFonts w:hint="eastAs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rPr>
                        <w:szCs w:val="21"/>
                      </w:rPr>
                    </w:pPr>
                    <w:r>
                      <w:t>收回信用证保证金</w:t>
                    </w:r>
                  </w:p>
                </w:tc>
                <w:tc>
                  <w:tcPr>
                    <w:tcW w:w="2864" w:type="dxa"/>
                    <w:vAlign w:val="bottom"/>
                  </w:tcPr>
                  <w:p>
                    <w:pPr>
                      <w:jc w:val="right"/>
                      <w:rPr>
                        <w:szCs w:val="21"/>
                      </w:rPr>
                    </w:pPr>
                  </w:p>
                </w:tc>
                <w:tc>
                  <w:tcPr>
                    <w:tcW w:w="2682" w:type="dxa"/>
                  </w:tcPr>
                  <w:p>
                    <w:pPr>
                      <w:jc w:val="right"/>
                      <w:rPr>
                        <w:szCs w:val="21"/>
                      </w:rPr>
                    </w:pPr>
                    <w:r>
                      <w:t>38,501,776.64</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7907c6798e0d4fb4a413e0875400dc4a"/>
                <w:id w:val="6775551"/>
                <w:lock w:val="sdtLocked"/>
              </w:sdtPr>
              <w:sdtContent>
                <w:tc>
                  <w:tcPr>
                    <w:tcW w:w="3347" w:type="dxa"/>
                  </w:tcPr>
                  <w:p>
                    <w:pPr>
                      <w:autoSpaceDE w:val="0"/>
                      <w:autoSpaceDN w:val="0"/>
                      <w:adjustRightInd w:val="0"/>
                      <w:snapToGrid w:val="0"/>
                      <w:jc w:val="center"/>
                      <w:rPr>
                        <w:szCs w:val="21"/>
                      </w:rPr>
                    </w:pPr>
                    <w:r>
                      <w:rPr>
                        <w:rFonts w:hint="eastAsia"/>
                        <w:szCs w:val="21"/>
                      </w:rPr>
                      <w:t>合计</w:t>
                    </w:r>
                  </w:p>
                </w:tc>
              </w:sdtContent>
            </w:sdt>
            <w:tc>
              <w:tcPr>
                <w:tcW w:w="2864" w:type="dxa"/>
                <w:vAlign w:val="bottom"/>
              </w:tcPr>
              <w:p>
                <w:pPr>
                  <w:jc w:val="right"/>
                  <w:rPr>
                    <w:szCs w:val="21"/>
                  </w:rPr>
                </w:pPr>
              </w:p>
            </w:tc>
            <w:tc>
              <w:tcPr>
                <w:tcW w:w="2682" w:type="dxa"/>
              </w:tcPr>
              <w:p>
                <w:pPr>
                  <w:jc w:val="right"/>
                  <w:rPr>
                    <w:szCs w:val="21"/>
                  </w:rPr>
                </w:pPr>
                <w:r>
                  <w:t>38,501,776.64</w:t>
                </w:r>
              </w:p>
            </w:tc>
          </w:tr>
        </w:tbl>
      </w:sdtContent>
    </w:sdt>
    <w:p/>
    <w:sdt>
      <w:sdtPr>
        <w:rPr>
          <w:rFonts w:hint="eastAsia" w:ascii="宋体" w:hAnsi="宋体" w:cs="宋体" w:eastAsiaTheme="minorEastAsia"/>
          <w:b w:val="0"/>
          <w:bCs w:val="0"/>
          <w:kern w:val="0"/>
          <w:sz w:val="24"/>
          <w:szCs w:val="22"/>
        </w:rPr>
        <w:alias w:val="模块:支付的其他与筹资活动有关的现金"/>
        <w:tag w:val="_SEC_7f5832ab98b14401b69843c0f895b85e"/>
        <w:id w:val="6775566"/>
        <w:lock w:val="sdtLocked"/>
        <w:placeholder>
          <w:docPart w:val="GBC22222222222222222222222222222"/>
        </w:placeholder>
      </w:sdtPr>
      <w:sdtEndPr>
        <w:rPr>
          <w:rFonts w:hint="eastAsia" w:asciiTheme="minorHAnsi" w:hAnsiTheme="minorHAnsi" w:eastAsiaTheme="minorEastAsia" w:cstheme="minorBidi"/>
          <w:b w:val="0"/>
          <w:bCs w:val="0"/>
          <w:kern w:val="2"/>
          <w:sz w:val="21"/>
          <w:szCs w:val="22"/>
        </w:rPr>
      </w:sdtEndPr>
      <w:sdtContent>
        <w:p>
          <w:pPr>
            <w:pStyle w:val="5"/>
            <w:numPr>
              <w:ilvl w:val="0"/>
              <w:numId w:val="93"/>
            </w:numPr>
            <w:rPr>
              <w:rFonts w:ascii="宋体" w:hAnsi="宋体"/>
              <w:szCs w:val="21"/>
            </w:rPr>
          </w:pPr>
          <w:r>
            <w:rPr>
              <w:rFonts w:hint="eastAsia" w:ascii="宋体" w:hAnsi="宋体"/>
              <w:szCs w:val="21"/>
            </w:rPr>
            <w:t>支付的其他与筹资活动有关的现金</w:t>
          </w:r>
        </w:p>
        <w:sdt>
          <w:sdtPr>
            <w:alias w:val="是否适用：支付的其他与筹资活动有关的现金[双击切换]"/>
            <w:tag w:val="_GBC_fcc0d0c43a2d4fa88ca685f3e36f2f40"/>
            <w:id w:val="677555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支付的其他与筹资活动有关的现金"/>
              <w:tag w:val="_GBC_f301b3c53ede43608ccf55c09ef288e7"/>
              <w:id w:val="67755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67755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347"/>
            <w:gridCol w:w="2864"/>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2db8e0335cc47fe9b6461eeb2befa7e"/>
                <w:id w:val="6775557"/>
                <w:lock w:val="sdtLocked"/>
              </w:sdtPr>
              <w:sdtContent>
                <w:tc>
                  <w:tcPr>
                    <w:tcW w:w="3347" w:type="dxa"/>
                  </w:tcPr>
                  <w:p>
                    <w:pPr>
                      <w:autoSpaceDE w:val="0"/>
                      <w:autoSpaceDN w:val="0"/>
                      <w:adjustRightInd w:val="0"/>
                      <w:snapToGrid w:val="0"/>
                      <w:jc w:val="center"/>
                    </w:pPr>
                    <w:r>
                      <w:rPr>
                        <w:rFonts w:hint="eastAsia"/>
                      </w:rPr>
                      <w:t>项目</w:t>
                    </w:r>
                  </w:p>
                </w:tc>
              </w:sdtContent>
            </w:sdt>
            <w:sdt>
              <w:sdtPr>
                <w:tag w:val="_PLD_bb4a54a8a5be4a6691e4d59483217c64"/>
                <w:id w:val="6775558"/>
                <w:lock w:val="sdtLocked"/>
              </w:sdtPr>
              <w:sdtContent>
                <w:tc>
                  <w:tcPr>
                    <w:tcW w:w="2864" w:type="dxa"/>
                  </w:tcPr>
                  <w:p>
                    <w:pPr>
                      <w:autoSpaceDE w:val="0"/>
                      <w:autoSpaceDN w:val="0"/>
                      <w:adjustRightInd w:val="0"/>
                      <w:snapToGrid w:val="0"/>
                      <w:jc w:val="center"/>
                    </w:pPr>
                    <w:r>
                      <w:rPr>
                        <w:rFonts w:hint="eastAsia"/>
                      </w:rPr>
                      <w:t>本期发生额</w:t>
                    </w:r>
                  </w:p>
                </w:tc>
              </w:sdtContent>
            </w:sdt>
            <w:sdt>
              <w:sdtPr>
                <w:tag w:val="_PLD_a4930447bc4d450faf79f923eef8597b"/>
                <w:id w:val="6775559"/>
                <w:lock w:val="sdtLocked"/>
              </w:sdtPr>
              <w:sdtContent>
                <w:tc>
                  <w:tcPr>
                    <w:tcW w:w="2682" w:type="dxa"/>
                  </w:tcPr>
                  <w:p>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TUP_e54614051bfb48d8ab0e47a024ba7e91"/>
              <w:id w:val="6775560"/>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pPr>
                    <w:r>
                      <w:t>融资租赁租金　</w:t>
                    </w:r>
                  </w:p>
                </w:tc>
                <w:tc>
                  <w:tcPr>
                    <w:tcW w:w="2864" w:type="dxa"/>
                    <w:vAlign w:val="bottom"/>
                  </w:tcPr>
                  <w:p>
                    <w:pPr>
                      <w:jc w:val="right"/>
                    </w:pPr>
                  </w:p>
                </w:tc>
                <w:tc>
                  <w:tcPr>
                    <w:tcW w:w="2682" w:type="dxa"/>
                  </w:tcPr>
                  <w:p>
                    <w:pPr>
                      <w:jc w:val="right"/>
                    </w:pPr>
                    <w:r>
                      <w:t>282,827,786.80</w:t>
                    </w:r>
                  </w:p>
                </w:tc>
              </w:tr>
            </w:sdtContent>
          </w:sdt>
          <w:sdt>
            <w:sdtPr>
              <w:rPr>
                <w:rFonts w:hint="eastAsia"/>
              </w:rPr>
              <w:alias w:val="支付的其他与筹资活动有关的现金明细"/>
              <w:tag w:val="_TUP_e54614051bfb48d8ab0e47a024ba7e91"/>
              <w:id w:val="6775561"/>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pPr>
                    <w:r>
                      <w:t>手续费</w:t>
                    </w:r>
                  </w:p>
                </w:tc>
                <w:tc>
                  <w:tcPr>
                    <w:tcW w:w="2864" w:type="dxa"/>
                    <w:vAlign w:val="bottom"/>
                  </w:tcPr>
                  <w:p>
                    <w:pPr>
                      <w:jc w:val="right"/>
                    </w:pPr>
                    <w:r>
                      <w:t>23,866,257.58</w:t>
                    </w:r>
                  </w:p>
                </w:tc>
                <w:tc>
                  <w:tcPr>
                    <w:tcW w:w="2682" w:type="dxa"/>
                  </w:tcPr>
                  <w:p>
                    <w:pPr>
                      <w:jc w:val="right"/>
                    </w:pPr>
                    <w:r>
                      <w:t>25,077,651.46</w:t>
                    </w:r>
                  </w:p>
                </w:tc>
              </w:tr>
            </w:sdtContent>
          </w:sdt>
          <w:sdt>
            <w:sdtPr>
              <w:rPr>
                <w:rFonts w:hint="eastAsia"/>
              </w:rPr>
              <w:alias w:val="支付的其他与筹资活动有关的现金明细"/>
              <w:tag w:val="_TUP_e54614051bfb48d8ab0e47a024ba7e91"/>
              <w:id w:val="6775562"/>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pPr>
                    <w:r>
                      <w:t>信用证保证金</w:t>
                    </w:r>
                  </w:p>
                </w:tc>
                <w:tc>
                  <w:tcPr>
                    <w:tcW w:w="2864" w:type="dxa"/>
                    <w:vAlign w:val="bottom"/>
                  </w:tcPr>
                  <w:p>
                    <w:pPr>
                      <w:jc w:val="right"/>
                    </w:pPr>
                  </w:p>
                </w:tc>
                <w:tc>
                  <w:tcPr>
                    <w:tcW w:w="2682" w:type="dxa"/>
                  </w:tcPr>
                  <w:p>
                    <w:pPr>
                      <w:jc w:val="right"/>
                    </w:pPr>
                    <w:r>
                      <w:t>165,199,999.94</w:t>
                    </w:r>
                  </w:p>
                </w:tc>
              </w:tr>
            </w:sdtContent>
          </w:sdt>
          <w:sdt>
            <w:sdtPr>
              <w:rPr>
                <w:rFonts w:hint="eastAsia"/>
              </w:rPr>
              <w:alias w:val="支付的其他与筹资活动有关的现金明细"/>
              <w:tag w:val="_TUP_e54614051bfb48d8ab0e47a024ba7e91"/>
              <w:id w:val="677556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3347" w:type="dxa"/>
                  </w:tcPr>
                  <w:p>
                    <w:pPr>
                      <w:autoSpaceDE w:val="0"/>
                      <w:autoSpaceDN w:val="0"/>
                      <w:adjustRightInd w:val="0"/>
                      <w:snapToGrid w:val="0"/>
                    </w:pPr>
                    <w:r>
                      <w:t>贷款保证金</w:t>
                    </w:r>
                  </w:p>
                </w:tc>
                <w:tc>
                  <w:tcPr>
                    <w:tcW w:w="2864" w:type="dxa"/>
                    <w:vAlign w:val="bottom"/>
                  </w:tcPr>
                  <w:p>
                    <w:pPr>
                      <w:jc w:val="right"/>
                    </w:pPr>
                  </w:p>
                </w:tc>
                <w:tc>
                  <w:tcPr>
                    <w:tcW w:w="2682" w:type="dxa"/>
                  </w:tcPr>
                  <w:p>
                    <w:pPr>
                      <w:jc w:val="right"/>
                    </w:pPr>
                    <w:r>
                      <w:t>40,000,000</w:t>
                    </w:r>
                    <w:r>
                      <w:rPr>
                        <w:rFonts w:hint="eastAsia"/>
                      </w:rPr>
                      <w:t>.00</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003a6c5e92bb42f68cfc8065cc0deba9"/>
                <w:id w:val="6775564"/>
                <w:lock w:val="sdtLocked"/>
              </w:sdtPr>
              <w:sdtContent>
                <w:tc>
                  <w:tcPr>
                    <w:tcW w:w="3347" w:type="dxa"/>
                  </w:tcPr>
                  <w:p>
                    <w:pPr>
                      <w:autoSpaceDE w:val="0"/>
                      <w:autoSpaceDN w:val="0"/>
                      <w:adjustRightInd w:val="0"/>
                      <w:snapToGrid w:val="0"/>
                      <w:jc w:val="center"/>
                    </w:pPr>
                    <w:r>
                      <w:rPr>
                        <w:rFonts w:hint="eastAsia"/>
                      </w:rPr>
                      <w:t>合计</w:t>
                    </w:r>
                  </w:p>
                </w:tc>
              </w:sdtContent>
            </w:sdt>
            <w:tc>
              <w:tcPr>
                <w:tcW w:w="2864" w:type="dxa"/>
                <w:vAlign w:val="bottom"/>
              </w:tcPr>
              <w:p>
                <w:pPr>
                  <w:jc w:val="right"/>
                </w:pPr>
                <w:r>
                  <w:t>23,866,257.58</w:t>
                </w:r>
              </w:p>
            </w:tc>
            <w:tc>
              <w:tcPr>
                <w:tcW w:w="2682" w:type="dxa"/>
              </w:tcPr>
              <w:p>
                <w:pPr>
                  <w:jc w:val="right"/>
                </w:pPr>
                <w:r>
                  <w:t>513,105,438.20</w:t>
                </w:r>
              </w:p>
            </w:tc>
          </w:tr>
        </w:tbl>
      </w:sdtContent>
    </w:sdt>
    <w:p>
      <w:pPr>
        <w:pStyle w:val="4"/>
        <w:numPr>
          <w:ilvl w:val="0"/>
          <w:numId w:val="66"/>
        </w:numPr>
        <w:tabs>
          <w:tab w:val="left" w:pos="504"/>
        </w:tabs>
      </w:pPr>
      <w:r>
        <w:rPr>
          <w:rFonts w:hint="eastAsia"/>
        </w:rPr>
        <w:t>现金流量表</w:t>
      </w:r>
      <w:r>
        <w:rPr>
          <w:rFonts w:hint="eastAsia" w:ascii="宋体" w:hAnsi="宋体"/>
          <w:szCs w:val="21"/>
        </w:rPr>
        <w:t>补充</w:t>
      </w:r>
      <w:r>
        <w:rPr>
          <w:rFonts w:hint="eastAsia"/>
        </w:rPr>
        <w:t>资料</w:t>
      </w:r>
    </w:p>
    <w:sdt>
      <w:sdtPr>
        <w:rPr>
          <w:rFonts w:hint="eastAsia" w:ascii="宋体" w:hAnsi="宋体" w:cs="宋体"/>
          <w:b w:val="0"/>
          <w:bCs w:val="0"/>
          <w:kern w:val="0"/>
          <w:szCs w:val="24"/>
        </w:rPr>
        <w:alias w:val="模块:现金流量表补充资料"/>
        <w:tag w:val="_SEC_f8be5b6afa1a4e6a83d098555e296b4b"/>
        <w:id w:val="6775601"/>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94"/>
            </w:numPr>
          </w:pPr>
          <w:r>
            <w:rPr>
              <w:rFonts w:hint="eastAsia"/>
            </w:rPr>
            <w:t>现金流量表补充资料</w:t>
          </w:r>
        </w:p>
        <w:sdt>
          <w:sdtPr>
            <w:rPr>
              <w:rFonts w:hint="eastAsia"/>
            </w:rPr>
            <w:alias w:val="是否适用：现金流量表补充资料[双击切换]"/>
            <w:tag w:val="_GBC_f77ea662869c431fa9c3cd98fccb529c"/>
            <w:id w:val="6775567"/>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附注：现金流量表补充资料"/>
              <w:tag w:val="_GBC_816fc4f2c97b4b12911114202247ee82"/>
              <w:id w:val="677556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6775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5"/>
            <w:gridCol w:w="2002"/>
            <w:gridCol w:w="20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39bfd38318b44efe9fa609ad19a8685a"/>
                <w:id w:val="6775570"/>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rPr>
                    </w:pPr>
                    <w:r>
                      <w:rPr>
                        <w:rFonts w:hint="eastAsia"/>
                        <w:bCs/>
                      </w:rPr>
                      <w:t>补充资料</w:t>
                    </w:r>
                  </w:p>
                </w:tc>
              </w:sdtContent>
            </w:sdt>
            <w:sdt>
              <w:sdtPr>
                <w:tag w:val="_PLD_8ef3863737f6403496cc160c411b0b03"/>
                <w:id w:val="6775571"/>
                <w:lock w:val="sdtLocked"/>
              </w:sdtPr>
              <w:sdtContent>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本期金额</w:t>
                    </w:r>
                  </w:p>
                </w:tc>
              </w:sdtContent>
            </w:sdt>
            <w:sdt>
              <w:sdtPr>
                <w:tag w:val="_PLD_73eb01f791e44a84b1edbc96aa42b3f3"/>
                <w:id w:val="6775572"/>
                <w:lock w:val="sdtLocked"/>
              </w:sdtPr>
              <w:sdtContent>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上期金额</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6db035658bd4a67bcf46ade47da315d"/>
                <w:id w:val="6775573"/>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pPr>
                      <w:rPr>
                        <w:b/>
                        <w:bCs/>
                      </w:rPr>
                    </w:pPr>
                    <w:r>
                      <w:rPr>
                        <w:b/>
                        <w:bCs/>
                      </w:rPr>
                      <w:t>1</w:t>
                    </w:r>
                    <w:r>
                      <w:rPr>
                        <w:rFonts w:hint="eastAsia"/>
                        <w:b/>
                        <w:bCs/>
                      </w:rPr>
                      <w:t>．将净利润调节为经营活动现金流量：</w:t>
                    </w:r>
                  </w:p>
                </w:tc>
              </w:sdtContent>
            </w:sdt>
            <w:tc>
              <w:tcPr>
                <w:tcW w:w="2002" w:type="dxa"/>
                <w:tcBorders>
                  <w:top w:val="single" w:color="auto" w:sz="4" w:space="0"/>
                  <w:left w:val="single" w:color="auto" w:sz="4" w:space="0"/>
                  <w:bottom w:val="outset" w:color="auto" w:sz="6" w:space="0"/>
                  <w:right w:val="outset" w:color="auto" w:sz="6" w:space="0"/>
                </w:tcBorders>
                <w:shd w:val="clear" w:color="auto" w:fill="auto"/>
              </w:tcPr>
              <w:p/>
            </w:tc>
            <w:tc>
              <w:tcPr>
                <w:tcW w:w="2002" w:type="dxa"/>
                <w:tcBorders>
                  <w:top w:val="single" w:color="auto" w:sz="4" w:space="0"/>
                  <w:left w:val="outset" w:color="auto" w:sz="6" w:space="0"/>
                  <w:bottom w:val="outset" w:color="auto" w:sz="6" w:space="0"/>
                  <w:right w:val="outset" w:color="auto" w:sz="6" w:space="0"/>
                </w:tcBorders>
                <w:shd w:val="clear" w:color="auto" w:fill="auto"/>
              </w:tcPr>
              <w:p>
                <w:pPr>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ff97a35e60d443387d6ac807156bbae"/>
                <w:id w:val="6775574"/>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净利润</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rPr>
                    <w:rFonts w:asciiTheme="minorEastAsia" w:hAnsiTheme="minorEastAsia" w:eastAsiaTheme="minorEastAsia"/>
                  </w:rPr>
                </w:pPr>
                <w:r>
                  <w:rPr>
                    <w:rFonts w:asciiTheme="minorEastAsia" w:hAnsiTheme="minorEastAsia" w:eastAsiaTheme="minorEastAsia"/>
                  </w:rPr>
                  <w:t>2,646,176,293.67</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196,438,068.13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eee5dca05b64715937e91cafbf88c76"/>
                <w:id w:val="6775575"/>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加：资产减值准备</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-15,290,007.17</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25,695,591.43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126af0092bb4ea5acb454c40fce47aa"/>
                <w:id w:val="6775576"/>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固定资产折旧、油气资产折耗、生产性生物资产折旧</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888,719,584.29</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845,273,419.04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8b4967a4f6564e83943a72b2b6a14e25"/>
                <w:id w:val="6775577"/>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无形资产摊销</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1,475,782.43</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91bcbce91db4007a43dc457f0a7dc19"/>
                <w:id w:val="6775578"/>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长期待摊费用摊销</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8f9f8f7a6994120a06ba50281514777"/>
                <w:id w:val="6775579"/>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处置固定资产、无形资产和其他长期资产的损失（收益以</w:t>
                    </w:r>
                    <w:r>
                      <w:t>“</w:t>
                    </w:r>
                    <w:r>
                      <w:rPr>
                        <w:rFonts w:hint="eastAsia"/>
                      </w:rPr>
                      <w:t>－</w:t>
                    </w:r>
                    <w:r>
                      <w:t>”</w:t>
                    </w:r>
                    <w:r>
                      <w:rPr>
                        <w:rFonts w:hint="eastAsia"/>
                      </w:rPr>
                      <w:t>号填列）</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81fee79d3354e6fb69ce33fffd7af6e"/>
                <w:id w:val="6775580"/>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固定资产报废损失（收益以</w:t>
                    </w:r>
                    <w:r>
                      <w:t>“</w:t>
                    </w:r>
                    <w:r>
                      <w:rPr>
                        <w:rFonts w:hint="eastAsia"/>
                      </w:rPr>
                      <w:t>－</w:t>
                    </w:r>
                    <w:r>
                      <w:t>”</w:t>
                    </w:r>
                    <w:r>
                      <w:rPr>
                        <w:rFonts w:hint="eastAsia"/>
                      </w:rPr>
                      <w:t>号填列）</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3,825,393.16</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25,347,736.57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464f7483fa24612944bff87f55d77fe"/>
                <w:id w:val="6775581"/>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公允价值变动损失（收益以</w:t>
                    </w:r>
                    <w:r>
                      <w:t>“</w:t>
                    </w:r>
                    <w:r>
                      <w:rPr>
                        <w:rFonts w:hint="eastAsia"/>
                      </w:rPr>
                      <w:t>－</w:t>
                    </w:r>
                    <w:r>
                      <w:t>”</w:t>
                    </w:r>
                    <w:r>
                      <w:rPr>
                        <w:rFonts w:hint="eastAsia"/>
                      </w:rPr>
                      <w:t>号填列）</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1,197,796.73</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5,187,631.49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1aa93fc6a4d452d904d1035db57b333"/>
                <w:id w:val="6775582"/>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财务费用（收益以</w:t>
                    </w:r>
                    <w:r>
                      <w:t>“</w:t>
                    </w:r>
                    <w:r>
                      <w:rPr>
                        <w:rFonts w:hint="eastAsia"/>
                      </w:rPr>
                      <w:t>－</w:t>
                    </w:r>
                    <w:r>
                      <w:t>”</w:t>
                    </w:r>
                    <w:r>
                      <w:rPr>
                        <w:rFonts w:hint="eastAsia"/>
                      </w:rPr>
                      <w:t>号填列）</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186,248,610.28</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654,243,947.57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7da876d38cd4a8fb89860f293c6a668"/>
                <w:id w:val="6775583"/>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投资损失（收益以</w:t>
                    </w:r>
                    <w:r>
                      <w:t>“</w:t>
                    </w:r>
                    <w:r>
                      <w:rPr>
                        <w:rFonts w:hint="eastAsia"/>
                      </w:rPr>
                      <w:t>－</w:t>
                    </w:r>
                    <w:r>
                      <w:t>”</w:t>
                    </w:r>
                    <w:r>
                      <w:rPr>
                        <w:rFonts w:hint="eastAsia"/>
                      </w:rPr>
                      <w:t>号填列）</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1,757,983.94</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200,047.13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fbadbf00208453daec47ef453ccc6f9"/>
                <w:id w:val="6775584"/>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递延所得税资产减少（增加以</w:t>
                    </w:r>
                    <w:r>
                      <w:t>“</w:t>
                    </w:r>
                    <w:r>
                      <w:rPr>
                        <w:rFonts w:hint="eastAsia"/>
                      </w:rPr>
                      <w:t>－</w:t>
                    </w:r>
                    <w:r>
                      <w:t>”</w:t>
                    </w:r>
                    <w:r>
                      <w:rPr>
                        <w:rFonts w:hint="eastAsia"/>
                      </w:rPr>
                      <w:t>号填列）</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91,317,183.19</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27,345,348.12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995beb110fe461d9f14304be5740b51"/>
                <w:id w:val="6775585"/>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递延所得税负债增加（减少以</w:t>
                    </w:r>
                    <w:r>
                      <w:t>“</w:t>
                    </w:r>
                    <w:r>
                      <w:rPr>
                        <w:rFonts w:hint="eastAsia"/>
                      </w:rPr>
                      <w:t>－</w:t>
                    </w:r>
                    <w:r>
                      <w:t>”</w:t>
                    </w:r>
                    <w:r>
                      <w:rPr>
                        <w:rFonts w:hint="eastAsia"/>
                      </w:rPr>
                      <w:t>号填列）</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-179,669.51</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-1,416,832.76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313be58aa55a4aee90fa200a6004a83d"/>
                <w:id w:val="6775586"/>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存货的减少（增加以</w:t>
                    </w:r>
                    <w:r>
                      <w:t>“</w:t>
                    </w:r>
                    <w:r>
                      <w:rPr>
                        <w:rFonts w:hint="eastAsia"/>
                      </w:rPr>
                      <w:t>－</w:t>
                    </w:r>
                    <w:r>
                      <w:t>”</w:t>
                    </w:r>
                    <w:r>
                      <w:rPr>
                        <w:rFonts w:hint="eastAsia"/>
                      </w:rPr>
                      <w:t>号填列）</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543,686,136.83</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67,853,085.48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0f2d4bd51554e919c1b56b36c76b7e4"/>
                <w:id w:val="6775587"/>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经营性应收项目的减少（增加以</w:t>
                    </w:r>
                    <w:r>
                      <w:t>“</w:t>
                    </w:r>
                    <w:r>
                      <w:rPr>
                        <w:rFonts w:hint="eastAsia"/>
                      </w:rPr>
                      <w:t>－</w:t>
                    </w:r>
                    <w:r>
                      <w:t>”</w:t>
                    </w:r>
                    <w:r>
                      <w:rPr>
                        <w:rFonts w:hint="eastAsia"/>
                      </w:rPr>
                      <w:t>号填列）</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-1,715,805,014.96</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rPr>
                    <w:b/>
                  </w:rPr>
                </w:pPr>
                <w:r>
                  <w:t>-1,414,452,452.80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775c78d32f644708ef470b027b0a24e"/>
                <w:id w:val="6775588"/>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经营性应付项目的增加（减少以</w:t>
                    </w:r>
                    <w:r>
                      <w:t>“</w:t>
                    </w:r>
                    <w:r>
                      <w:rPr>
                        <w:rFonts w:hint="eastAsia"/>
                      </w:rPr>
                      <w:t>－</w:t>
                    </w:r>
                    <w:r>
                      <w:t>”</w:t>
                    </w:r>
                    <w:r>
                      <w:rPr>
                        <w:rFonts w:hint="eastAsia"/>
                      </w:rPr>
                      <w:t>号填列）</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rPr>
                    <w:rFonts w:asciiTheme="minorEastAsia" w:hAnsiTheme="minorEastAsia" w:eastAsiaTheme="minorEastAsia"/>
                  </w:rPr>
                </w:pPr>
                <w:r>
                  <w:rPr>
                    <w:rFonts w:asciiTheme="minorEastAsia" w:hAnsiTheme="minorEastAsia" w:eastAsiaTheme="minorEastAsia"/>
                  </w:rPr>
                  <w:t>1,979,462,571.28</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rPr>
                    <w:b/>
                  </w:rPr>
                </w:pPr>
                <w:r>
                  <w:t>1,156,205,211.78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5eb8ffd3edfd46a084a79828c7e82dd1"/>
                <w:id w:val="6775589"/>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其他</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0.00</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051c13b91464acb82ec10ce9e8e9c6e"/>
                <w:id w:val="6775590"/>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经营活动产生的现金流量净额</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4,612,592,644.16</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1,587,920,801.18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4b9bf22c7a64477db916821f6ee032d7"/>
                <w:id w:val="6775591"/>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pPr>
                      <w:rPr>
                        <w:b/>
                        <w:bCs/>
                      </w:rPr>
                    </w:pPr>
                    <w:r>
                      <w:rPr>
                        <w:b/>
                        <w:bCs/>
                      </w:rPr>
                      <w:t>2</w:t>
                    </w:r>
                    <w:r>
                      <w:rPr>
                        <w:rFonts w:hint="eastAsia"/>
                        <w:b/>
                        <w:bCs/>
                      </w:rPr>
                      <w:t>．不涉及现金收支的重大投资和筹资活动：</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vAlign w:val="center"/>
              </w:tcPr>
              <w:p>
                <w:pPr>
                  <w:jc w:val="right"/>
                </w:pPr>
                <w:r>
                  <w:t>　</w:t>
                </w:r>
              </w:p>
            </w:tc>
            <w:tc>
              <w:tcPr>
                <w:tcW w:w="2002" w:type="dxa"/>
                <w:tcBorders>
                  <w:top w:val="outset" w:color="auto" w:sz="6" w:space="0"/>
                  <w:left w:val="outset" w:color="auto" w:sz="6" w:space="0"/>
                  <w:bottom w:val="outset" w:color="auto" w:sz="6" w:space="0"/>
                  <w:right w:val="outset" w:color="auto" w:sz="6" w:space="0"/>
                </w:tcBorders>
                <w:shd w:val="clear" w:color="auto" w:fill="auto"/>
                <w:vAlign w:val="center"/>
              </w:tcPr>
              <w:p>
                <w:pPr>
                  <w:jc w:val="righ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655636739ee84751ab668093a128e30d"/>
                <w:id w:val="6775592"/>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债务转为资本</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256cf5f86c34d5bb6f6784047858fa0"/>
                <w:id w:val="6775593"/>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一年内到期的可转换公司债券</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59267cd8d7d452fac4c9bc41205c801"/>
                <w:id w:val="6775594"/>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融资租入固定资产</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32f2ba3b4a94101978cc22144b58749"/>
                <w:id w:val="6775595"/>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pPr>
                      <w:rPr>
                        <w:b/>
                        <w:bCs/>
                      </w:rPr>
                    </w:pPr>
                    <w:r>
                      <w:rPr>
                        <w:b/>
                        <w:bCs/>
                      </w:rPr>
                      <w:t>3</w:t>
                    </w:r>
                    <w:r>
                      <w:rPr>
                        <w:rFonts w:hint="eastAsia"/>
                        <w:b/>
                        <w:bCs/>
                      </w:rPr>
                      <w:t>．现金及现金等价物净变动情况：</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vAlign w:val="center"/>
              </w:tcPr>
              <w:p>
                <w:pPr>
                  <w:jc w:val="right"/>
                </w:pPr>
                <w:r>
                  <w:t>　</w:t>
                </w:r>
              </w:p>
            </w:tc>
            <w:tc>
              <w:tcPr>
                <w:tcW w:w="2002" w:type="dxa"/>
                <w:tcBorders>
                  <w:top w:val="outset" w:color="auto" w:sz="6" w:space="0"/>
                  <w:left w:val="outset" w:color="auto" w:sz="6" w:space="0"/>
                  <w:bottom w:val="outset" w:color="auto" w:sz="6" w:space="0"/>
                  <w:right w:val="outset" w:color="auto" w:sz="6" w:space="0"/>
                </w:tcBorders>
                <w:shd w:val="clear" w:color="auto" w:fill="auto"/>
                <w:vAlign w:val="center"/>
              </w:tcPr>
              <w:p>
                <w:pPr>
                  <w:jc w:val="righ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e5f5dd10ce14f14b2630fa4d067c065"/>
                <w:id w:val="6775596"/>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现金的期末余额</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2,837,018,033.86</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r>
                  <w:t>1,040,679,800.32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4086e070f5d54fb29cce570f72724cbb"/>
                <w:id w:val="6775597"/>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减：现金的期初余额</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vAlign w:val="center"/>
              </w:tcPr>
              <w:p>
                <w:pPr>
                  <w:jc w:val="right"/>
                  <w:rPr>
                    <w:bCs/>
                  </w:rPr>
                </w:pPr>
                <w:r>
                  <w:t>1,040,679,800.32</w:t>
                </w:r>
              </w:p>
            </w:tc>
            <w:tc>
              <w:tcPr>
                <w:tcW w:w="2002" w:type="dxa"/>
                <w:tcBorders>
                  <w:top w:val="outset" w:color="auto" w:sz="6" w:space="0"/>
                  <w:left w:val="outset" w:color="auto" w:sz="6" w:space="0"/>
                  <w:bottom w:val="outset" w:color="auto" w:sz="6" w:space="0"/>
                  <w:right w:val="outset" w:color="auto" w:sz="6" w:space="0"/>
                </w:tcBorders>
                <w:shd w:val="clear" w:color="auto" w:fill="auto"/>
                <w:vAlign w:val="center"/>
              </w:tcPr>
              <w:p>
                <w:pPr>
                  <w:jc w:val="right"/>
                  <w:rPr>
                    <w:bCs/>
                  </w:rPr>
                </w:pPr>
                <w:r>
                  <w:t>3,736,145,050.30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c91c4a914b649cfab66292de8099b2d"/>
                <w:id w:val="6775598"/>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加：现金等价物的期末余额</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3477f6eacd034d7382014e3c1eb89ed3"/>
                <w:id w:val="6775599"/>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减：现金等价物的期初余额</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vAlign w:val="center"/>
              </w:tcPr>
              <w:p>
                <w:pPr>
                  <w:jc w:val="right"/>
                  <w:rPr>
                    <w:bCs/>
                  </w:rPr>
                </w:pPr>
              </w:p>
            </w:tc>
            <w:tc>
              <w:tcPr>
                <w:tcW w:w="2002" w:type="dxa"/>
                <w:tcBorders>
                  <w:top w:val="outset" w:color="auto" w:sz="6" w:space="0"/>
                  <w:left w:val="outset" w:color="auto" w:sz="6" w:space="0"/>
                  <w:bottom w:val="outset" w:color="auto" w:sz="6" w:space="0"/>
                  <w:right w:val="outset" w:color="auto" w:sz="6" w:space="0"/>
                </w:tcBorders>
                <w:shd w:val="clear" w:color="auto" w:fill="auto"/>
                <w:vAlign w:val="center"/>
              </w:tcPr>
              <w:p>
                <w:pPr>
                  <w:jc w:val="right"/>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ea0766a6a7d4c8bbcf5d81bbec324ef"/>
                <w:id w:val="6775600"/>
                <w:lock w:val="sdtLocked"/>
              </w:sdtPr>
              <w:sdtContent>
                <w:tc>
                  <w:tcPr>
                    <w:tcW w:w="50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现金及现金等价物净增加额</w:t>
                    </w:r>
                  </w:p>
                </w:tc>
              </w:sdtContent>
            </w:sdt>
            <w:tc>
              <w:tcPr>
                <w:tcW w:w="2002" w:type="dxa"/>
                <w:tcBorders>
                  <w:top w:val="outset" w:color="auto" w:sz="6" w:space="0"/>
                  <w:left w:val="single" w:color="auto" w:sz="4" w:space="0"/>
                  <w:bottom w:val="outset" w:color="auto" w:sz="6" w:space="0"/>
                  <w:right w:val="outset" w:color="auto" w:sz="6" w:space="0"/>
                </w:tcBorders>
                <w:shd w:val="clear" w:color="auto" w:fill="auto"/>
              </w:tcPr>
              <w:p>
                <w:pPr>
                  <w:jc w:val="right"/>
                </w:pPr>
                <w:r>
                  <w:t>1,796,338,233.54</w:t>
                </w:r>
              </w:p>
            </w:tc>
            <w:tc>
              <w:tcPr>
                <w:tcW w:w="2002" w:type="dxa"/>
                <w:tcBorders>
                  <w:top w:val="outset" w:color="auto" w:sz="6" w:space="0"/>
                  <w:left w:val="outset" w:color="auto" w:sz="6" w:space="0"/>
                  <w:bottom w:val="outset" w:color="auto" w:sz="6" w:space="0"/>
                  <w:right w:val="outset" w:color="auto" w:sz="6" w:space="0"/>
                </w:tcBorders>
                <w:shd w:val="clear" w:color="auto" w:fill="auto"/>
              </w:tcPr>
              <w:p>
                <w:pPr>
                  <w:jc w:val="right"/>
                  <w:rPr>
                    <w:bCs/>
                  </w:rPr>
                </w:pPr>
                <w:r>
                  <w:t>-2,695,465,249.98</w:t>
                </w:r>
              </w:p>
            </w:tc>
          </w:tr>
        </w:tbl>
        <w:p/>
        <w:p/>
      </w:sdtContent>
    </w:sdt>
    <w:sdt>
      <w:sdtPr>
        <w:rPr>
          <w:rFonts w:hint="eastAsia" w:ascii="宋体" w:hAnsi="宋体" w:cs="宋体"/>
          <w:b w:val="0"/>
          <w:bCs w:val="0"/>
          <w:kern w:val="0"/>
          <w:szCs w:val="21"/>
        </w:rPr>
        <w:alias w:val="模块:取得子公司支付的现金净额"/>
        <w:tag w:val="_SEC_971240b1511b4283b56dedb17a919272"/>
        <w:id w:val="6775603"/>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94"/>
            </w:numPr>
            <w:rPr>
              <w:szCs w:val="21"/>
            </w:rPr>
          </w:pPr>
          <w:r>
            <w:rPr>
              <w:rFonts w:hint="eastAsia" w:ascii="宋体" w:hAnsi="宋体" w:cs="宋体"/>
              <w:bCs w:val="0"/>
              <w:kern w:val="0"/>
              <w:szCs w:val="21"/>
            </w:rPr>
            <w:t>本期支付的</w:t>
          </w:r>
          <w:r>
            <w:rPr>
              <w:rFonts w:hint="eastAsia"/>
              <w:szCs w:val="21"/>
            </w:rPr>
            <w:t>取得子公司的现金净额</w:t>
          </w:r>
        </w:p>
        <w:p>
          <w:sdt>
            <w:sdtPr>
              <w:alias w:val="是否适用：本期支付的取得子公司的现金净额[双击切换]"/>
              <w:tag w:val="_GBC_e15d87c710624e119515f4697cba951d"/>
              <w:id w:val="6775602"/>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sdtContent>
    </w:sdt>
    <w:p/>
    <w:sdt>
      <w:sdtPr>
        <w:rPr>
          <w:rFonts w:hint="eastAsia" w:ascii="宋体" w:hAnsi="宋体" w:cs="宋体"/>
          <w:b w:val="0"/>
          <w:bCs w:val="0"/>
          <w:kern w:val="0"/>
          <w:szCs w:val="24"/>
        </w:rPr>
        <w:alias w:val="模块:处置子公司收到的现金净额"/>
        <w:tag w:val="_SEC_c13aa60d3ee2485187cd10bae50b72d3"/>
        <w:id w:val="6775605"/>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94"/>
            </w:numPr>
          </w:pPr>
          <w:r>
            <w:rPr>
              <w:rFonts w:hint="eastAsia" w:ascii="宋体" w:hAnsi="宋体" w:cs="宋体"/>
              <w:bCs w:val="0"/>
              <w:kern w:val="0"/>
              <w:szCs w:val="24"/>
            </w:rPr>
            <w:t>本期收到的</w:t>
          </w:r>
          <w:r>
            <w:rPr>
              <w:rFonts w:hint="eastAsia"/>
            </w:rPr>
            <w:t>处置子公司的现金净额</w:t>
          </w:r>
        </w:p>
        <w:p>
          <w:sdt>
            <w:sdtPr>
              <w:alias w:val="是否适用：本期收到的处置子公司的现金净额[双击切换]"/>
              <w:tag w:val="_GBC_34f955c7fd1f404b9df6ccd09e080d38"/>
              <w:id w:val="6775604"/>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sdtContent>
    </w:sdt>
    <w:sdt>
      <w:sdtPr>
        <w:rPr>
          <w:rFonts w:hint="eastAsia" w:ascii="宋体" w:hAnsi="宋体" w:cs="宋体"/>
          <w:b w:val="0"/>
          <w:bCs w:val="0"/>
          <w:kern w:val="0"/>
          <w:szCs w:val="21"/>
        </w:rPr>
        <w:alias w:val="模块:现金和现金等价物的构成"/>
        <w:tag w:val="_SEC_4dd83b47da414fd18ef87a83dbc8a22a"/>
        <w:id w:val="6775624"/>
        <w:lock w:val="sdtLocked"/>
        <w:placeholder>
          <w:docPart w:val="GBC22222222222222222222222222222"/>
        </w:placeholder>
      </w:sdtPr>
      <w:sdtEndPr>
        <w:rPr>
          <w:rFonts w:hint="default" w:ascii="宋体" w:hAnsi="宋体" w:cs="宋体"/>
          <w:b w:val="0"/>
          <w:bCs w:val="0"/>
          <w:kern w:val="0"/>
          <w:szCs w:val="22"/>
        </w:rPr>
      </w:sdtEndPr>
      <w:sdtContent>
        <w:p>
          <w:pPr>
            <w:pStyle w:val="5"/>
            <w:numPr>
              <w:ilvl w:val="0"/>
              <w:numId w:val="94"/>
            </w:numPr>
            <w:rPr>
              <w:szCs w:val="21"/>
            </w:rPr>
          </w:pPr>
          <w:r>
            <w:rPr>
              <w:rFonts w:hint="eastAsia" w:ascii="宋体" w:hAnsi="宋体"/>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91189eaa80041618842ef50d90276c8"/>
            <w:id w:val="677560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b/>
              <w:szCs w:val="21"/>
            </w:rPr>
          </w:pPr>
          <w:r>
            <w:rPr>
              <w:rFonts w:hint="eastAsia"/>
            </w:rPr>
            <w:t>单位：</w:t>
          </w:r>
          <w:sdt>
            <w:sdtPr>
              <w:rPr>
                <w:rFonts w:hint="eastAsia"/>
              </w:rPr>
              <w:alias w:val="单位：财务附注：现金和现金等价物的构成"/>
              <w:tag w:val="_GBC_ae4a256eecad4f3f9ecc6e2e71ab2c7d"/>
              <w:id w:val="677560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现金和现金等价物的构成"/>
              <w:tag w:val="_GBC_1e71b89296f44d39ae92b46d95430c48"/>
              <w:id w:val="67756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127"/>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f236b4353ebb4174a1d752e2dd8d5962"/>
                <w:id w:val="6775609"/>
                <w:lock w:val="sdtLocked"/>
              </w:sdtPr>
              <w:sdtContent>
                <w:tc>
                  <w:tcPr>
                    <w:tcW w:w="4928" w:type="dxa"/>
                    <w:tcBorders>
                      <w:bottom w:val="single" w:color="auto" w:sz="4" w:space="0"/>
                    </w:tcBorders>
                    <w:shd w:val="clear" w:color="auto" w:fill="auto"/>
                    <w:vAlign w:val="center"/>
                  </w:tcPr>
                  <w:p>
                    <w:pPr>
                      <w:ind w:left="-107" w:leftChars="-51"/>
                      <w:jc w:val="center"/>
                      <w:rPr>
                        <w:szCs w:val="21"/>
                      </w:rPr>
                    </w:pPr>
                    <w:r>
                      <w:rPr>
                        <w:rFonts w:hint="eastAsia"/>
                        <w:szCs w:val="21"/>
                      </w:rPr>
                      <w:t>项目</w:t>
                    </w:r>
                  </w:p>
                </w:tc>
              </w:sdtContent>
            </w:sdt>
            <w:sdt>
              <w:sdtPr>
                <w:tag w:val="_PLD_74f42234ca4e43f7b8ddb72b330e411d"/>
                <w:id w:val="6775610"/>
                <w:lock w:val="sdtLocked"/>
              </w:sdtPr>
              <w:sdtContent>
                <w:tc>
                  <w:tcPr>
                    <w:tcW w:w="2127" w:type="dxa"/>
                    <w:shd w:val="clear" w:color="auto" w:fill="auto"/>
                    <w:vAlign w:val="center"/>
                  </w:tcPr>
                  <w:p>
                    <w:pPr>
                      <w:jc w:val="center"/>
                      <w:rPr>
                        <w:szCs w:val="21"/>
                      </w:rPr>
                    </w:pPr>
                    <w:r>
                      <w:rPr>
                        <w:rFonts w:hint="eastAsia"/>
                        <w:szCs w:val="21"/>
                      </w:rPr>
                      <w:t>期末余额</w:t>
                    </w:r>
                  </w:p>
                </w:tc>
              </w:sdtContent>
            </w:sdt>
            <w:sdt>
              <w:sdtPr>
                <w:tag w:val="_PLD_acedd6f1968c4c8e9a0e547b5501996e"/>
                <w:id w:val="6775611"/>
                <w:lock w:val="sdtLocked"/>
              </w:sdtPr>
              <w:sdtContent>
                <w:tc>
                  <w:tcPr>
                    <w:tcW w:w="1994" w:type="dxa"/>
                    <w:shd w:val="clear" w:color="auto" w:fill="auto"/>
                  </w:tcPr>
                  <w:p>
                    <w:pPr>
                      <w:jc w:val="center"/>
                      <w:rPr>
                        <w:szCs w:val="21"/>
                      </w:rPr>
                    </w:pPr>
                    <w:r>
                      <w:rPr>
                        <w:rFonts w:hint="eastAsia"/>
                        <w:szCs w:val="2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c30974bcf6934ec0baf9b0fa14607d4b"/>
                <w:id w:val="6775612"/>
                <w:lock w:val="sdtLocked"/>
              </w:sdtPr>
              <w:sdtContent>
                <w:tc>
                  <w:tcPr>
                    <w:tcW w:w="4928" w:type="dxa"/>
                    <w:shd w:val="clear" w:color="auto" w:fill="auto"/>
                    <w:vAlign w:val="center"/>
                  </w:tcPr>
                  <w:p>
                    <w:pPr>
                      <w:rPr>
                        <w:szCs w:val="21"/>
                      </w:rPr>
                    </w:pPr>
                    <w:r>
                      <w:rPr>
                        <w:rFonts w:hint="eastAsia"/>
                        <w:szCs w:val="21"/>
                      </w:rPr>
                      <w:t>一、现金</w:t>
                    </w:r>
                  </w:p>
                </w:tc>
              </w:sdtContent>
            </w:sdt>
            <w:tc>
              <w:tcPr>
                <w:tcW w:w="2127" w:type="dxa"/>
                <w:shd w:val="clear" w:color="auto" w:fill="auto"/>
              </w:tcPr>
              <w:p>
                <w:pPr>
                  <w:jc w:val="right"/>
                  <w:rPr>
                    <w:szCs w:val="21"/>
                  </w:rPr>
                </w:pPr>
                <w:r>
                  <w:t>2,837,018,033.86</w:t>
                </w:r>
              </w:p>
            </w:tc>
            <w:tc>
              <w:tcPr>
                <w:tcW w:w="1994" w:type="dxa"/>
                <w:shd w:val="clear" w:color="auto" w:fill="auto"/>
              </w:tcPr>
              <w:p>
                <w:pPr>
                  <w:jc w:val="right"/>
                  <w:rPr>
                    <w:szCs w:val="21"/>
                  </w:rPr>
                </w:pPr>
                <w:r>
                  <w:t>1,040,679,800.32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2448924633ff47a2a056b74831275190"/>
                <w:id w:val="6775613"/>
                <w:lock w:val="sdtLocked"/>
              </w:sdtPr>
              <w:sdtContent>
                <w:tc>
                  <w:tcPr>
                    <w:tcW w:w="4928" w:type="dxa"/>
                    <w:shd w:val="clear" w:color="auto" w:fill="auto"/>
                    <w:vAlign w:val="center"/>
                  </w:tcPr>
                  <w:p>
                    <w:pPr>
                      <w:rPr>
                        <w:szCs w:val="21"/>
                      </w:rPr>
                    </w:pPr>
                    <w:r>
                      <w:rPr>
                        <w:rFonts w:hint="eastAsia"/>
                        <w:szCs w:val="21"/>
                      </w:rPr>
                      <w:t>其中：库存现金</w:t>
                    </w:r>
                  </w:p>
                </w:tc>
              </w:sdtContent>
            </w:sdt>
            <w:tc>
              <w:tcPr>
                <w:tcW w:w="2127" w:type="dxa"/>
                <w:shd w:val="clear" w:color="auto" w:fill="auto"/>
              </w:tcPr>
              <w:p>
                <w:pPr>
                  <w:jc w:val="right"/>
                  <w:rPr>
                    <w:szCs w:val="21"/>
                  </w:rPr>
                </w:pPr>
              </w:p>
            </w:tc>
            <w:tc>
              <w:tcPr>
                <w:tcW w:w="1994"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7c1d37ef90854383849abb5794e386ca"/>
                <w:id w:val="6775614"/>
                <w:lock w:val="sdtLocked"/>
              </w:sdtPr>
              <w:sdtContent>
                <w:tc>
                  <w:tcPr>
                    <w:tcW w:w="4928" w:type="dxa"/>
                    <w:shd w:val="clear" w:color="auto" w:fill="auto"/>
                    <w:vAlign w:val="center"/>
                  </w:tcPr>
                  <w:p>
                    <w:pPr>
                      <w:rPr>
                        <w:szCs w:val="21"/>
                      </w:rPr>
                    </w:pPr>
                    <w:r>
                      <w:rPr>
                        <w:rFonts w:hint="eastAsia"/>
                        <w:szCs w:val="21"/>
                      </w:rPr>
                      <w:t>　　可随时用于支付的银行存款</w:t>
                    </w:r>
                  </w:p>
                </w:tc>
              </w:sdtContent>
            </w:sdt>
            <w:tc>
              <w:tcPr>
                <w:tcW w:w="2127" w:type="dxa"/>
                <w:shd w:val="clear" w:color="auto" w:fill="auto"/>
              </w:tcPr>
              <w:p>
                <w:pPr>
                  <w:jc w:val="right"/>
                  <w:rPr>
                    <w:szCs w:val="21"/>
                  </w:rPr>
                </w:pPr>
                <w:r>
                  <w:t>2,837,003,776.29</w:t>
                </w:r>
              </w:p>
            </w:tc>
            <w:tc>
              <w:tcPr>
                <w:tcW w:w="1994" w:type="dxa"/>
                <w:shd w:val="clear" w:color="auto" w:fill="auto"/>
              </w:tcPr>
              <w:p>
                <w:pPr>
                  <w:jc w:val="right"/>
                  <w:rPr>
                    <w:szCs w:val="21"/>
                  </w:rPr>
                </w:pPr>
                <w:r>
                  <w:t>1,037,031,187.89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edb06094538948b280e2e88028c5768c"/>
                <w:id w:val="6775615"/>
                <w:lock w:val="sdtLocked"/>
              </w:sdtPr>
              <w:sdtContent>
                <w:tc>
                  <w:tcPr>
                    <w:tcW w:w="4928" w:type="dxa"/>
                    <w:shd w:val="clear" w:color="auto" w:fill="auto"/>
                    <w:vAlign w:val="center"/>
                  </w:tcPr>
                  <w:p>
                    <w:pPr>
                      <w:rPr>
                        <w:szCs w:val="21"/>
                      </w:rPr>
                    </w:pPr>
                    <w:r>
                      <w:rPr>
                        <w:rFonts w:hint="eastAsia"/>
                        <w:szCs w:val="21"/>
                      </w:rPr>
                      <w:t>　　可随时用于支付的其他货币资金</w:t>
                    </w:r>
                  </w:p>
                </w:tc>
              </w:sdtContent>
            </w:sdt>
            <w:tc>
              <w:tcPr>
                <w:tcW w:w="2127" w:type="dxa"/>
                <w:shd w:val="clear" w:color="auto" w:fill="auto"/>
              </w:tcPr>
              <w:p>
                <w:pPr>
                  <w:jc w:val="right"/>
                  <w:rPr>
                    <w:szCs w:val="21"/>
                  </w:rPr>
                </w:pPr>
                <w:r>
                  <w:t>14,257.57</w:t>
                </w:r>
              </w:p>
            </w:tc>
            <w:tc>
              <w:tcPr>
                <w:tcW w:w="1994" w:type="dxa"/>
                <w:shd w:val="clear" w:color="auto" w:fill="auto"/>
              </w:tcPr>
              <w:p>
                <w:pPr>
                  <w:jc w:val="right"/>
                  <w:rPr>
                    <w:szCs w:val="21"/>
                  </w:rPr>
                </w:pPr>
                <w:r>
                  <w:t>3,648,612.43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77b2ead3898a4e50a1fbacd39f88a461"/>
                <w:id w:val="6775616"/>
                <w:lock w:val="sdtLocked"/>
              </w:sdtPr>
              <w:sdtContent>
                <w:tc>
                  <w:tcPr>
                    <w:tcW w:w="4928" w:type="dxa"/>
                    <w:shd w:val="clear" w:color="auto" w:fill="auto"/>
                    <w:vAlign w:val="center"/>
                  </w:tcPr>
                  <w:p>
                    <w:pPr>
                      <w:rPr>
                        <w:szCs w:val="21"/>
                      </w:rPr>
                    </w:pPr>
                    <w:r>
                      <w:rPr>
                        <w:rFonts w:hint="eastAsia"/>
                        <w:szCs w:val="21"/>
                      </w:rPr>
                      <w:t>　　可用于支付的存放中央银行款项</w:t>
                    </w:r>
                  </w:p>
                </w:tc>
              </w:sdtContent>
            </w:sdt>
            <w:tc>
              <w:tcPr>
                <w:tcW w:w="2127" w:type="dxa"/>
                <w:shd w:val="clear" w:color="auto" w:fill="auto"/>
              </w:tcPr>
              <w:p>
                <w:pPr>
                  <w:jc w:val="right"/>
                  <w:rPr>
                    <w:szCs w:val="21"/>
                  </w:rPr>
                </w:pPr>
              </w:p>
            </w:tc>
            <w:tc>
              <w:tcPr>
                <w:tcW w:w="1994"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04f13530c5ee43daa46681c189519f4e"/>
                <w:id w:val="6775617"/>
                <w:lock w:val="sdtLocked"/>
              </w:sdtPr>
              <w:sdtContent>
                <w:tc>
                  <w:tcPr>
                    <w:tcW w:w="4928" w:type="dxa"/>
                    <w:shd w:val="clear" w:color="auto" w:fill="auto"/>
                    <w:vAlign w:val="center"/>
                  </w:tcPr>
                  <w:p>
                    <w:pPr>
                      <w:rPr>
                        <w:szCs w:val="21"/>
                      </w:rPr>
                    </w:pPr>
                    <w:r>
                      <w:rPr>
                        <w:rFonts w:hint="eastAsia"/>
                        <w:szCs w:val="21"/>
                      </w:rPr>
                      <w:t>　　存放同业款项</w:t>
                    </w:r>
                  </w:p>
                </w:tc>
              </w:sdtContent>
            </w:sdt>
            <w:tc>
              <w:tcPr>
                <w:tcW w:w="2127" w:type="dxa"/>
                <w:shd w:val="clear" w:color="auto" w:fill="auto"/>
              </w:tcPr>
              <w:p>
                <w:pPr>
                  <w:jc w:val="right"/>
                  <w:rPr>
                    <w:szCs w:val="21"/>
                  </w:rPr>
                </w:pPr>
              </w:p>
            </w:tc>
            <w:tc>
              <w:tcPr>
                <w:tcW w:w="1994"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b930b521ee7d44c485fa175f84415f98"/>
                <w:id w:val="6775618"/>
                <w:lock w:val="sdtLocked"/>
              </w:sdtPr>
              <w:sdtContent>
                <w:tc>
                  <w:tcPr>
                    <w:tcW w:w="4928" w:type="dxa"/>
                    <w:shd w:val="clear" w:color="auto" w:fill="auto"/>
                    <w:vAlign w:val="center"/>
                  </w:tcPr>
                  <w:p>
                    <w:pPr>
                      <w:rPr>
                        <w:szCs w:val="21"/>
                      </w:rPr>
                    </w:pPr>
                    <w:r>
                      <w:rPr>
                        <w:rFonts w:hint="eastAsia"/>
                        <w:szCs w:val="21"/>
                      </w:rPr>
                      <w:t>　　拆放同业款项</w:t>
                    </w:r>
                  </w:p>
                </w:tc>
              </w:sdtContent>
            </w:sdt>
            <w:tc>
              <w:tcPr>
                <w:tcW w:w="2127" w:type="dxa"/>
                <w:shd w:val="clear" w:color="auto" w:fill="auto"/>
              </w:tcPr>
              <w:p>
                <w:pPr>
                  <w:jc w:val="right"/>
                  <w:rPr>
                    <w:szCs w:val="21"/>
                  </w:rPr>
                </w:pPr>
              </w:p>
            </w:tc>
            <w:tc>
              <w:tcPr>
                <w:tcW w:w="1994"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f00d7a66342f4877aaddfcaf2bb31e3d"/>
                <w:id w:val="6775619"/>
                <w:lock w:val="sdtLocked"/>
              </w:sdtPr>
              <w:sdtContent>
                <w:tc>
                  <w:tcPr>
                    <w:tcW w:w="4928" w:type="dxa"/>
                    <w:shd w:val="clear" w:color="auto" w:fill="auto"/>
                    <w:vAlign w:val="center"/>
                  </w:tcPr>
                  <w:p>
                    <w:pPr>
                      <w:rPr>
                        <w:szCs w:val="21"/>
                      </w:rPr>
                    </w:pPr>
                    <w:r>
                      <w:rPr>
                        <w:rFonts w:hint="eastAsia"/>
                        <w:szCs w:val="21"/>
                      </w:rPr>
                      <w:t>二、现金等价物</w:t>
                    </w:r>
                  </w:p>
                </w:tc>
              </w:sdtContent>
            </w:sdt>
            <w:tc>
              <w:tcPr>
                <w:tcW w:w="2127" w:type="dxa"/>
                <w:shd w:val="clear" w:color="auto" w:fill="auto"/>
              </w:tcPr>
              <w:p>
                <w:pPr>
                  <w:jc w:val="right"/>
                  <w:rPr>
                    <w:szCs w:val="21"/>
                  </w:rPr>
                </w:pPr>
              </w:p>
            </w:tc>
            <w:tc>
              <w:tcPr>
                <w:tcW w:w="1994" w:type="dxa"/>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16299fa18d31408093e302515df85929"/>
                <w:id w:val="6775620"/>
                <w:lock w:val="sdtLocked"/>
              </w:sdtPr>
              <w:sdtContent>
                <w:tc>
                  <w:tcPr>
                    <w:tcW w:w="4928" w:type="dxa"/>
                    <w:tcBorders>
                      <w:bottom w:val="single" w:color="auto" w:sz="4" w:space="0"/>
                    </w:tcBorders>
                    <w:shd w:val="clear" w:color="auto" w:fill="auto"/>
                    <w:vAlign w:val="center"/>
                  </w:tcPr>
                  <w:p>
                    <w:pPr>
                      <w:rPr>
                        <w:szCs w:val="21"/>
                      </w:rPr>
                    </w:pPr>
                    <w:r>
                      <w:rPr>
                        <w:rFonts w:hint="eastAsia"/>
                        <w:szCs w:val="21"/>
                      </w:rPr>
                      <w:t>其中：三个月内到期的债券投资</w:t>
                    </w:r>
                  </w:p>
                </w:tc>
              </w:sdtContent>
            </w:sdt>
            <w:tc>
              <w:tcPr>
                <w:tcW w:w="2127" w:type="dxa"/>
                <w:tcBorders>
                  <w:bottom w:val="single" w:color="auto" w:sz="4" w:space="0"/>
                </w:tcBorders>
                <w:shd w:val="clear" w:color="auto" w:fill="auto"/>
              </w:tcPr>
              <w:p>
                <w:pPr>
                  <w:jc w:val="right"/>
                  <w:rPr>
                    <w:szCs w:val="21"/>
                  </w:rPr>
                </w:pPr>
              </w:p>
            </w:tc>
            <w:tc>
              <w:tcPr>
                <w:tcW w:w="1994" w:type="dxa"/>
                <w:tcBorders>
                  <w:bottom w:val="single" w:color="auto" w:sz="4" w:space="0"/>
                </w:tcBorders>
                <w:shd w:val="clear" w:color="auto" w:fill="auto"/>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c0edd92776694605b840649582e6ae33"/>
                <w:id w:val="6775621"/>
                <w:lock w:val="sdtLocked"/>
              </w:sdtPr>
              <w:sdtContent>
                <w:tc>
                  <w:tcPr>
                    <w:tcW w:w="4928" w:type="dxa"/>
                    <w:shd w:val="clear" w:color="auto" w:fill="auto"/>
                    <w:vAlign w:val="center"/>
                  </w:tcPr>
                  <w:p>
                    <w:pPr>
                      <w:rPr>
                        <w:szCs w:val="21"/>
                      </w:rPr>
                    </w:pPr>
                    <w:r>
                      <w:rPr>
                        <w:rFonts w:hint="eastAsia"/>
                        <w:szCs w:val="21"/>
                      </w:rPr>
                      <w:t>三、期末现金及现金等价物余额</w:t>
                    </w:r>
                  </w:p>
                </w:tc>
              </w:sdtContent>
            </w:sdt>
            <w:tc>
              <w:tcPr>
                <w:tcW w:w="2127" w:type="dxa"/>
                <w:shd w:val="clear" w:color="auto" w:fill="auto"/>
              </w:tcPr>
              <w:p>
                <w:pPr>
                  <w:jc w:val="right"/>
                  <w:rPr>
                    <w:szCs w:val="21"/>
                  </w:rPr>
                </w:pPr>
                <w:r>
                  <w:t>2,837,018,033.86</w:t>
                </w:r>
              </w:p>
            </w:tc>
            <w:tc>
              <w:tcPr>
                <w:tcW w:w="1994" w:type="dxa"/>
                <w:shd w:val="clear" w:color="auto" w:fill="auto"/>
              </w:tcPr>
              <w:p>
                <w:pPr>
                  <w:jc w:val="right"/>
                  <w:rPr>
                    <w:szCs w:val="21"/>
                  </w:rPr>
                </w:pPr>
                <w:r>
                  <w:t>1,040,679,800.32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106c165f11654e62a63b02963df9683a"/>
                <w:id w:val="6775622"/>
                <w:lock w:val="sdtLocked"/>
              </w:sdtPr>
              <w:sdtContent>
                <w:tc>
                  <w:tcPr>
                    <w:tcW w:w="4928" w:type="dxa"/>
                    <w:shd w:val="clear" w:color="auto" w:fill="auto"/>
                    <w:vAlign w:val="center"/>
                  </w:tcPr>
                  <w:p>
                    <w:pPr>
                      <w:rPr>
                        <w:szCs w:val="21"/>
                      </w:rPr>
                    </w:pPr>
                    <w:r>
                      <w:rPr>
                        <w:rFonts w:hint="eastAsia"/>
                        <w:szCs w:val="21"/>
                      </w:rPr>
                      <w:t>其中：母公司或集团内子公司使用受限制的现金和现金等价物</w:t>
                    </w:r>
                  </w:p>
                </w:tc>
              </w:sdtContent>
            </w:sdt>
            <w:tc>
              <w:tcPr>
                <w:tcW w:w="2127" w:type="dxa"/>
                <w:shd w:val="clear" w:color="auto" w:fill="auto"/>
              </w:tcPr>
              <w:p>
                <w:pPr>
                  <w:jc w:val="right"/>
                  <w:rPr>
                    <w:szCs w:val="21"/>
                  </w:rPr>
                </w:pPr>
              </w:p>
            </w:tc>
            <w:tc>
              <w:tcPr>
                <w:tcW w:w="1994" w:type="dxa"/>
                <w:shd w:val="clear" w:color="auto" w:fill="auto"/>
              </w:tcPr>
              <w:p>
                <w:pPr>
                  <w:jc w:val="right"/>
                  <w:rPr>
                    <w:szCs w:val="21"/>
                  </w:rPr>
                </w:pPr>
              </w:p>
            </w:tc>
          </w:tr>
        </w:tbl>
        <w:p/>
        <w:p>
          <w:pPr>
            <w:spacing w:before="60" w:after="60"/>
            <w:rPr>
              <w:szCs w:val="21"/>
            </w:rPr>
          </w:pPr>
          <w:r>
            <w:rPr>
              <w:rFonts w:hint="eastAsia"/>
              <w:szCs w:val="21"/>
            </w:rPr>
            <w:t>其他说明：</w:t>
          </w:r>
        </w:p>
        <w:sdt>
          <w:sdtPr>
            <w:rPr>
              <w:szCs w:val="21"/>
            </w:rPr>
            <w:alias w:val="是否适用：现金流量表补充资料的说明[双击切换]"/>
            <w:tag w:val="_GBC_0ba0540309b143448acc872b3e211b1d"/>
            <w:id w:val="6775623"/>
            <w:lock w:val="sdtContentLocked"/>
            <w:placeholder>
              <w:docPart w:val="GBC22222222222222222222222222222"/>
            </w:placeholder>
          </w:sdtPr>
          <w:sdtEndPr>
            <w:rPr>
              <w:szCs w:val="21"/>
            </w:rPr>
          </w:sdtEndPr>
          <w:sdtContent>
            <w:p>
              <w:pPr>
                <w:spacing w:before="60" w:after="60"/>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sdt>
      <w:sdtPr>
        <w:rPr>
          <w:rFonts w:hint="eastAsia" w:ascii="宋体" w:hAnsi="宋体" w:cs="宋体"/>
          <w:b w:val="0"/>
          <w:bCs w:val="0"/>
          <w:kern w:val="0"/>
          <w:szCs w:val="21"/>
        </w:rPr>
        <w:alias w:val="模块:所有者权益变动表项目注释"/>
        <w:tag w:val="_SEC_cbb5e6d5041b434cbee55fb14e7590da"/>
        <w:id w:val="6775626"/>
        <w:lock w:val="sdtLocked"/>
        <w:placeholder>
          <w:docPart w:val="GBC22222222222222222222222222222"/>
        </w:placeholder>
      </w:sdtPr>
      <w:sdtEndPr>
        <w:rPr>
          <w:rFonts w:hint="default" w:ascii="宋体" w:hAnsi="宋体" w:cstheme="minorBidi"/>
          <w:b w:val="0"/>
          <w:bCs w:val="0"/>
          <w:color w:val="FF00FF"/>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所有者权益变动表项目注释</w:t>
          </w:r>
        </w:p>
        <w:p>
          <w:r>
            <w:rPr>
              <w:rFonts w:hint="eastAsia"/>
            </w:rPr>
            <w:t>说明对上年期末余额进行调整的“其他”项目名称及调整金额等事项：</w:t>
          </w:r>
        </w:p>
        <w:sdt>
          <w:sdtPr>
            <w:alias w:val="是否适用：所有者权益变动表项目注释[双击切换]"/>
            <w:tag w:val="_GBC_fca039532a374a3e9daa81c75d491b1f"/>
            <w:id w:val="6775625"/>
            <w:lock w:val="sdtContentLocked"/>
            <w:placeholder>
              <w:docPart w:val="GBC22222222222222222222222222222"/>
            </w:placeholder>
          </w:sdtPr>
          <w:sdtContent>
            <w:p>
              <w:pPr>
                <w:rPr>
                  <w:color w:val="FF00FF"/>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sdt>
      <w:sdtPr>
        <w:rPr>
          <w:rFonts w:hint="eastAsia" w:ascii="宋体" w:hAnsi="宋体" w:cs="宋体"/>
          <w:b w:val="0"/>
          <w:bCs w:val="0"/>
          <w:kern w:val="0"/>
          <w:szCs w:val="21"/>
        </w:rPr>
        <w:alias w:val="模块:所有权或使用权受到限制的资产"/>
        <w:tag w:val="_SEC_a24445b9d34342ec921f5b1164f97e32"/>
        <w:id w:val="6775639"/>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所有权或使用权受到限制的资产</w:t>
          </w:r>
        </w:p>
        <w:sdt>
          <w:sdtPr>
            <w:alias w:val="是否适用：所有权或使用权受到限制的资产[双击切换]"/>
            <w:tag w:val="_GBC_26afe690476a4ece916b86b9b0b7a553"/>
            <w:id w:val="677562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53"/>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所有权或使用权受到限制的资产"/>
              <w:tag w:val="_GBC_f85c8a9066d7492f92dd69fd15879505"/>
              <w:id w:val="67756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财务附注：所有权或使用权受到限制的资产"/>
              <w:tag w:val="_GBC_800db9e7b18c47a3878baf2b0e8cca41"/>
              <w:id w:val="67756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83"/>
            <w:tblW w:w="88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500"/>
            <w:gridCol w:w="1740"/>
            <w:gridCol w:w="56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8e15d7f2fa2e40b09c519ace5a37eb45"/>
                <w:id w:val="6775630"/>
                <w:lock w:val="sdtLocked"/>
              </w:sdtPr>
              <w:sdtContent>
                <w:tc>
                  <w:tcPr>
                    <w:tcW w:w="150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r>
                      <w:rPr>
                        <w:rFonts w:hint="eastAsia"/>
                        <w:szCs w:val="21"/>
                      </w:rPr>
                      <w:t>项目</w:t>
                    </w:r>
                  </w:p>
                </w:tc>
              </w:sdtContent>
            </w:sdt>
            <w:sdt>
              <w:sdtPr>
                <w:tag w:val="_PLD_39406572745d477dace6b9315235612b"/>
                <w:id w:val="6775631"/>
                <w:lock w:val="sdtLocked"/>
              </w:sdtPr>
              <w:sdtContent>
                <w:tc>
                  <w:tcPr>
                    <w:tcW w:w="174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r>
                      <w:rPr>
                        <w:rFonts w:hint="eastAsia"/>
                        <w:szCs w:val="21"/>
                      </w:rPr>
                      <w:t>期末账面价值</w:t>
                    </w:r>
                  </w:p>
                </w:tc>
              </w:sdtContent>
            </w:sdt>
            <w:sdt>
              <w:sdtPr>
                <w:tag w:val="_PLD_b1c34a0e07914de782ce840363400809"/>
                <w:id w:val="6775632"/>
                <w:lock w:val="sdtLocked"/>
              </w:sdtPr>
              <w:sdtContent>
                <w:tc>
                  <w:tcPr>
                    <w:tcW w:w="5653"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r>
                      <w:rPr>
                        <w:rFonts w:hint="eastAsia"/>
                        <w:szCs w:val="21"/>
                      </w:rPr>
                      <w:t>受限原因</w:t>
                    </w:r>
                  </w:p>
                </w:tc>
              </w:sdtContent>
            </w:sdt>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8d9b810b0c194597af8d2fbc843a7247"/>
                <w:id w:val="6775633"/>
                <w:lock w:val="sdtLocked"/>
              </w:sdtPr>
              <w:sdtContent>
                <w:tc>
                  <w:tcPr>
                    <w:tcW w:w="1500"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货币资金</w:t>
                    </w:r>
                  </w:p>
                </w:tc>
              </w:sdtContent>
            </w:sdt>
            <w:tc>
              <w:tcPr>
                <w:tcW w:w="1740"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277,623,343.41</w:t>
                </w:r>
              </w:p>
            </w:tc>
            <w:tc>
              <w:tcPr>
                <w:tcW w:w="5653"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t>信用证保证金、银行承兑汇票保证金、贷款保证金</w:t>
                </w:r>
                <w:r>
                  <w:rPr>
                    <w:rFonts w:hint="eastAsia"/>
                  </w:rPr>
                  <w:t>、贷款质押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108e1b416c0345f4b6718722de597f2c"/>
                <w:id w:val="6775634"/>
                <w:lock w:val="sdtLocked"/>
              </w:sdtPr>
              <w:sdtContent>
                <w:tc>
                  <w:tcPr>
                    <w:tcW w:w="1500"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应收票据</w:t>
                    </w:r>
                  </w:p>
                </w:tc>
              </w:sdtContent>
            </w:sdt>
            <w:tc>
              <w:tcPr>
                <w:tcW w:w="1740"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205,130,000.00</w:t>
                </w:r>
              </w:p>
            </w:tc>
            <w:tc>
              <w:tcPr>
                <w:tcW w:w="5653"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t>签发票据质押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384f5638eba249adb155b24f50299ffe"/>
                <w:id w:val="6775635"/>
                <w:lock w:val="sdtLocked"/>
              </w:sdtPr>
              <w:sdtContent>
                <w:tc>
                  <w:tcPr>
                    <w:tcW w:w="1500"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存货</w:t>
                    </w:r>
                  </w:p>
                </w:tc>
              </w:sdtContent>
            </w:sdt>
            <w:tc>
              <w:tcPr>
                <w:tcW w:w="1740"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p>
            </w:tc>
            <w:tc>
              <w:tcPr>
                <w:tcW w:w="5653"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d9b137ab4e154759b04bb85a4797c139"/>
                <w:id w:val="6775636"/>
                <w:lock w:val="sdtLocked"/>
              </w:sdtPr>
              <w:sdtContent>
                <w:tc>
                  <w:tcPr>
                    <w:tcW w:w="1500"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固定资产</w:t>
                    </w:r>
                  </w:p>
                </w:tc>
              </w:sdtContent>
            </w:sdt>
            <w:tc>
              <w:tcPr>
                <w:tcW w:w="1740"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690,404,562.60</w:t>
                </w:r>
              </w:p>
            </w:tc>
            <w:tc>
              <w:tcPr>
                <w:tcW w:w="5653"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t>借款抵押的固定资产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52eefbf51e7f49c0bef351c55c3b2a11"/>
                <w:id w:val="6775637"/>
                <w:lock w:val="sdtLocked"/>
              </w:sdtPr>
              <w:sdtContent>
                <w:tc>
                  <w:tcPr>
                    <w:tcW w:w="1500"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无形资产</w:t>
                    </w:r>
                  </w:p>
                </w:tc>
              </w:sdtContent>
            </w:sdt>
            <w:tc>
              <w:tcPr>
                <w:tcW w:w="1740"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p>
            </w:tc>
            <w:tc>
              <w:tcPr>
                <w:tcW w:w="5653" w:type="dxa"/>
                <w:tcBorders>
                  <w:top w:val="single" w:color="auto" w:sz="4" w:space="0"/>
                  <w:left w:val="single" w:color="auto" w:sz="4" w:space="0"/>
                  <w:bottom w:val="single" w:color="auto" w:sz="4" w:space="0"/>
                  <w:right w:val="single" w:color="auto" w:sz="4" w:space="0"/>
                </w:tcBorders>
                <w:shd w:val="clear" w:color="auto" w:fill="auto"/>
              </w:tcPr>
              <w:p>
                <w:pP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sdt>
              <w:sdtPr>
                <w:tag w:val="_PLD_8a052062314b43a69fadb5a5f0e07b21"/>
                <w:id w:val="6775638"/>
                <w:lock w:val="sdtLocked"/>
              </w:sdtPr>
              <w:sdtContent>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合计</w:t>
                    </w:r>
                  </w:p>
                </w:tc>
              </w:sdtContent>
            </w:sdt>
            <w:tc>
              <w:tcPr>
                <w:tcW w:w="1740" w:type="dxa"/>
                <w:tcBorders>
                  <w:top w:val="single" w:color="auto" w:sz="6" w:space="0"/>
                  <w:left w:val="single" w:color="auto" w:sz="4" w:space="0"/>
                  <w:bottom w:val="single" w:color="auto" w:sz="6" w:space="0"/>
                  <w:right w:val="single" w:color="auto" w:sz="4" w:space="0"/>
                </w:tcBorders>
                <w:shd w:val="clear" w:color="auto" w:fill="auto"/>
              </w:tcPr>
              <w:p>
                <w:pPr>
                  <w:jc w:val="right"/>
                  <w:rPr>
                    <w:szCs w:val="21"/>
                  </w:rPr>
                </w:pPr>
                <w:r>
                  <w:rPr>
                    <w:szCs w:val="21"/>
                  </w:rPr>
                  <w:t>1,173,157,906.01</w:t>
                </w:r>
              </w:p>
            </w:tc>
            <w:tc>
              <w:tcPr>
                <w:tcW w:w="5653" w:type="dxa"/>
                <w:tcBorders>
                  <w:top w:val="single" w:color="auto" w:sz="6" w:space="0"/>
                  <w:left w:val="single" w:color="auto" w:sz="4" w:space="0"/>
                  <w:bottom w:val="single" w:color="auto" w:sz="6" w:space="0"/>
                  <w:right w:val="single" w:color="auto" w:sz="4" w:space="0"/>
                </w:tcBorders>
                <w:shd w:val="clear" w:color="auto" w:fill="auto"/>
              </w:tcPr>
              <w:p>
                <w:pPr>
                  <w:jc w:val="center"/>
                  <w:rPr>
                    <w:szCs w:val="21"/>
                  </w:rPr>
                </w:pPr>
                <w:r>
                  <w:rPr>
                    <w:rFonts w:hint="eastAsia"/>
                    <w:szCs w:val="21"/>
                  </w:rPr>
                  <w:t>/</w:t>
                </w:r>
              </w:p>
            </w:tc>
          </w:tr>
        </w:tbl>
        <w:p/>
      </w:sdtContent>
    </w:sdt>
    <w:p>
      <w:pPr>
        <w:rPr>
          <w:szCs w:val="21"/>
        </w:rPr>
      </w:pPr>
    </w:p>
    <w:sdt>
      <w:sdtPr>
        <w:rPr>
          <w:rFonts w:hint="eastAsia" w:ascii="宋体" w:hAnsi="宋体" w:cs="宋体"/>
          <w:b w:val="0"/>
          <w:bCs w:val="0"/>
          <w:kern w:val="0"/>
          <w:szCs w:val="21"/>
        </w:rPr>
        <w:alias w:val="模块:外币货币性项目"/>
        <w:tag w:val="_SEC_d0d3f1cb74c546a2a03e13993b313207"/>
        <w:id w:val="6775653"/>
        <w:lock w:val="sdtLocked"/>
        <w:placeholder>
          <w:docPart w:val="GBC22222222222222222222222222222"/>
        </w:placeholder>
      </w:sdtPr>
      <w:sdtEndPr>
        <w:rPr>
          <w:rFonts w:hint="default" w:ascii="宋体" w:hAnsi="宋体" w:cs="宋体"/>
          <w:b w:val="0"/>
          <w:bCs w:val="0"/>
          <w:kern w:val="0"/>
          <w:szCs w:val="21"/>
        </w:rPr>
      </w:sdtEndPr>
      <w:sdtContent>
        <w:p>
          <w:pPr>
            <w:pStyle w:val="4"/>
            <w:numPr>
              <w:ilvl w:val="0"/>
              <w:numId w:val="66"/>
            </w:numPr>
            <w:tabs>
              <w:tab w:val="left" w:pos="504"/>
            </w:tabs>
            <w:rPr>
              <w:rFonts w:ascii="宋体" w:hAnsi="宋体"/>
              <w:szCs w:val="21"/>
            </w:rPr>
          </w:pPr>
          <w:r>
            <w:rPr>
              <w:rFonts w:hint="eastAsia" w:ascii="宋体" w:hAnsi="宋体"/>
              <w:szCs w:val="21"/>
            </w:rPr>
            <w:t>外币货币性项目</w:t>
          </w:r>
        </w:p>
        <w:p>
          <w:pPr>
            <w:pStyle w:val="53"/>
            <w:numPr>
              <w:ilvl w:val="0"/>
              <w:numId w:val="95"/>
            </w:numPr>
            <w:tabs>
              <w:tab w:val="left" w:pos="700"/>
            </w:tabs>
            <w:spacing w:before="60" w:after="60"/>
            <w:ind w:firstLineChars="0"/>
            <w:jc w:val="left"/>
            <w:rPr>
              <w:rFonts w:ascii="宋体" w:hAnsi="宋体"/>
              <w:szCs w:val="21"/>
            </w:rPr>
          </w:pPr>
          <w:r>
            <w:rPr>
              <w:rStyle w:val="45"/>
              <w:rFonts w:hint="eastAsia" w:ascii="宋体" w:hAnsi="宋体"/>
              <w:szCs w:val="21"/>
            </w:rPr>
            <w:t>外币货币性项目</w:t>
          </w:r>
          <w:r>
            <w:rPr>
              <w:rFonts w:hint="eastAsia" w:ascii="宋体" w:hAnsi="宋体"/>
              <w:szCs w:val="21"/>
            </w:rPr>
            <w:t>：</w:t>
          </w:r>
        </w:p>
        <w:sdt>
          <w:sdtPr>
            <w:alias w:val="是否适用：外币货币性项目[双击切换]"/>
            <w:tag w:val="_GBC_6b0f646811a94c228ba6be3453047191"/>
            <w:id w:val="677564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53"/>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外币货币性项目"/>
              <w:tag w:val="_GBC_43871b6586c8428c8da522abb267c528"/>
              <w:id w:val="677564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ascii="宋体" w:hAnsi="宋体"/>
                <w:szCs w:val="21"/>
              </w:rPr>
            </w:sdtEndPr>
            <w:sdtContent>
              <w:r>
                <w:rPr>
                  <w:rFonts w:hint="eastAsia" w:ascii="宋体" w:hAnsi="宋体"/>
                  <w:szCs w:val="21"/>
                </w:rPr>
                <w:t>元</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2049"/>
            <w:gridCol w:w="2058"/>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5c3516dfa974dea983fcf6d3a5e4272"/>
                <w:id w:val="6775642"/>
                <w:lock w:val="sdtLocked"/>
              </w:sdtPr>
              <w:sdtContent>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项目</w:t>
                    </w:r>
                  </w:p>
                </w:tc>
              </w:sdtContent>
            </w:sdt>
            <w:sdt>
              <w:sdtPr>
                <w:tag w:val="_PLD_c677b8fd217342e7b28e98a1c8e497e9"/>
                <w:id w:val="6775643"/>
                <w:lock w:val="sdtLocked"/>
              </w:sdtPr>
              <w:sdtContent>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期末外币余额</w:t>
                    </w:r>
                  </w:p>
                </w:tc>
              </w:sdtContent>
            </w:sdt>
            <w:sdt>
              <w:sdtPr>
                <w:tag w:val="_PLD_e0e88022a2754ae991eb4bb1a9caae4f"/>
                <w:id w:val="6775644"/>
                <w:lock w:val="sdtLocked"/>
              </w:sdtPr>
              <w:sdtContent>
                <w:tc>
                  <w:tcPr>
                    <w:tcW w:w="20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折算汇率</w:t>
                    </w:r>
                  </w:p>
                </w:tc>
              </w:sdtContent>
            </w:sdt>
            <w:sdt>
              <w:sdtPr>
                <w:tag w:val="_PLD_a1542d7b69a444ef9e91ceaf4a96f49d"/>
                <w:id w:val="6775645"/>
                <w:lock w:val="sdtLocked"/>
              </w:sdtPr>
              <w:sdtContent>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期末折算人民币</w:t>
                    </w:r>
                  </w:p>
                  <w:p>
                    <w:pPr>
                      <w:jc w:val="center"/>
                      <w:rPr>
                        <w:szCs w:val="21"/>
                      </w:rPr>
                    </w:pPr>
                    <w:r>
                      <w:rPr>
                        <w:rFonts w:hint="eastAsia"/>
                        <w:szCs w:val="21"/>
                      </w:rPr>
                      <w:t>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e97f59cd1684fd38b25a768240ef4c6"/>
                <w:id w:val="6775646"/>
                <w:lock w:val="sdtLocked"/>
              </w:sdtPr>
              <w:sdtContent>
                <w:tc>
                  <w:tcPr>
                    <w:tcW w:w="2897"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货币资金</w:t>
                    </w:r>
                  </w:p>
                </w:tc>
              </w:sdtContent>
            </w:sdt>
            <w:tc>
              <w:tcPr>
                <w:tcW w:w="2049"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10,802,346.47</w:t>
                </w:r>
              </w:p>
            </w:tc>
            <w:tc>
              <w:tcPr>
                <w:tcW w:w="2058"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6.5342</w:t>
                </w:r>
              </w:p>
            </w:tc>
            <w:tc>
              <w:tcPr>
                <w:tcW w:w="2045"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70,584,692.31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7b492a1a9364861a71348fa27dc8e96"/>
                <w:id w:val="6775647"/>
                <w:lock w:val="sdtLocked"/>
              </w:sdtPr>
              <w:sdtContent>
                <w:tc>
                  <w:tcPr>
                    <w:tcW w:w="2897"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其中：美元</w:t>
                    </w:r>
                  </w:p>
                </w:tc>
              </w:sdtContent>
            </w:sdt>
            <w:tc>
              <w:tcPr>
                <w:tcW w:w="2049"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10,802,346.47</w:t>
                </w:r>
              </w:p>
            </w:tc>
            <w:tc>
              <w:tcPr>
                <w:tcW w:w="2058"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6.5342</w:t>
                </w:r>
              </w:p>
            </w:tc>
            <w:tc>
              <w:tcPr>
                <w:tcW w:w="2045"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70,584,692.31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62a5b03c4ca430d9c50aea73bbaf780"/>
                <w:id w:val="6775648"/>
                <w:lock w:val="sdtLocked"/>
              </w:sdtPr>
              <w:sdtContent>
                <w:tc>
                  <w:tcPr>
                    <w:tcW w:w="2897"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应收账款</w:t>
                    </w:r>
                  </w:p>
                </w:tc>
              </w:sdtContent>
            </w:sdt>
            <w:tc>
              <w:tcPr>
                <w:tcW w:w="2049"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360,943,332.45</w:t>
                </w:r>
              </w:p>
            </w:tc>
            <w:tc>
              <w:tcPr>
                <w:tcW w:w="2058"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6.5342</w:t>
                </w:r>
              </w:p>
            </w:tc>
            <w:tc>
              <w:tcPr>
                <w:tcW w:w="2045"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2,358,475,922.89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1345709b5e14a11b98ae77beb4c2c78"/>
                <w:id w:val="6775649"/>
                <w:lock w:val="sdtLocked"/>
              </w:sdtPr>
              <w:sdtContent>
                <w:tc>
                  <w:tcPr>
                    <w:tcW w:w="2897"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其中：美元</w:t>
                    </w:r>
                  </w:p>
                </w:tc>
              </w:sdtContent>
            </w:sdt>
            <w:tc>
              <w:tcPr>
                <w:tcW w:w="2049"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360,943,332.45</w:t>
                </w:r>
              </w:p>
            </w:tc>
            <w:tc>
              <w:tcPr>
                <w:tcW w:w="2058"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6.5342</w:t>
                </w:r>
              </w:p>
            </w:tc>
            <w:tc>
              <w:tcPr>
                <w:tcW w:w="2045"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2,358,475,922.89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e6da896f9434f1d87333115c17e71a5"/>
                <w:id w:val="6775650"/>
                <w:lock w:val="sdtLocked"/>
              </w:sdtPr>
              <w:sdtContent>
                <w:tc>
                  <w:tcPr>
                    <w:tcW w:w="2897"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长期借款</w:t>
                    </w:r>
                  </w:p>
                </w:tc>
              </w:sdtContent>
            </w:sdt>
            <w:tc>
              <w:tcPr>
                <w:tcW w:w="2049"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44,000,000.00</w:t>
                </w:r>
              </w:p>
            </w:tc>
            <w:tc>
              <w:tcPr>
                <w:tcW w:w="2058"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6.5342</w:t>
                </w:r>
              </w:p>
            </w:tc>
            <w:tc>
              <w:tcPr>
                <w:tcW w:w="2045"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287,504,800.00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8803aaa3c534ed08fbf89642739a61f"/>
                <w:id w:val="6775651"/>
                <w:lock w:val="sdtLocked"/>
              </w:sdtPr>
              <w:sdtContent>
                <w:tc>
                  <w:tcPr>
                    <w:tcW w:w="2897"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szCs w:val="21"/>
                      </w:rPr>
                      <w:t>其中：美元</w:t>
                    </w:r>
                  </w:p>
                </w:tc>
              </w:sdtContent>
            </w:sdt>
            <w:tc>
              <w:tcPr>
                <w:tcW w:w="2049"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44,000,000.00</w:t>
                </w:r>
              </w:p>
            </w:tc>
            <w:tc>
              <w:tcPr>
                <w:tcW w:w="2058"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6.5342</w:t>
                </w:r>
              </w:p>
            </w:tc>
            <w:tc>
              <w:tcPr>
                <w:tcW w:w="2045" w:type="dxa"/>
                <w:tcBorders>
                  <w:top w:val="single" w:color="auto" w:sz="4" w:space="0"/>
                  <w:left w:val="single" w:color="auto" w:sz="4" w:space="0"/>
                  <w:bottom w:val="single" w:color="auto" w:sz="4" w:space="0"/>
                  <w:right w:val="single" w:color="auto" w:sz="4" w:space="0"/>
                </w:tcBorders>
                <w:shd w:val="clear" w:color="auto" w:fill="auto"/>
              </w:tcPr>
              <w:p>
                <w:pPr>
                  <w:jc w:val="right"/>
                  <w:rPr>
                    <w:szCs w:val="21"/>
                  </w:rPr>
                </w:pPr>
                <w:r>
                  <w:t>287,504,800.00</w:t>
                </w:r>
              </w:p>
            </w:tc>
          </w:tr>
        </w:tbl>
        <w:p/>
        <w:p>
          <w:pPr>
            <w:pStyle w:val="53"/>
            <w:numPr>
              <w:ilvl w:val="0"/>
              <w:numId w:val="95"/>
            </w:numPr>
            <w:tabs>
              <w:tab w:val="left" w:pos="700"/>
            </w:tabs>
            <w:spacing w:before="60" w:after="60"/>
            <w:ind w:firstLineChars="0"/>
            <w:jc w:val="left"/>
            <w:rPr>
              <w:b/>
              <w:szCs w:val="21"/>
            </w:rPr>
          </w:pPr>
          <w:r>
            <w:rPr>
              <w:rStyle w:val="45"/>
              <w:rFonts w:hint="eastAsia" w:ascii="宋体" w:hAnsi="宋体"/>
              <w:szCs w:val="21"/>
            </w:rPr>
            <w:t>境外</w:t>
          </w:r>
          <w:r>
            <w:rPr>
              <w:rFonts w:hint="eastAsia"/>
              <w:b/>
              <w:szCs w:val="21"/>
            </w:rPr>
            <w:t>经营实体说明，包括对于重要的境外经营实体，应披露其境外主要经营地、记账本位币及选择依据，记账本位币发生变化的还应披露原因。</w:t>
          </w:r>
        </w:p>
        <w:p>
          <w:pPr>
            <w:rPr>
              <w:szCs w:val="21"/>
            </w:rPr>
          </w:pPr>
          <w:sdt>
            <w:sdtPr>
              <w:rPr>
                <w:szCs w:val="21"/>
              </w:rPr>
              <w:alias w:val="是否适用：境外经营实体主要报表项目的折算汇率[双击切换]"/>
              <w:tag w:val="_GBC_c433d39e245c4fb79cd5170717bb5b9c"/>
              <w:id w:val="6775652"/>
              <w:lock w:val="sdtContentLocked"/>
              <w:placeholder>
                <w:docPart w:val="GBC22222222222222222222222222222"/>
              </w:placeholder>
            </w:sdtPr>
            <w:sdtEndPr>
              <w:rPr>
                <w:szCs w:val="21"/>
              </w:rPr>
            </w:sdtEnd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Content>
    </w:sdt>
    <w:p/>
    <w:sdt>
      <w:sdtPr>
        <w:rPr>
          <w:rFonts w:hint="eastAsia" w:ascii="宋体" w:hAnsi="宋体" w:cs="宋体"/>
          <w:b w:val="0"/>
          <w:bCs w:val="0"/>
          <w:kern w:val="0"/>
          <w:szCs w:val="24"/>
        </w:rPr>
        <w:alias w:val="模块:按照套期类别披露套期及相关套期工具、被套期风险的相关的定性定"/>
        <w:tag w:val="_SEC_72e212d6db4945c88ff1963281a9b51a"/>
        <w:id w:val="6775655"/>
        <w:lock w:val="sdtLocked"/>
        <w:placeholder>
          <w:docPart w:val="GBC22222222222222222222222222222"/>
        </w:placeholder>
      </w:sdtPr>
      <w:sdtEndPr>
        <w:rPr>
          <w:rFonts w:hint="default" w:ascii="宋体" w:hAnsi="宋体" w:cs="宋体"/>
          <w:b w:val="0"/>
          <w:bCs w:val="0"/>
          <w:kern w:val="0"/>
          <w:szCs w:val="24"/>
        </w:rPr>
      </w:sdtEndPr>
      <w:sdtContent>
        <w:p>
          <w:pPr>
            <w:pStyle w:val="4"/>
            <w:numPr>
              <w:ilvl w:val="0"/>
              <w:numId w:val="66"/>
            </w:numPr>
            <w:tabs>
              <w:tab w:val="left" w:pos="504"/>
            </w:tabs>
            <w:rPr>
              <w:rFonts w:ascii="宋体" w:hAnsi="宋体" w:cs="宋体"/>
              <w:bCs w:val="0"/>
              <w:kern w:val="0"/>
              <w:szCs w:val="24"/>
            </w:rPr>
          </w:pPr>
          <w:r>
            <w:rPr>
              <w:rFonts w:hint="eastAsia" w:ascii="宋体" w:hAnsi="宋体" w:cs="宋体"/>
              <w:bCs w:val="0"/>
              <w:kern w:val="0"/>
              <w:szCs w:val="24"/>
            </w:rPr>
            <w:t>套期</w:t>
          </w:r>
        </w:p>
        <w:sdt>
          <w:sdtPr>
            <w:alias w:val="是否适用：套期[双击切换]"/>
            <w:tag w:val="_GBC_aa9bb623100a43a8a9b0ae0e8ec54c45"/>
            <w:id w:val="677565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sdtContent>
    </w:sdt>
    <w:p/>
    <w:sdt>
      <w:sdtPr>
        <w:rPr>
          <w:rFonts w:hint="eastAsia" w:ascii="宋体" w:hAnsi="宋体" w:cs="宋体"/>
          <w:b w:val="0"/>
          <w:bCs w:val="0"/>
          <w:kern w:val="0"/>
          <w:szCs w:val="24"/>
        </w:rPr>
        <w:alias w:val="模块:政府补助"/>
        <w:tag w:val="_SEC_669a56494e84421f926c6125ba0e65ac"/>
        <w:id w:val="6775667"/>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66"/>
            </w:numPr>
            <w:tabs>
              <w:tab w:val="left" w:pos="504"/>
            </w:tabs>
          </w:pPr>
          <w:r>
            <w:rPr>
              <w:rFonts w:hint="eastAsia"/>
            </w:rPr>
            <w:t>政府</w:t>
          </w:r>
          <w:r>
            <w:rPr>
              <w:rFonts w:hint="eastAsia" w:ascii="宋体" w:hAnsi="宋体" w:cs="宋体"/>
              <w:bCs w:val="0"/>
              <w:kern w:val="0"/>
              <w:szCs w:val="24"/>
            </w:rPr>
            <w:t>补助</w:t>
          </w:r>
        </w:p>
        <w:p>
          <w:pPr>
            <w:pStyle w:val="5"/>
            <w:numPr>
              <w:ilvl w:val="0"/>
              <w:numId w:val="96"/>
            </w:numPr>
          </w:pPr>
          <w:r>
            <w:rPr>
              <w:rFonts w:hint="eastAsia"/>
            </w:rPr>
            <w:t>政府补助基本情况</w:t>
          </w:r>
        </w:p>
        <w:sdt>
          <w:sdtPr>
            <w:rPr>
              <w:rFonts w:hint="eastAsia"/>
            </w:rPr>
            <w:alias w:val="是否适用：政府补助基本情况[双击切换]"/>
            <w:tag w:val="_GBC_0af23294955343baa3cf9e74bb5fbc5f"/>
            <w:id w:val="6775656"/>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政府补助基本情况"/>
              <w:tag w:val="_GBC_e31b6dbc6f104b2ba8abf9998c29695d"/>
              <w:id w:val="677565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政府补助基本情况"/>
              <w:tag w:val="_GBC_4208cf1026524a7faa3e31899b78fcc1"/>
              <w:id w:val="6775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723"/>
            <w:gridCol w:w="2262"/>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8115dbe9c9b4fd7abdfac509feb0a93"/>
                <w:id w:val="111862597"/>
                <w:lock w:val="sdtLocked"/>
              </w:sdtPr>
              <w:sdtContent>
                <w:tc>
                  <w:tcPr>
                    <w:tcW w:w="2802" w:type="dxa"/>
                    <w:vAlign w:val="center"/>
                  </w:tcPr>
                  <w:p>
                    <w:pPr>
                      <w:widowControl w:val="0"/>
                      <w:jc w:val="center"/>
                    </w:pPr>
                    <w:r>
                      <w:rPr>
                        <w:rFonts w:hint="eastAsia"/>
                      </w:rPr>
                      <w:t>种类</w:t>
                    </w:r>
                  </w:p>
                </w:tc>
              </w:sdtContent>
            </w:sdt>
            <w:sdt>
              <w:sdtPr>
                <w:tag w:val="_PLD_003bb4a7406e4ebcbcd1bda75515fa03"/>
                <w:id w:val="806824829"/>
                <w:lock w:val="sdtLocked"/>
              </w:sdtPr>
              <w:sdtContent>
                <w:tc>
                  <w:tcPr>
                    <w:tcW w:w="1723" w:type="dxa"/>
                    <w:vAlign w:val="center"/>
                  </w:tcPr>
                  <w:p>
                    <w:pPr>
                      <w:widowControl w:val="0"/>
                      <w:jc w:val="center"/>
                    </w:pPr>
                    <w:r>
                      <w:rPr>
                        <w:rFonts w:hint="eastAsia"/>
                      </w:rPr>
                      <w:t>金额</w:t>
                    </w:r>
                  </w:p>
                </w:tc>
              </w:sdtContent>
            </w:sdt>
            <w:sdt>
              <w:sdtPr>
                <w:tag w:val="_PLD_d93dc6881e554c3f98366bc61145c084"/>
                <w:id w:val="-1575810303"/>
                <w:lock w:val="sdtLocked"/>
              </w:sdtPr>
              <w:sdtContent>
                <w:tc>
                  <w:tcPr>
                    <w:tcW w:w="2262" w:type="dxa"/>
                    <w:vAlign w:val="center"/>
                  </w:tcPr>
                  <w:p>
                    <w:pPr>
                      <w:widowControl w:val="0"/>
                      <w:jc w:val="center"/>
                    </w:pPr>
                    <w:r>
                      <w:rPr>
                        <w:rFonts w:hint="eastAsia"/>
                      </w:rPr>
                      <w:t>列报项目</w:t>
                    </w:r>
                  </w:p>
                </w:tc>
              </w:sdtContent>
            </w:sdt>
            <w:sdt>
              <w:sdtPr>
                <w:tag w:val="_PLD_7c352bbb98334663a844a1fb2c591efb"/>
                <w:id w:val="1773355559"/>
                <w:lock w:val="sdtLocked"/>
              </w:sdtPr>
              <w:sdtContent>
                <w:tc>
                  <w:tcPr>
                    <w:tcW w:w="2262" w:type="dxa"/>
                    <w:vAlign w:val="center"/>
                  </w:tcPr>
                  <w:p>
                    <w:pPr>
                      <w:widowControl w:val="0"/>
                      <w:jc w:val="center"/>
                    </w:pPr>
                    <w:r>
                      <w:rPr>
                        <w:rFonts w:hint="eastAsia"/>
                      </w:rPr>
                      <w:t>计入当期损益的金额</w:t>
                    </w:r>
                  </w:p>
                </w:tc>
              </w:sdtContent>
            </w:sdt>
          </w:tr>
          <w:sdt>
            <w:sdtPr>
              <w:rPr>
                <w:rFonts w:hint="eastAsia" w:asciiTheme="minorHAnsi" w:hAnsiTheme="minorHAnsi" w:eastAsiaTheme="minorEastAsia" w:cstheme="minorBidi"/>
                <w:kern w:val="2"/>
                <w:szCs w:val="22"/>
              </w:rPr>
              <w:alias w:val="政府补助基本情况明细"/>
              <w:tag w:val="_TUP_eb738049c01c47fb8763dfc6db35b318"/>
              <w:id w:val="813141294"/>
              <w:lock w:val="sdtLocked"/>
            </w:sdtPr>
            <w:sdtEndPr>
              <w:rPr>
                <w:rFonts w:hint="eastAsia" w:asciiTheme="minorHAnsi" w:hAnsiTheme="minorHAnsi" w:eastAsiaTheme="minorEastAsia" w:cstheme="minorBidi"/>
                <w:color w:val="000000" w:themeColor="text1"/>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widowControl w:val="0"/>
                      <w:jc w:val="both"/>
                    </w:pPr>
                    <w:r>
                      <w:t>与收益相关的政府补助</w:t>
                    </w:r>
                  </w:p>
                </w:tc>
                <w:tc>
                  <w:tcPr>
                    <w:tcW w:w="1723" w:type="dxa"/>
                  </w:tcPr>
                  <w:p>
                    <w:pPr>
                      <w:widowControl w:val="0"/>
                      <w:jc w:val="right"/>
                    </w:pPr>
                    <w:r>
                      <w:t>27,205,820.36</w:t>
                    </w:r>
                  </w:p>
                </w:tc>
                <w:tc>
                  <w:tcPr>
                    <w:tcW w:w="2262" w:type="dxa"/>
                  </w:tcPr>
                  <w:p>
                    <w:pPr>
                      <w:widowControl w:val="0"/>
                      <w:jc w:val="both"/>
                    </w:pPr>
                    <w:r>
                      <w:t>其他收益</w:t>
                    </w:r>
                  </w:p>
                </w:tc>
                <w:tc>
                  <w:tcPr>
                    <w:tcW w:w="2262" w:type="dxa"/>
                  </w:tcPr>
                  <w:p>
                    <w:pPr>
                      <w:widowControl w:val="0"/>
                      <w:jc w:val="right"/>
                      <w:rPr>
                        <w:color w:val="000000" w:themeColor="text1"/>
                      </w:rPr>
                    </w:pPr>
                    <w:r>
                      <w:rPr>
                        <w:color w:val="000000" w:themeColor="text1"/>
                      </w:rPr>
                      <w:t>27,205,820.36</w:t>
                    </w:r>
                  </w:p>
                </w:tc>
              </w:tr>
            </w:sdtContent>
          </w:sdt>
          <w:sdt>
            <w:sdtPr>
              <w:rPr>
                <w:rFonts w:hint="eastAsia" w:asciiTheme="minorHAnsi" w:hAnsiTheme="minorHAnsi" w:eastAsiaTheme="minorEastAsia" w:cstheme="minorBidi"/>
                <w:kern w:val="2"/>
                <w:szCs w:val="22"/>
              </w:rPr>
              <w:alias w:val="政府补助基本情况明细"/>
              <w:tag w:val="_TUP_eb738049c01c47fb8763dfc6db35b318"/>
              <w:id w:val="1844354836"/>
              <w:lock w:val="sdtLocked"/>
            </w:sdtPr>
            <w:sdtEndPr>
              <w:rPr>
                <w:rFonts w:hint="eastAsia" w:asciiTheme="minorHAnsi" w:hAnsiTheme="minorHAnsi" w:eastAsiaTheme="minorEastAsia" w:cstheme="minorBidi"/>
                <w:color w:val="000000" w:themeColor="text1"/>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widowControl w:val="0"/>
                      <w:jc w:val="both"/>
                    </w:pPr>
                    <w:r>
                      <w:t>与资产相关的政府补助</w:t>
                    </w:r>
                  </w:p>
                </w:tc>
                <w:tc>
                  <w:tcPr>
                    <w:tcW w:w="1723" w:type="dxa"/>
                  </w:tcPr>
                  <w:p>
                    <w:pPr>
                      <w:widowControl w:val="0"/>
                      <w:jc w:val="right"/>
                    </w:pPr>
                    <w:r>
                      <w:t>6,391,737.60</w:t>
                    </w:r>
                  </w:p>
                </w:tc>
                <w:tc>
                  <w:tcPr>
                    <w:tcW w:w="2262" w:type="dxa"/>
                  </w:tcPr>
                  <w:p>
                    <w:pPr>
                      <w:widowControl w:val="0"/>
                      <w:jc w:val="both"/>
                    </w:pPr>
                    <w:r>
                      <w:t>其他收益</w:t>
                    </w:r>
                  </w:p>
                </w:tc>
                <w:tc>
                  <w:tcPr>
                    <w:tcW w:w="2262" w:type="dxa"/>
                  </w:tcPr>
                  <w:p>
                    <w:pPr>
                      <w:widowControl w:val="0"/>
                      <w:jc w:val="right"/>
                      <w:rPr>
                        <w:color w:val="000000" w:themeColor="text1"/>
                      </w:rPr>
                    </w:pPr>
                    <w:r>
                      <w:rPr>
                        <w:color w:val="000000" w:themeColor="text1"/>
                      </w:rPr>
                      <w:t>6,391,737.6</w:t>
                    </w:r>
                  </w:p>
                </w:tc>
              </w:tr>
            </w:sdtContent>
          </w:sdt>
          <w:sdt>
            <w:sdtPr>
              <w:rPr>
                <w:rFonts w:hint="eastAsia" w:asciiTheme="minorHAnsi" w:hAnsiTheme="minorHAnsi" w:eastAsiaTheme="minorEastAsia" w:cstheme="minorBidi"/>
                <w:kern w:val="2"/>
                <w:szCs w:val="22"/>
              </w:rPr>
              <w:alias w:val="政府补助基本情况明细"/>
              <w:tag w:val="_TUP_eb738049c01c47fb8763dfc6db35b318"/>
              <w:id w:val="280926130"/>
              <w:lock w:val="sdtLocked"/>
            </w:sdtPr>
            <w:sdtEndPr>
              <w:rPr>
                <w:rFonts w:hint="eastAsia" w:asciiTheme="minorHAnsi" w:hAnsiTheme="minorHAnsi" w:eastAsiaTheme="minorEastAsia" w:cstheme="minorBidi"/>
                <w:color w:val="000000" w:themeColor="text1"/>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widowControl w:val="0"/>
                      <w:jc w:val="both"/>
                    </w:pPr>
                    <w:r>
                      <w:t>与收益相关的政府补助</w:t>
                    </w:r>
                  </w:p>
                </w:tc>
                <w:tc>
                  <w:tcPr>
                    <w:tcW w:w="1723" w:type="dxa"/>
                  </w:tcPr>
                  <w:p>
                    <w:pPr>
                      <w:widowControl w:val="0"/>
                      <w:jc w:val="right"/>
                    </w:pPr>
                    <w:r>
                      <w:t>1,025,665.00</w:t>
                    </w:r>
                  </w:p>
                </w:tc>
                <w:tc>
                  <w:tcPr>
                    <w:tcW w:w="2262" w:type="dxa"/>
                  </w:tcPr>
                  <w:p>
                    <w:pPr>
                      <w:widowControl w:val="0"/>
                      <w:jc w:val="both"/>
                    </w:pPr>
                    <w:r>
                      <w:rPr>
                        <w:rFonts w:hint="eastAsia"/>
                      </w:rPr>
                      <w:t>营业外收入</w:t>
                    </w:r>
                  </w:p>
                </w:tc>
                <w:tc>
                  <w:tcPr>
                    <w:tcW w:w="2262" w:type="dxa"/>
                  </w:tcPr>
                  <w:p>
                    <w:pPr>
                      <w:widowControl w:val="0"/>
                      <w:jc w:val="right"/>
                      <w:rPr>
                        <w:color w:val="000000" w:themeColor="text1"/>
                      </w:rPr>
                    </w:pPr>
                    <w:r>
                      <w:rPr>
                        <w:color w:val="000000" w:themeColor="text1"/>
                      </w:rPr>
                      <w:t>1,025,665</w:t>
                    </w:r>
                    <w:r>
                      <w:rPr>
                        <w:rFonts w:hint="eastAsia"/>
                        <w:color w:val="000000" w:themeColor="text1"/>
                      </w:rPr>
                      <w:t>.00</w:t>
                    </w:r>
                  </w:p>
                </w:tc>
              </w:tr>
            </w:sdtContent>
          </w:sdt>
        </w:tbl>
        <w:p/>
        <w:p>
          <w:pPr>
            <w:pStyle w:val="5"/>
            <w:numPr>
              <w:ilvl w:val="0"/>
              <w:numId w:val="96"/>
            </w:numPr>
          </w:pPr>
          <w:r>
            <w:rPr>
              <w:rFonts w:hint="eastAsia"/>
            </w:rPr>
            <w:t>政府补助退回情况</w:t>
          </w:r>
        </w:p>
        <w:sdt>
          <w:sdtPr>
            <w:alias w:val="是否适用：政府补助退回情况[双击切换]"/>
            <w:tag w:val="_GBC_7c3f98d411764656a5dc808f8f86a06f"/>
            <w:id w:val="677566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sdt>
      <w:sdtPr>
        <w:rPr>
          <w:rFonts w:ascii="宋体" w:hAnsi="宋体" w:cs="宋体"/>
          <w:b w:val="0"/>
          <w:bCs w:val="0"/>
          <w:kern w:val="0"/>
          <w:szCs w:val="24"/>
        </w:rPr>
        <w:alias w:val="模块:合并财务报表项目注释其他需要说明的事项"/>
        <w:tag w:val="_SEC_c84db925a3024ae68b5f3a3d1775752e"/>
        <w:id w:val="6775669"/>
        <w:lock w:val="sdtLocked"/>
        <w:placeholder>
          <w:docPart w:val="GBC22222222222222222222222222222"/>
        </w:placeholder>
      </w:sdtPr>
      <w:sdtEndPr>
        <w:rPr>
          <w:rFonts w:ascii="宋体" w:hAnsi="宋体" w:cs="宋体"/>
          <w:b w:val="0"/>
          <w:bCs w:val="0"/>
          <w:kern w:val="0"/>
          <w:szCs w:val="24"/>
        </w:rPr>
      </w:sdtEndPr>
      <w:sdtContent>
        <w:p>
          <w:pPr>
            <w:pStyle w:val="4"/>
            <w:numPr>
              <w:ilvl w:val="0"/>
              <w:numId w:val="66"/>
            </w:numPr>
            <w:tabs>
              <w:tab w:val="left" w:pos="504"/>
            </w:tabs>
          </w:pPr>
          <w:r>
            <w:rPr>
              <w:rFonts w:hint="eastAsia"/>
            </w:rPr>
            <w:t>其他</w:t>
          </w:r>
        </w:p>
        <w:sdt>
          <w:sdtPr>
            <w:alias w:val="是否适用：合并财务报表项目注释其他需要说明的事项[双击切换]"/>
            <w:tag w:val="_GBC_67815da71293483fad0e823098235edb"/>
            <w:id w:val="677566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p>
      <w:pPr>
        <w:pStyle w:val="3"/>
        <w:numPr>
          <w:ilvl w:val="0"/>
          <w:numId w:val="54"/>
        </w:numPr>
      </w:pPr>
      <w:r>
        <w:rPr>
          <w:rFonts w:hint="eastAsia"/>
        </w:rPr>
        <w:t>合并范围的变更</w:t>
      </w:r>
    </w:p>
    <w:p>
      <w:pPr>
        <w:pStyle w:val="4"/>
        <w:numPr>
          <w:ilvl w:val="0"/>
          <w:numId w:val="97"/>
        </w:numPr>
        <w:rPr>
          <w:rFonts w:ascii="宋体" w:hAnsi="宋体" w:cs="Arial"/>
          <w:szCs w:val="21"/>
        </w:rPr>
      </w:pPr>
      <w:r>
        <w:rPr>
          <w:rFonts w:hint="eastAsia" w:ascii="宋体" w:hAnsi="宋体" w:cs="Arial"/>
          <w:szCs w:val="21"/>
        </w:rPr>
        <w:t>非同一控制下企业合并</w:t>
      </w:r>
    </w:p>
    <w:sdt>
      <w:sdtPr>
        <w:alias w:val="是否适用：非同一控制下企业合并[双击切换]"/>
        <w:tag w:val="_GBC_f305adddf4654659bd28ceedc072aa05"/>
        <w:id w:val="6775670"/>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p>
      <w:pPr>
        <w:pStyle w:val="4"/>
        <w:numPr>
          <w:ilvl w:val="0"/>
          <w:numId w:val="97"/>
        </w:numPr>
        <w:rPr>
          <w:rFonts w:ascii="宋体" w:hAnsi="宋体" w:cs="Arial"/>
          <w:szCs w:val="21"/>
        </w:rPr>
      </w:pPr>
      <w:r>
        <w:rPr>
          <w:rFonts w:hint="eastAsia" w:ascii="宋体" w:hAnsi="宋体" w:cs="Arial"/>
          <w:szCs w:val="21"/>
        </w:rPr>
        <w:t>同一控制下企业合并</w:t>
      </w:r>
    </w:p>
    <w:sdt>
      <w:sdtPr>
        <w:alias w:val="是否适用：同一控制下企业合并[双击切换]"/>
        <w:tag w:val="_GBC_698d1a451f094ec0bf9c3a278d26a0d3"/>
        <w:id w:val="6775671"/>
        <w:lock w:val="sdtContentLocked"/>
        <w:placeholder>
          <w:docPart w:val="GBC22222222222222222222222222222"/>
        </w:placeholder>
      </w:sdtPr>
      <w:sdtContent>
        <w:p>
          <w:pPr>
            <w:rPr>
              <w:rFonts w:cs="Arial"/>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rFonts w:cs="Arial"/>
          <w:szCs w:val="21"/>
        </w:rPr>
      </w:pPr>
    </w:p>
    <w:p>
      <w:pPr>
        <w:rPr>
          <w:szCs w:val="21"/>
        </w:rPr>
      </w:pPr>
    </w:p>
    <w:sdt>
      <w:sdtPr>
        <w:rPr>
          <w:rFonts w:hint="eastAsia" w:ascii="宋体" w:hAnsi="宋体" w:cs="Arial"/>
          <w:b w:val="0"/>
          <w:bCs w:val="0"/>
          <w:kern w:val="0"/>
          <w:szCs w:val="21"/>
        </w:rPr>
        <w:alias w:val="模块:反向购买"/>
        <w:tag w:val="_SEC_612fd89e631e4e869313fae62c4eb055"/>
        <w:id w:val="6775673"/>
        <w:lock w:val="sdtLocked"/>
        <w:placeholder>
          <w:docPart w:val="GBC22222222222222222222222222222"/>
        </w:placeholder>
      </w:sdtPr>
      <w:sdtEndPr>
        <w:rPr>
          <w:rFonts w:hint="eastAsia" w:ascii="宋体" w:hAnsi="宋体" w:cs="Arial"/>
          <w:b w:val="0"/>
          <w:bCs w:val="0"/>
          <w:kern w:val="0"/>
          <w:szCs w:val="21"/>
          <w:lang w:val="en-GB"/>
        </w:rPr>
      </w:sdtEndPr>
      <w:sdtContent>
        <w:p>
          <w:pPr>
            <w:pStyle w:val="4"/>
            <w:numPr>
              <w:ilvl w:val="0"/>
              <w:numId w:val="97"/>
            </w:numPr>
            <w:rPr>
              <w:rFonts w:ascii="宋体" w:hAnsi="宋体" w:cs="Arial"/>
              <w:szCs w:val="21"/>
            </w:rPr>
          </w:pPr>
          <w:r>
            <w:rPr>
              <w:rFonts w:hint="eastAsia" w:ascii="宋体" w:hAnsi="宋体" w:cs="Arial"/>
              <w:szCs w:val="21"/>
            </w:rPr>
            <w:t>反向购买</w:t>
          </w:r>
        </w:p>
        <w:sdt>
          <w:sdtPr>
            <w:alias w:val="是否适用：反向购买[双击切换]"/>
            <w:tag w:val="_GBC_717fa638fefe45c09c1f2627ba167ee4"/>
            <w:id w:val="6775672"/>
            <w:lock w:val="sdtContentLocked"/>
            <w:placeholder>
              <w:docPart w:val="GBC22222222222222222222222222222"/>
            </w:placeholder>
          </w:sdtPr>
          <w:sdtContent>
            <w:p>
              <w:pPr>
                <w:rPr>
                  <w:rFonts w:cs="Arial"/>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rFonts w:cs="Arial"/>
              <w:szCs w:val="21"/>
            </w:rPr>
            <w:sectPr>
              <w:pgSz w:w="11906" w:h="16838"/>
              <w:pgMar w:top="1525" w:right="1276" w:bottom="1440" w:left="1797" w:header="856" w:footer="992" w:gutter="0"/>
              <w:cols w:space="425" w:num="1"/>
              <w:docGrid w:type="lines" w:linePitch="312" w:charSpace="0"/>
            </w:sectPr>
          </w:pPr>
        </w:p>
        <w:p>
          <w:pPr>
            <w:rPr>
              <w:rFonts w:cs="Arial"/>
              <w:szCs w:val="21"/>
            </w:rPr>
          </w:pPr>
        </w:p>
      </w:sdtContent>
    </w:sdt>
    <w:sdt>
      <w:sdtPr>
        <w:rPr>
          <w:rFonts w:hint="eastAsia" w:ascii="宋体" w:hAnsi="宋体" w:cs="Arial"/>
          <w:b w:val="0"/>
          <w:bCs w:val="0"/>
          <w:kern w:val="0"/>
          <w:szCs w:val="21"/>
        </w:rPr>
        <w:alias w:val="模块:处置子公司"/>
        <w:tag w:val="_SEC_2a4ee8d8c08040448e991803ec2047d5"/>
        <w:id w:val="6775676"/>
        <w:lock w:val="sdtLocked"/>
        <w:placeholder>
          <w:docPart w:val="GBC22222222222222222222222222222"/>
        </w:placeholder>
      </w:sdtPr>
      <w:sdtEndPr>
        <w:rPr>
          <w:rFonts w:hint="eastAsia" w:ascii="宋体" w:hAnsi="宋体" w:cs="宋体"/>
          <w:b w:val="0"/>
          <w:bCs w:val="0"/>
          <w:color w:val="000000"/>
          <w:kern w:val="0"/>
          <w:szCs w:val="21"/>
        </w:rPr>
      </w:sdtEndPr>
      <w:sdtContent>
        <w:p>
          <w:pPr>
            <w:pStyle w:val="4"/>
            <w:numPr>
              <w:ilvl w:val="0"/>
              <w:numId w:val="97"/>
            </w:numPr>
            <w:rPr>
              <w:rFonts w:ascii="宋体" w:hAnsi="宋体" w:cs="Arial"/>
              <w:szCs w:val="21"/>
            </w:rPr>
          </w:pPr>
          <w:r>
            <w:rPr>
              <w:rFonts w:hint="eastAsia" w:ascii="宋体" w:hAnsi="宋体" w:cs="Arial"/>
              <w:szCs w:val="21"/>
            </w:rPr>
            <w:t>处置子公司</w:t>
          </w:r>
        </w:p>
        <w:p>
          <w:r>
            <w:rPr>
              <w:rFonts w:hint="eastAsia"/>
            </w:rPr>
            <w:t>是否存在单次处置</w:t>
          </w:r>
          <w:r>
            <w:t>对子公司投资即丧失控制权的情形</w:t>
          </w:r>
        </w:p>
        <w:sdt>
          <w:sdtPr>
            <w:rPr>
              <w:rFonts w:hint="eastAsia" w:cs="Arial"/>
              <w:szCs w:val="21"/>
            </w:rPr>
            <w:alias w:val="是否存在单次交易处置对子公司投资即丧失控制权的情形[双击切换]"/>
            <w:tag w:val="_GBC_34b271ee01844be4a0580269d95adcf3"/>
            <w:id w:val="6775674"/>
            <w:lock w:val="sdtContentLocked"/>
            <w:placeholder>
              <w:docPart w:val="GBC22222222222222222222222222222"/>
            </w:placeholder>
          </w:sdtPr>
          <w:sdtEndPr>
            <w:rPr>
              <w:rFonts w:hint="eastAsia" w:cs="Arial"/>
              <w:szCs w:val="21"/>
            </w:rPr>
          </w:sdtEndPr>
          <w:sdtContent>
            <w:p>
              <w:pPr>
                <w:rPr>
                  <w:rFonts w:cs="Arial"/>
                  <w:color w:val="000000"/>
                  <w:szCs w:val="21"/>
                </w:rPr>
              </w:pPr>
              <w:r>
                <w:rPr>
                  <w:rFonts w:cs="Arial"/>
                  <w:szCs w:val="21"/>
                </w:rPr>
                <w:fldChar w:fldCharType="begin"/>
              </w:r>
              <w:r>
                <w:rPr>
                  <w:rFonts w:cs="Arial"/>
                  <w:szCs w:val="21"/>
                </w:rPr>
                <w:instrText xml:space="preserve">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pPr>
            <w:rPr>
              <w:rFonts w:cs="Arial"/>
              <w:color w:val="000000"/>
              <w:szCs w:val="21"/>
            </w:rPr>
          </w:pPr>
          <w:r>
            <w:rPr>
              <w:rFonts w:hint="eastAsia" w:cs="Arial"/>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6775675"/>
            <w:lock w:val="sdtContentLocked"/>
            <w:placeholder>
              <w:docPart w:val="GBC22222222222222222222222222222"/>
            </w:placeholder>
          </w:sdtPr>
          <w:sdtEndPr>
            <w:rPr>
              <w:rFonts w:cs="Arial"/>
              <w:color w:val="000000"/>
              <w:szCs w:val="21"/>
            </w:rPr>
          </w:sdtEndPr>
          <w:sdtContent>
            <w:p>
              <w:pPr>
                <w:rPr>
                  <w:color w:val="000000"/>
                  <w:szCs w:val="21"/>
                </w:rPr>
              </w:pPr>
              <w:r>
                <w:rPr>
                  <w:rFonts w:cs="Arial"/>
                  <w:color w:val="000000"/>
                  <w:szCs w:val="21"/>
                </w:rPr>
                <w:fldChar w:fldCharType="begin"/>
              </w:r>
              <w:r>
                <w:rPr>
                  <w:rFonts w:cs="Arial"/>
                  <w:color w:val="000000"/>
                  <w:szCs w:val="21"/>
                </w:rPr>
                <w:instrText xml:space="preserve">MACROBUTTON  SnrToggleCheckbox □适用 </w:instrText>
              </w:r>
              <w:r>
                <w:rPr>
                  <w:rFonts w:cs="Arial"/>
                  <w:color w:val="000000"/>
                  <w:szCs w:val="21"/>
                </w:rPr>
                <w:fldChar w:fldCharType="end"/>
              </w:r>
              <w:r>
                <w:rPr>
                  <w:rFonts w:cs="Arial"/>
                  <w:color w:val="000000"/>
                  <w:szCs w:val="21"/>
                </w:rPr>
                <w:fldChar w:fldCharType="begin"/>
              </w:r>
              <w:r>
                <w:rPr>
                  <w:rFonts w:cs="Arial"/>
                  <w:color w:val="000000"/>
                  <w:szCs w:val="21"/>
                </w:rPr>
                <w:instrText xml:space="preserve"> MACROBUTTON  SnrToggleCheckbox √不适用 </w:instrText>
              </w:r>
              <w:r>
                <w:rPr>
                  <w:rFonts w:cs="Arial"/>
                  <w:color w:val="000000"/>
                  <w:szCs w:val="21"/>
                </w:rPr>
                <w:fldChar w:fldCharType="end"/>
              </w:r>
            </w:p>
          </w:sdtContent>
        </w:sdt>
      </w:sdtContent>
    </w:sdt>
    <w:p>
      <w:pPr>
        <w:rPr>
          <w:rFonts w:cs="Arial"/>
          <w:color w:val="000000"/>
          <w:szCs w:val="21"/>
        </w:rPr>
      </w:pPr>
    </w:p>
    <w:sdt>
      <w:sdtPr>
        <w:rPr>
          <w:rFonts w:hint="eastAsia" w:ascii="Times New Roman" w:hAnsi="Times New Roman" w:cs="Arial"/>
          <w:kern w:val="2"/>
          <w:sz w:val="20"/>
          <w:szCs w:val="21"/>
        </w:rPr>
        <w:alias w:val="模块:是否存在通过多次交易分步处置对子公司投资且在本期丧失控制权的"/>
        <w:tag w:val="_SEC_2dea1a083cd44a3498f7ec333a953a20"/>
        <w:id w:val="6775678"/>
        <w:lock w:val="sdtLocked"/>
        <w:placeholder>
          <w:docPart w:val="GBC22222222222222222222222222222"/>
        </w:placeholder>
      </w:sdtPr>
      <w:sdtEndPr>
        <w:rPr>
          <w:rFonts w:hint="default" w:ascii="Times New Roman" w:hAnsi="Times New Roman" w:cs="Times New Roman"/>
          <w:color w:val="000000"/>
          <w:kern w:val="2"/>
          <w:sz w:val="20"/>
          <w:szCs w:val="21"/>
        </w:rPr>
      </w:sdtEndPr>
      <w:sdtContent>
        <w:p>
          <w:pPr>
            <w:rPr>
              <w:rFonts w:cs="Arial"/>
              <w:szCs w:val="21"/>
            </w:rPr>
          </w:pPr>
          <w:r>
            <w:rPr>
              <w:rFonts w:hint="eastAsia" w:cs="Arial"/>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7fbeb1afc8034d59828d161f5cd28a5e"/>
            <w:id w:val="6775677"/>
            <w:lock w:val="sdtContentLocked"/>
            <w:placeholder>
              <w:docPart w:val="GBC22222222222222222222222222222"/>
            </w:placeholder>
          </w:sdtPr>
          <w:sdtEndPr>
            <w:rPr>
              <w:rFonts w:hint="eastAsia"/>
            </w:rPr>
          </w:sdtEndPr>
          <w:sdtContent>
            <w:p>
              <w:pPr>
                <w:pStyle w:val="16"/>
                <w:rPr>
                  <w:color w:val="000000"/>
                </w:rPr>
              </w:pPr>
              <w:r>
                <w:rPr>
                  <w:color w:val="000000"/>
                </w:rPr>
                <w:fldChar w:fldCharType="begin"/>
              </w:r>
              <w:r>
                <w:rPr>
                  <w:rFonts w:hint="eastAsia"/>
                  <w:color w:val="000000"/>
                </w:rPr>
                <w:instrText xml:space="preserve">MACROBUTTON  SnrToggleCheckbox □适用</w:instrText>
              </w:r>
              <w:r>
                <w:rPr>
                  <w:color w:val="000000"/>
                </w:rPr>
                <w:fldChar w:fldCharType="end"/>
              </w:r>
              <w:r>
                <w:rPr>
                  <w:rFonts w:ascii="宋体" w:hAnsi="宋体"/>
                  <w:color w:val="000000"/>
                </w:rPr>
                <w:fldChar w:fldCharType="begin"/>
              </w:r>
              <w:r>
                <w:rPr>
                  <w:rFonts w:ascii="宋体" w:hAnsi="宋体"/>
                  <w:color w:val="000000"/>
                </w:rPr>
                <w:instrText xml:space="preserve"> MACROBUTTON  SnrToggleCheckbox √不适用 </w:instrText>
              </w:r>
              <w:r>
                <w:rPr>
                  <w:rFonts w:ascii="宋体" w:hAnsi="宋体"/>
                  <w:color w:val="000000"/>
                </w:rPr>
                <w:fldChar w:fldCharType="end"/>
              </w:r>
            </w:p>
          </w:sdtContent>
        </w:sdt>
        <w:p>
          <w:pPr>
            <w:pStyle w:val="16"/>
            <w:rPr>
              <w:rFonts w:cs="Arial" w:asciiTheme="minorHAnsi" w:hAnsiTheme="minorHAnsi" w:eastAsiaTheme="minorEastAsia"/>
              <w:color w:val="000000"/>
            </w:rPr>
          </w:pPr>
        </w:p>
      </w:sdtContent>
    </w:sdt>
    <w:p>
      <w:pPr>
        <w:rPr>
          <w:rFonts w:cs="Arial" w:asciiTheme="minorHAnsi" w:hAnsiTheme="minorHAnsi" w:eastAsiaTheme="minorEastAsia"/>
          <w:color w:val="000000"/>
        </w:rPr>
      </w:pPr>
    </w:p>
    <w:sdt>
      <w:sdtPr>
        <w:rPr>
          <w:rFonts w:hint="eastAsia" w:cs="Arial" w:asciiTheme="minorHAnsi" w:hAnsiTheme="minorHAnsi" w:eastAsiaTheme="minorEastAsia"/>
          <w:b w:val="0"/>
          <w:bCs w:val="0"/>
          <w:color w:val="000000"/>
          <w:kern w:val="0"/>
          <w:szCs w:val="24"/>
        </w:rPr>
        <w:alias w:val="模块:其他原因的合并范围变动"/>
        <w:tag w:val="_SEC_06f741a2d2b342998a5d1499d841b2b1"/>
        <w:id w:val="6775680"/>
        <w:lock w:val="sdtLocked"/>
        <w:placeholder>
          <w:docPart w:val="GBC22222222222222222222222222222"/>
        </w:placeholder>
      </w:sdtPr>
      <w:sdtEndPr>
        <w:rPr>
          <w:rFonts w:hint="eastAsia" w:cs="Arial" w:asciiTheme="minorHAnsi" w:hAnsiTheme="minorHAnsi" w:eastAsiaTheme="minorEastAsia"/>
          <w:b w:val="0"/>
          <w:bCs w:val="0"/>
          <w:color w:val="000000"/>
          <w:kern w:val="0"/>
          <w:szCs w:val="24"/>
        </w:rPr>
      </w:sdtEndPr>
      <w:sdtContent>
        <w:p>
          <w:pPr>
            <w:pStyle w:val="4"/>
            <w:numPr>
              <w:ilvl w:val="0"/>
              <w:numId w:val="97"/>
            </w:numPr>
            <w:rPr>
              <w:rFonts w:cs="Arial" w:asciiTheme="minorHAnsi" w:hAnsiTheme="minorHAnsi" w:eastAsiaTheme="minorEastAsia"/>
              <w:color w:val="000000"/>
            </w:rPr>
          </w:pPr>
          <w:r>
            <w:rPr>
              <w:rFonts w:hint="eastAsia" w:cs="Arial" w:asciiTheme="minorHAnsi" w:hAnsiTheme="minorHAnsi" w:eastAsiaTheme="minorEastAsia"/>
              <w:color w:val="000000"/>
            </w:rPr>
            <w:t>其他原因的合并范围变动</w:t>
          </w:r>
        </w:p>
        <w:p>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6775679"/>
            <w:lock w:val="sdtContentLocked"/>
            <w:placeholder>
              <w:docPart w:val="GBC22222222222222222222222222222"/>
            </w:placeholder>
          </w:sdtPr>
          <w:sdtContent>
            <w:p>
              <w:pPr>
                <w:rPr>
                  <w:rFonts w:cs="Arial" w:asciiTheme="minorHAnsi" w:hAnsiTheme="minorHAnsi" w:eastAsiaTheme="minorEastAsia"/>
                  <w:color w:val="000000"/>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rFonts w:cs="Arial" w:asciiTheme="minorHAnsi" w:hAnsiTheme="minorHAnsi" w:eastAsiaTheme="minorEastAsia"/>
          <w:color w:val="000000"/>
        </w:rPr>
      </w:pPr>
    </w:p>
    <w:sdt>
      <w:sdtPr>
        <w:rPr>
          <w:rFonts w:hint="eastAsia" w:cs="Arial" w:asciiTheme="minorHAnsi" w:hAnsiTheme="minorHAnsi" w:eastAsiaTheme="minorEastAsia"/>
          <w:b w:val="0"/>
          <w:bCs w:val="0"/>
          <w:color w:val="000000"/>
          <w:kern w:val="0"/>
          <w:szCs w:val="24"/>
        </w:rPr>
        <w:alias w:val="模块:同一控制下企业合并其他"/>
        <w:tag w:val="_SEC_ca392f46fede4abc8729431a3728c4bb"/>
        <w:id w:val="6775682"/>
        <w:lock w:val="sdtLocked"/>
        <w:placeholder>
          <w:docPart w:val="GBC22222222222222222222222222222"/>
        </w:placeholder>
      </w:sdtPr>
      <w:sdtEndPr>
        <w:rPr>
          <w:rFonts w:hint="eastAsia" w:cs="Arial" w:asciiTheme="minorHAnsi" w:hAnsiTheme="minorHAnsi" w:eastAsiaTheme="minorEastAsia"/>
          <w:b w:val="0"/>
          <w:bCs w:val="0"/>
          <w:color w:val="000000"/>
          <w:kern w:val="0"/>
          <w:szCs w:val="24"/>
        </w:rPr>
      </w:sdtEndPr>
      <w:sdtContent>
        <w:p>
          <w:pPr>
            <w:pStyle w:val="4"/>
            <w:numPr>
              <w:ilvl w:val="0"/>
              <w:numId w:val="97"/>
            </w:numPr>
            <w:rPr>
              <w:rFonts w:ascii="宋体" w:hAnsi="宋体" w:cs="Arial"/>
              <w:color w:val="000000"/>
            </w:rPr>
          </w:pPr>
          <w:r>
            <w:rPr>
              <w:rFonts w:hint="eastAsia" w:ascii="宋体" w:hAnsi="宋体" w:cs="Arial"/>
              <w:color w:val="000000"/>
            </w:rPr>
            <w:t>其他</w:t>
          </w:r>
        </w:p>
        <w:sdt>
          <w:sdtPr>
            <w:rPr>
              <w:rFonts w:hint="eastAsia" w:cs="Arial"/>
              <w:color w:val="000000"/>
            </w:rPr>
            <w:alias w:val="是否适用：合并范围的变更-其他说明[双击切换]"/>
            <w:tag w:val="_GBC_f93907dc64cd43f0a9e4c85b200aec0c"/>
            <w:id w:val="6775681"/>
            <w:lock w:val="sdtContentLocked"/>
            <w:placeholder>
              <w:docPart w:val="GBC22222222222222222222222222222"/>
            </w:placeholder>
          </w:sdtPr>
          <w:sdtEndPr>
            <w:rPr>
              <w:rFonts w:hint="eastAsia" w:cs="Arial"/>
              <w:color w:val="000000"/>
            </w:rPr>
          </w:sdtEndPr>
          <w:sdtContent>
            <w:p>
              <w:pPr>
                <w:rPr>
                  <w:rFonts w:cs="Arial"/>
                  <w:color w:val="000000"/>
                </w:rPr>
                <w:sectPr>
                  <w:pgSz w:w="16838" w:h="11906" w:orient="landscape"/>
                  <w:pgMar w:top="1276" w:right="1440" w:bottom="1797" w:left="1525" w:header="856" w:footer="992" w:gutter="0"/>
                  <w:cols w:space="425" w:num="1"/>
                  <w:docGrid w:linePitch="312" w:charSpace="0"/>
                </w:sectPr>
              </w:pPr>
              <w:r>
                <w:rPr>
                  <w:rFonts w:cs="Arial"/>
                  <w:color w:val="000000"/>
                </w:rPr>
                <w:fldChar w:fldCharType="begin"/>
              </w:r>
              <w:r>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Pr>
                  <w:rFonts w:cs="Arial"/>
                  <w:color w:val="000000"/>
                </w:rPr>
                <w:instrText xml:space="preserve"> MACROBUTTON  SnrToggleCheckbox √不适用 </w:instrText>
              </w:r>
              <w:r>
                <w:rPr>
                  <w:rFonts w:cs="Arial"/>
                  <w:color w:val="000000"/>
                </w:rPr>
                <w:fldChar w:fldCharType="end"/>
              </w:r>
            </w:p>
          </w:sdtContent>
        </w:sdt>
        <w:p>
          <w:pPr>
            <w:rPr>
              <w:rFonts w:cs="Arial"/>
              <w:color w:val="000000"/>
            </w:rPr>
          </w:pPr>
        </w:p>
      </w:sdtContent>
    </w:sdt>
    <w:p>
      <w:pPr>
        <w:pStyle w:val="3"/>
        <w:numPr>
          <w:ilvl w:val="0"/>
          <w:numId w:val="54"/>
        </w:numPr>
        <w:rPr>
          <w:rFonts w:ascii="宋体" w:hAnsi="宋体"/>
        </w:rPr>
      </w:pPr>
      <w:r>
        <w:rPr>
          <w:rFonts w:hint="eastAsia" w:ascii="宋体" w:hAnsi="宋体"/>
        </w:rPr>
        <w:t>在</w:t>
      </w:r>
      <w:r>
        <w:rPr>
          <w:rFonts w:hint="eastAsia"/>
        </w:rPr>
        <w:t>其他</w:t>
      </w:r>
      <w:r>
        <w:rPr>
          <w:rFonts w:hint="eastAsia" w:ascii="宋体" w:hAnsi="宋体"/>
        </w:rPr>
        <w:t>主体中的权益</w:t>
      </w:r>
    </w:p>
    <w:p>
      <w:pPr>
        <w:pStyle w:val="4"/>
        <w:numPr>
          <w:ilvl w:val="2"/>
          <w:numId w:val="98"/>
        </w:numPr>
      </w:pPr>
      <w:r>
        <w:rPr>
          <w:rFonts w:hint="eastAsia"/>
        </w:rPr>
        <w:t>在子公司中的权益</w:t>
      </w:r>
    </w:p>
    <w:sdt>
      <w:sdtPr>
        <w:rPr>
          <w:rFonts w:hint="eastAsia" w:ascii="宋体" w:hAnsi="宋体" w:cs="宋体"/>
          <w:b w:val="0"/>
          <w:bCs w:val="0"/>
          <w:kern w:val="0"/>
          <w:szCs w:val="24"/>
        </w:rPr>
        <w:alias w:val="模块:企业集团的构成"/>
        <w:tag w:val="_GBC_47f8b786d9024ebb977349f022d18c1c"/>
        <w:id w:val="6775684"/>
        <w:lock w:val="sdtLocked"/>
        <w:placeholder>
          <w:docPart w:val="GBC22222222222222222222222222222"/>
        </w:placeholder>
      </w:sdtPr>
      <w:sdtEndPr>
        <w:rPr>
          <w:rFonts w:hint="default" w:ascii="宋体" w:hAnsi="宋体" w:cstheme="minorBidi"/>
          <w:b w:val="0"/>
          <w:bCs w:val="0"/>
          <w:kern w:val="0"/>
          <w:szCs w:val="21"/>
        </w:rPr>
      </w:sdtEndPr>
      <w:sdtContent>
        <w:p>
          <w:pPr>
            <w:pStyle w:val="5"/>
            <w:numPr>
              <w:ilvl w:val="3"/>
              <w:numId w:val="99"/>
            </w:numPr>
            <w:tabs>
              <w:tab w:val="left" w:pos="644"/>
            </w:tabs>
          </w:pPr>
          <w:r>
            <w:rPr>
              <w:rFonts w:hint="eastAsia"/>
            </w:rPr>
            <w:t>企业集团的构成</w:t>
          </w:r>
        </w:p>
        <w:sdt>
          <w:sdtPr>
            <w:alias w:val="是否适用：企业集团的构成[双击切换]"/>
            <w:tag w:val="_GBC_f4dcd24cd0a6465f817fe278addb6568"/>
            <w:id w:val="677568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rFonts w:cstheme="minorBidi"/>
              <w:szCs w:val="21"/>
            </w:rPr>
          </w:pPr>
        </w:p>
      </w:sdtContent>
    </w:sdt>
    <w:p>
      <w:pPr>
        <w:rPr>
          <w:rFonts w:cs="Arial"/>
          <w:szCs w:val="21"/>
        </w:rPr>
      </w:pPr>
    </w:p>
    <w:sdt>
      <w:sdtPr>
        <w:rPr>
          <w:rFonts w:hint="eastAsia" w:ascii="宋体" w:hAnsi="宋体" w:cs="Arial"/>
          <w:b w:val="0"/>
          <w:bCs w:val="0"/>
          <w:kern w:val="0"/>
          <w:szCs w:val="21"/>
        </w:rPr>
        <w:alias w:val="模块:重要的非全资子公司"/>
        <w:tag w:val="_GBC_a2ec6e05ebd34d2fa14b1ba6b3ba8eb1"/>
        <w:id w:val="6775686"/>
        <w:lock w:val="sdtLocked"/>
        <w:placeholder>
          <w:docPart w:val="GBC22222222222222222222222222222"/>
        </w:placeholder>
      </w:sdtPr>
      <w:sdtEndPr>
        <w:rPr>
          <w:rFonts w:hint="default" w:ascii="宋体" w:hAnsi="宋体" w:cs="Arial"/>
          <w:b w:val="0"/>
          <w:bCs w:val="0"/>
          <w:kern w:val="0"/>
          <w:szCs w:val="21"/>
        </w:rPr>
      </w:sdtEndPr>
      <w:sdtContent>
        <w:p>
          <w:pPr>
            <w:pStyle w:val="5"/>
            <w:numPr>
              <w:ilvl w:val="3"/>
              <w:numId w:val="99"/>
            </w:numPr>
            <w:tabs>
              <w:tab w:val="left" w:pos="644"/>
            </w:tabs>
            <w:rPr>
              <w:rFonts w:ascii="宋体" w:hAnsi="宋体" w:cs="Arial"/>
              <w:szCs w:val="21"/>
            </w:rPr>
          </w:pPr>
          <w:r>
            <w:rPr>
              <w:rFonts w:hint="eastAsia" w:ascii="宋体" w:hAnsi="宋体" w:cs="Arial"/>
              <w:szCs w:val="21"/>
            </w:rPr>
            <w:t>重要的非全资子公司</w:t>
          </w:r>
        </w:p>
        <w:sdt>
          <w:sdtPr>
            <w:alias w:val="是否适用：重要的非全资子公司[双击切换]"/>
            <w:tag w:val="_GBC_51a84bfe201248b8bd5edb53b6cd6283"/>
            <w:id w:val="677568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rFonts w:cs="Arial"/>
              <w:szCs w:val="21"/>
            </w:rPr>
          </w:pPr>
        </w:p>
      </w:sdtContent>
    </w:sdt>
    <w:p>
      <w:pPr>
        <w:rPr>
          <w:rFonts w:cs="Arial"/>
          <w:szCs w:val="21"/>
        </w:rPr>
      </w:pPr>
    </w:p>
    <w:sdt>
      <w:sdtPr>
        <w:rPr>
          <w:rFonts w:hint="eastAsia" w:ascii="宋体" w:hAnsi="宋体" w:cs="Arial"/>
          <w:b w:val="0"/>
          <w:bCs w:val="0"/>
          <w:kern w:val="0"/>
          <w:szCs w:val="21"/>
        </w:rPr>
        <w:alias w:val="模块:重要非全资子公司的主要财务信息"/>
        <w:tag w:val="_GBC_501222dd8f884fabbdeaec6fe7e79709"/>
        <w:id w:val="6775688"/>
        <w:lock w:val="sdtLocked"/>
        <w:placeholder>
          <w:docPart w:val="GBC22222222222222222222222222222"/>
        </w:placeholder>
      </w:sdtPr>
      <w:sdtEndPr>
        <w:rPr>
          <w:rFonts w:hint="default" w:ascii="宋体" w:hAnsi="宋体" w:cs="Arial"/>
          <w:b w:val="0"/>
          <w:bCs w:val="0"/>
          <w:kern w:val="0"/>
          <w:szCs w:val="21"/>
        </w:rPr>
      </w:sdtEndPr>
      <w:sdtContent>
        <w:p>
          <w:pPr>
            <w:pStyle w:val="5"/>
            <w:numPr>
              <w:ilvl w:val="3"/>
              <w:numId w:val="99"/>
            </w:numPr>
            <w:tabs>
              <w:tab w:val="left" w:pos="644"/>
            </w:tabs>
            <w:rPr>
              <w:rFonts w:ascii="宋体" w:hAnsi="宋体" w:cs="Arial"/>
              <w:szCs w:val="21"/>
            </w:rPr>
          </w:pPr>
          <w:r>
            <w:rPr>
              <w:rFonts w:hint="eastAsia" w:ascii="宋体" w:hAnsi="宋体" w:cs="Arial"/>
              <w:szCs w:val="21"/>
            </w:rPr>
            <w:t>重要非全资子公司的主要财务信息</w:t>
          </w:r>
        </w:p>
        <w:sdt>
          <w:sdtPr>
            <w:alias w:val="是否适用：重要非全资子公司的主要财务信息[双击切换]"/>
            <w:tag w:val="_GBC_04ab753eff3c46fda94161ee757bd1fa"/>
            <w:id w:val="677568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rFonts w:cs="Arial"/>
              <w:szCs w:val="21"/>
            </w:rPr>
          </w:pPr>
        </w:p>
      </w:sdtContent>
    </w:sdt>
    <w:p>
      <w:pPr>
        <w:rPr>
          <w:rFonts w:cs="Arial"/>
          <w:szCs w:val="21"/>
        </w:rPr>
      </w:pPr>
    </w:p>
    <w:sdt>
      <w:sdtPr>
        <w:rPr>
          <w:rFonts w:hint="eastAsia" w:ascii="宋体" w:hAnsi="宋体" w:cs="Arial"/>
          <w:b w:val="0"/>
          <w:bCs w:val="0"/>
          <w:kern w:val="0"/>
          <w:szCs w:val="21"/>
        </w:rPr>
        <w:alias w:val="模块:使用企业集团资产和清偿企业集团债务的重大限制"/>
        <w:tag w:val="_GBC_573fe5c9daf0401da00d8fc5198daf66"/>
        <w:id w:val="6775690"/>
        <w:lock w:val="sdtLocked"/>
        <w:placeholder>
          <w:docPart w:val="GBC22222222222222222222222222222"/>
        </w:placeholder>
      </w:sdtPr>
      <w:sdtEndPr>
        <w:rPr>
          <w:rFonts w:hint="eastAsia" w:ascii="宋体" w:hAnsi="宋体" w:cs="Arial"/>
          <w:b/>
          <w:bCs w:val="0"/>
          <w:kern w:val="0"/>
          <w:szCs w:val="21"/>
        </w:rPr>
      </w:sdtEndPr>
      <w:sdtContent>
        <w:p>
          <w:pPr>
            <w:pStyle w:val="5"/>
            <w:numPr>
              <w:ilvl w:val="3"/>
              <w:numId w:val="99"/>
            </w:numPr>
            <w:tabs>
              <w:tab w:val="left" w:pos="644"/>
            </w:tabs>
            <w:rPr>
              <w:rFonts w:ascii="宋体" w:hAnsi="宋体" w:cs="Arial"/>
              <w:szCs w:val="21"/>
            </w:rPr>
          </w:pPr>
          <w:r>
            <w:rPr>
              <w:rFonts w:hint="eastAsia" w:ascii="宋体" w:hAnsi="宋体" w:cs="Arial"/>
              <w:szCs w:val="21"/>
            </w:rPr>
            <w:t>使用企业集团资产和清偿企业集团债务的重大限制：</w:t>
          </w:r>
        </w:p>
        <w:sdt>
          <w:sdtPr>
            <w:alias w:val="是否适用：使用企业集团资产和清偿企业集团债务的重大限制[双击切换]"/>
            <w:tag w:val="_GBC_0dc24609295b4971a9a7ef9a15e4f46f"/>
            <w:id w:val="6775689"/>
            <w:lock w:val="sdtContentLocked"/>
            <w:placeholder>
              <w:docPart w:val="GBC22222222222222222222222222222"/>
            </w:placeholder>
          </w:sdtPr>
          <w:sdtContent>
            <w:p>
              <w:pPr>
                <w:rPr>
                  <w:rFonts w:cs="Arial"/>
                  <w:b/>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rFonts w:cs="Arial"/>
          <w:szCs w:val="21"/>
        </w:rPr>
      </w:pPr>
    </w:p>
    <w:sdt>
      <w:sdtPr>
        <w:rPr>
          <w:rFonts w:hint="eastAsia" w:ascii="宋体" w:hAnsi="宋体" w:cs="Arial"/>
          <w:b w:val="0"/>
          <w:bCs w:val="0"/>
          <w:kern w:val="0"/>
          <w:szCs w:val="21"/>
        </w:rPr>
        <w:alias w:val="模块:向纳入合并财务报表范围的结构化主体提供的财务支持或其他支持"/>
        <w:tag w:val="_GBC_114877d69a2e4b56b15fb618155127e3"/>
        <w:id w:val="6775692"/>
        <w:lock w:val="sdtLocked"/>
        <w:placeholder>
          <w:docPart w:val="GBC22222222222222222222222222222"/>
        </w:placeholder>
      </w:sdtPr>
      <w:sdtEndPr>
        <w:rPr>
          <w:rFonts w:hint="eastAsia" w:ascii="宋体" w:hAnsi="宋体" w:cs="Arial"/>
          <w:b w:val="0"/>
          <w:bCs w:val="0"/>
          <w:kern w:val="0"/>
          <w:szCs w:val="21"/>
        </w:rPr>
      </w:sdtEndPr>
      <w:sdtContent>
        <w:p>
          <w:pPr>
            <w:pStyle w:val="5"/>
            <w:numPr>
              <w:ilvl w:val="3"/>
              <w:numId w:val="99"/>
            </w:numPr>
            <w:tabs>
              <w:tab w:val="left" w:pos="644"/>
            </w:tabs>
            <w:rPr>
              <w:rFonts w:ascii="宋体" w:hAnsi="宋体" w:cs="Arial"/>
              <w:szCs w:val="21"/>
            </w:rPr>
          </w:pPr>
          <w:r>
            <w:rPr>
              <w:rFonts w:hint="eastAsia" w:ascii="宋体" w:hAnsi="宋体" w:cs="Arial"/>
              <w:szCs w:val="21"/>
            </w:rPr>
            <w:t>向纳入合并财务报表范围的结构化主体提供的财务支持或其他支持：</w:t>
          </w:r>
        </w:p>
        <w:sdt>
          <w:sdtPr>
            <w:rPr>
              <w:rFonts w:hint="eastAsia" w:cs="Arial"/>
              <w:szCs w:val="21"/>
            </w:rPr>
            <w:alias w:val="是否适用：向纳入合并财务报表范围的结构化主体提供的财务支持或其他支持[双击切换]"/>
            <w:tag w:val="_GBC_395393741a9c49d1bd1b845f818ade1e"/>
            <w:id w:val="6775691"/>
            <w:lock w:val="sdtContentLocked"/>
            <w:placeholder>
              <w:docPart w:val="GBC22222222222222222222222222222"/>
            </w:placeholder>
          </w:sdtPr>
          <w:sdtEndPr>
            <w:rPr>
              <w:rFonts w:hint="eastAsia" w:cs="Arial"/>
              <w:szCs w:val="21"/>
            </w:rPr>
          </w:sdtEndPr>
          <w:sdtContent>
            <w:p>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Content>
    </w:sdt>
    <w:p>
      <w:pPr>
        <w:rPr>
          <w:rFonts w:cs="Arial"/>
          <w:b/>
          <w:szCs w:val="21"/>
        </w:rPr>
      </w:pPr>
    </w:p>
    <w:sdt>
      <w:sdtPr>
        <w:rPr>
          <w:szCs w:val="21"/>
        </w:rPr>
        <w:alias w:val="模块:在子公司中的权益其他说明"/>
        <w:tag w:val="_GBC_a0f68dc0a3a24efaa431a8c8d768eb0f"/>
        <w:id w:val="6775694"/>
        <w:lock w:val="sdtLocked"/>
        <w:placeholder>
          <w:docPart w:val="GBC22222222222222222222222222222"/>
        </w:placeholder>
      </w:sdtPr>
      <w:sdtEndPr>
        <w:rPr>
          <w:szCs w:val="21"/>
        </w:rPr>
      </w:sdtEndPr>
      <w:sdtContent>
        <w:p>
          <w:pPr>
            <w:rPr>
              <w:szCs w:val="21"/>
            </w:rPr>
          </w:pPr>
          <w:r>
            <w:rPr>
              <w:rFonts w:hint="eastAsia"/>
              <w:szCs w:val="21"/>
            </w:rPr>
            <w:t>其他说明：</w:t>
          </w:r>
        </w:p>
        <w:sdt>
          <w:sdtPr>
            <w:rPr>
              <w:szCs w:val="21"/>
            </w:rPr>
            <w:alias w:val="是否适用：在子公司中的权益其他说明[双击切换]"/>
            <w:tag w:val="_GBC_b26ad9d381c8467f9c05b435b2cb6493"/>
            <w:id w:val="6775693"/>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4"/>
        <w:numPr>
          <w:ilvl w:val="2"/>
          <w:numId w:val="98"/>
        </w:numPr>
        <w:rPr>
          <w:rFonts w:ascii="宋体" w:hAnsi="宋体" w:cs="Arial"/>
          <w:szCs w:val="21"/>
        </w:rPr>
      </w:pPr>
      <w:r>
        <w:rPr>
          <w:rFonts w:hint="eastAsia" w:ascii="宋体" w:hAnsi="宋体" w:cs="Arial"/>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6775695"/>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p>
      <w:pPr>
        <w:pStyle w:val="4"/>
        <w:numPr>
          <w:ilvl w:val="2"/>
          <w:numId w:val="98"/>
        </w:numPr>
        <w:rPr>
          <w:rFonts w:ascii="宋体" w:hAnsi="宋体" w:cs="Arial"/>
          <w:szCs w:val="21"/>
        </w:rPr>
      </w:pPr>
      <w:r>
        <w:rPr>
          <w:rFonts w:hint="eastAsia" w:ascii="宋体" w:hAnsi="宋体" w:cs="Arial"/>
          <w:szCs w:val="21"/>
        </w:rPr>
        <w:t>在合营企业或联营企业中的权益</w:t>
      </w:r>
    </w:p>
    <w:sdt>
      <w:sdtPr>
        <w:alias w:val="是否适用：在合营企业或联营企业中的权益[双击切换]"/>
        <w:tag w:val="_GBC_2bff91875b7a49f3929c4613048756c1"/>
        <w:id w:val="677569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b w:val="0"/>
          <w:bCs w:val="0"/>
          <w:kern w:val="0"/>
          <w:szCs w:val="24"/>
        </w:rPr>
        <w:alias w:val="模块:重要的合营企业或联营企业"/>
        <w:tag w:val="_GBC_49e4a749316a464e89485cda5774fc07"/>
        <w:id w:val="6775711"/>
        <w:lock w:val="sdtLocked"/>
        <w:placeholder>
          <w:docPart w:val="GBC22222222222222222222222222222"/>
        </w:placeholder>
      </w:sdtPr>
      <w:sdtEndPr>
        <w:rPr>
          <w:rFonts w:hint="default" w:ascii="宋体" w:hAnsi="宋体" w:cstheme="minorBidi"/>
          <w:b w:val="0"/>
          <w:bCs w:val="0"/>
          <w:kern w:val="0"/>
          <w:szCs w:val="21"/>
        </w:rPr>
      </w:sdtEndPr>
      <w:sdtContent>
        <w:p>
          <w:pPr>
            <w:pStyle w:val="5"/>
            <w:numPr>
              <w:ilvl w:val="3"/>
              <w:numId w:val="100"/>
            </w:numPr>
            <w:tabs>
              <w:tab w:val="left" w:pos="630"/>
            </w:tabs>
          </w:pPr>
          <w:r>
            <w:rPr>
              <w:rFonts w:hint="eastAsia"/>
            </w:rPr>
            <w:t>重要的合营企业或联营企业</w:t>
          </w:r>
        </w:p>
        <w:sdt>
          <w:sdtPr>
            <w:rPr>
              <w:rFonts w:hint="eastAsia"/>
            </w:rPr>
            <w:alias w:val="是否适用：重要的合营企业或联营企业[双击切换]"/>
            <w:tag w:val="_GBC_99df64ed4bb84c2da5fb54cda5ae039b"/>
            <w:id w:val="6775697"/>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83"/>
            <w:tblW w:w="92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1135"/>
            <w:gridCol w:w="852"/>
            <w:gridCol w:w="1135"/>
            <w:gridCol w:w="708"/>
            <w:gridCol w:w="747"/>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sdt>
              <w:sdtPr>
                <w:rPr>
                  <w:sz w:val="18"/>
                  <w:szCs w:val="18"/>
                </w:rPr>
                <w:tag w:val="_PLD_6004d65b7e3443dc82381484e3885a6b"/>
                <w:id w:val="6775700"/>
                <w:lock w:val="sdtLocked"/>
              </w:sdtPr>
              <w:sdtEndPr>
                <w:rPr>
                  <w:sz w:val="18"/>
                  <w:szCs w:val="18"/>
                </w:rPr>
              </w:sdtEndPr>
              <w:sdtContent>
                <w:tc>
                  <w:tcPr>
                    <w:tcW w:w="2836" w:type="dxa"/>
                    <w:vMerge w:val="restart"/>
                    <w:shd w:val="clear" w:color="auto" w:fill="auto"/>
                    <w:vAlign w:val="center"/>
                  </w:tcPr>
                  <w:p>
                    <w:pPr>
                      <w:jc w:val="center"/>
                      <w:rPr>
                        <w:rFonts w:cs="Arial"/>
                        <w:sz w:val="18"/>
                        <w:szCs w:val="18"/>
                      </w:rPr>
                    </w:pPr>
                    <w:r>
                      <w:rPr>
                        <w:rFonts w:hint="eastAsia" w:cs="Arial"/>
                        <w:sz w:val="18"/>
                        <w:szCs w:val="18"/>
                        <w:lang w:val="en-GB"/>
                      </w:rPr>
                      <w:t>合营企业或联营企业名称</w:t>
                    </w:r>
                  </w:p>
                </w:tc>
              </w:sdtContent>
            </w:sdt>
            <w:sdt>
              <w:sdtPr>
                <w:rPr>
                  <w:sz w:val="18"/>
                  <w:szCs w:val="18"/>
                </w:rPr>
                <w:tag w:val="_PLD_2e148655e91e4b998bd7a7d0b10c96fd"/>
                <w:id w:val="6775701"/>
                <w:lock w:val="sdtLocked"/>
              </w:sdtPr>
              <w:sdtEndPr>
                <w:rPr>
                  <w:sz w:val="18"/>
                  <w:szCs w:val="18"/>
                </w:rPr>
              </w:sdtEndPr>
              <w:sdtContent>
                <w:tc>
                  <w:tcPr>
                    <w:tcW w:w="1135" w:type="dxa"/>
                    <w:vMerge w:val="restart"/>
                    <w:shd w:val="clear" w:color="auto" w:fill="auto"/>
                    <w:vAlign w:val="center"/>
                  </w:tcPr>
                  <w:p>
                    <w:pPr>
                      <w:jc w:val="center"/>
                      <w:rPr>
                        <w:rFonts w:cs="Arial"/>
                        <w:sz w:val="18"/>
                        <w:szCs w:val="18"/>
                      </w:rPr>
                    </w:pPr>
                    <w:r>
                      <w:rPr>
                        <w:rFonts w:hint="eastAsia" w:cs="Arial"/>
                        <w:sz w:val="18"/>
                        <w:szCs w:val="18"/>
                        <w:lang w:val="en-GB"/>
                      </w:rPr>
                      <w:t>主要经营地</w:t>
                    </w:r>
                  </w:p>
                </w:tc>
              </w:sdtContent>
            </w:sdt>
            <w:sdt>
              <w:sdtPr>
                <w:rPr>
                  <w:sz w:val="18"/>
                  <w:szCs w:val="18"/>
                </w:rPr>
                <w:tag w:val="_PLD_32e2714eb7074350886ae0d40b5c34b1"/>
                <w:id w:val="6775702"/>
                <w:lock w:val="sdtLocked"/>
              </w:sdtPr>
              <w:sdtEndPr>
                <w:rPr>
                  <w:sz w:val="18"/>
                  <w:szCs w:val="18"/>
                </w:rPr>
              </w:sdtEndPr>
              <w:sdtContent>
                <w:tc>
                  <w:tcPr>
                    <w:tcW w:w="852" w:type="dxa"/>
                    <w:vMerge w:val="restart"/>
                    <w:shd w:val="clear" w:color="auto" w:fill="auto"/>
                    <w:vAlign w:val="center"/>
                  </w:tcPr>
                  <w:p>
                    <w:pPr>
                      <w:jc w:val="center"/>
                      <w:rPr>
                        <w:rFonts w:cs="Arial"/>
                        <w:sz w:val="18"/>
                        <w:szCs w:val="18"/>
                      </w:rPr>
                    </w:pPr>
                    <w:r>
                      <w:rPr>
                        <w:rFonts w:hint="eastAsia" w:cs="Arial"/>
                        <w:sz w:val="18"/>
                        <w:szCs w:val="18"/>
                        <w:lang w:val="en-GB"/>
                      </w:rPr>
                      <w:t>注册地</w:t>
                    </w:r>
                  </w:p>
                </w:tc>
              </w:sdtContent>
            </w:sdt>
            <w:sdt>
              <w:sdtPr>
                <w:rPr>
                  <w:sz w:val="18"/>
                  <w:szCs w:val="18"/>
                </w:rPr>
                <w:tag w:val="_PLD_d429c77b8bef473a98608606ebcd4d75"/>
                <w:id w:val="6775703"/>
                <w:lock w:val="sdtLocked"/>
              </w:sdtPr>
              <w:sdtEndPr>
                <w:rPr>
                  <w:sz w:val="18"/>
                  <w:szCs w:val="18"/>
                </w:rPr>
              </w:sdtEndPr>
              <w:sdtContent>
                <w:tc>
                  <w:tcPr>
                    <w:tcW w:w="1135" w:type="dxa"/>
                    <w:vMerge w:val="restart"/>
                    <w:shd w:val="clear" w:color="auto" w:fill="auto"/>
                    <w:vAlign w:val="center"/>
                  </w:tcPr>
                  <w:p>
                    <w:pPr>
                      <w:jc w:val="center"/>
                      <w:rPr>
                        <w:rFonts w:cs="Arial"/>
                        <w:sz w:val="18"/>
                        <w:szCs w:val="18"/>
                      </w:rPr>
                    </w:pPr>
                    <w:r>
                      <w:rPr>
                        <w:rFonts w:hint="eastAsia" w:cs="Arial"/>
                        <w:sz w:val="18"/>
                        <w:szCs w:val="18"/>
                        <w:lang w:val="en-GB"/>
                      </w:rPr>
                      <w:t>业务性质</w:t>
                    </w:r>
                  </w:p>
                </w:tc>
              </w:sdtContent>
            </w:sdt>
            <w:sdt>
              <w:sdtPr>
                <w:rPr>
                  <w:sz w:val="18"/>
                  <w:szCs w:val="18"/>
                </w:rPr>
                <w:tag w:val="_PLD_bc055f9d5073401a85de2316f2a2b7ce"/>
                <w:id w:val="6775704"/>
                <w:lock w:val="sdtLocked"/>
              </w:sdtPr>
              <w:sdtEndPr>
                <w:rPr>
                  <w:sz w:val="18"/>
                  <w:szCs w:val="18"/>
                </w:rPr>
              </w:sdtEndPr>
              <w:sdtContent>
                <w:tc>
                  <w:tcPr>
                    <w:tcW w:w="1455" w:type="dxa"/>
                    <w:gridSpan w:val="2"/>
                    <w:shd w:val="clear" w:color="auto" w:fill="auto"/>
                    <w:vAlign w:val="center"/>
                  </w:tcPr>
                  <w:p>
                    <w:pPr>
                      <w:jc w:val="center"/>
                      <w:rPr>
                        <w:rFonts w:cs="Arial"/>
                        <w:sz w:val="18"/>
                        <w:szCs w:val="18"/>
                      </w:rPr>
                    </w:pPr>
                    <w:r>
                      <w:rPr>
                        <w:rFonts w:hint="eastAsia" w:cs="Arial"/>
                        <w:sz w:val="18"/>
                        <w:szCs w:val="18"/>
                        <w:lang w:val="en-GB"/>
                      </w:rPr>
                      <w:t>持股比例</w:t>
                    </w:r>
                    <w:r>
                      <w:rPr>
                        <w:rFonts w:cs="Arial"/>
                        <w:sz w:val="18"/>
                        <w:szCs w:val="18"/>
                      </w:rPr>
                      <w:t>(%)</w:t>
                    </w:r>
                  </w:p>
                </w:tc>
              </w:sdtContent>
            </w:sdt>
            <w:sdt>
              <w:sdtPr>
                <w:rPr>
                  <w:sz w:val="18"/>
                  <w:szCs w:val="18"/>
                </w:rPr>
                <w:tag w:val="_PLD_96c57a3220e8432f8deedb4873fcf29c"/>
                <w:id w:val="6775705"/>
                <w:lock w:val="sdtLocked"/>
              </w:sdtPr>
              <w:sdtEndPr>
                <w:rPr>
                  <w:sz w:val="18"/>
                  <w:szCs w:val="18"/>
                </w:rPr>
              </w:sdtEndPr>
              <w:sdtContent>
                <w:tc>
                  <w:tcPr>
                    <w:tcW w:w="1812" w:type="dxa"/>
                    <w:vMerge w:val="restart"/>
                    <w:shd w:val="clear" w:color="auto" w:fill="auto"/>
                    <w:vAlign w:val="center"/>
                  </w:tcPr>
                  <w:p>
                    <w:pPr>
                      <w:jc w:val="center"/>
                      <w:rPr>
                        <w:rFonts w:cs="Arial"/>
                        <w:sz w:val="18"/>
                        <w:szCs w:val="18"/>
                      </w:rPr>
                    </w:pPr>
                    <w:r>
                      <w:rPr>
                        <w:rFonts w:hint="eastAsia" w:cs="Arial"/>
                        <w:sz w:val="18"/>
                        <w:szCs w:val="18"/>
                        <w:lang w:val="en-GB"/>
                      </w:rPr>
                      <w:t>对合营企业或联营企业投资的会计处理方法</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2836" w:type="dxa"/>
                <w:vMerge w:val="continue"/>
                <w:shd w:val="clear" w:color="auto" w:fill="auto"/>
                <w:vAlign w:val="center"/>
              </w:tcPr>
              <w:p>
                <w:pPr>
                  <w:rPr>
                    <w:rFonts w:cs="Arial"/>
                    <w:sz w:val="18"/>
                    <w:szCs w:val="18"/>
                  </w:rPr>
                </w:pPr>
              </w:p>
            </w:tc>
            <w:tc>
              <w:tcPr>
                <w:tcW w:w="1135" w:type="dxa"/>
                <w:vMerge w:val="continue"/>
                <w:shd w:val="clear" w:color="auto" w:fill="auto"/>
                <w:vAlign w:val="center"/>
              </w:tcPr>
              <w:p>
                <w:pPr>
                  <w:rPr>
                    <w:rFonts w:cs="Arial"/>
                    <w:sz w:val="18"/>
                    <w:szCs w:val="18"/>
                  </w:rPr>
                </w:pPr>
              </w:p>
            </w:tc>
            <w:tc>
              <w:tcPr>
                <w:tcW w:w="852" w:type="dxa"/>
                <w:vMerge w:val="continue"/>
                <w:shd w:val="clear" w:color="auto" w:fill="auto"/>
                <w:vAlign w:val="center"/>
              </w:tcPr>
              <w:p>
                <w:pPr>
                  <w:rPr>
                    <w:rFonts w:cs="Arial"/>
                    <w:sz w:val="18"/>
                    <w:szCs w:val="18"/>
                  </w:rPr>
                </w:pPr>
              </w:p>
            </w:tc>
            <w:tc>
              <w:tcPr>
                <w:tcW w:w="1135" w:type="dxa"/>
                <w:vMerge w:val="continue"/>
                <w:shd w:val="clear" w:color="auto" w:fill="auto"/>
                <w:vAlign w:val="center"/>
              </w:tcPr>
              <w:p>
                <w:pPr>
                  <w:rPr>
                    <w:rFonts w:cs="Arial"/>
                    <w:sz w:val="18"/>
                    <w:szCs w:val="18"/>
                  </w:rPr>
                </w:pPr>
              </w:p>
            </w:tc>
            <w:sdt>
              <w:sdtPr>
                <w:rPr>
                  <w:sz w:val="18"/>
                  <w:szCs w:val="18"/>
                </w:rPr>
                <w:tag w:val="_PLD_076e5c9e7ab64e6db098592664f75c64"/>
                <w:id w:val="6775706"/>
                <w:lock w:val="sdtLocked"/>
              </w:sdtPr>
              <w:sdtEndPr>
                <w:rPr>
                  <w:sz w:val="18"/>
                  <w:szCs w:val="18"/>
                </w:rPr>
              </w:sdtEndPr>
              <w:sdtContent>
                <w:tc>
                  <w:tcPr>
                    <w:tcW w:w="708" w:type="dxa"/>
                    <w:shd w:val="clear" w:color="auto" w:fill="auto"/>
                    <w:vAlign w:val="center"/>
                  </w:tcPr>
                  <w:p>
                    <w:pPr>
                      <w:jc w:val="center"/>
                      <w:rPr>
                        <w:rFonts w:cs="Arial"/>
                        <w:sz w:val="18"/>
                        <w:szCs w:val="18"/>
                      </w:rPr>
                    </w:pPr>
                    <w:r>
                      <w:rPr>
                        <w:rFonts w:hint="eastAsia" w:cs="Arial"/>
                        <w:sz w:val="18"/>
                        <w:szCs w:val="18"/>
                        <w:lang w:val="en-GB"/>
                      </w:rPr>
                      <w:t>直接</w:t>
                    </w:r>
                  </w:p>
                </w:tc>
              </w:sdtContent>
            </w:sdt>
            <w:sdt>
              <w:sdtPr>
                <w:rPr>
                  <w:sz w:val="18"/>
                  <w:szCs w:val="18"/>
                </w:rPr>
                <w:tag w:val="_PLD_49b77f1690ee4cc88f829d510135f0bf"/>
                <w:id w:val="6775707"/>
                <w:lock w:val="sdtLocked"/>
              </w:sdtPr>
              <w:sdtEndPr>
                <w:rPr>
                  <w:sz w:val="18"/>
                  <w:szCs w:val="18"/>
                </w:rPr>
              </w:sdtEndPr>
              <w:sdtContent>
                <w:tc>
                  <w:tcPr>
                    <w:tcW w:w="747" w:type="dxa"/>
                    <w:shd w:val="clear" w:color="auto" w:fill="auto"/>
                    <w:vAlign w:val="center"/>
                  </w:tcPr>
                  <w:p>
                    <w:pPr>
                      <w:jc w:val="center"/>
                      <w:rPr>
                        <w:rFonts w:cs="Arial"/>
                        <w:sz w:val="18"/>
                        <w:szCs w:val="18"/>
                      </w:rPr>
                    </w:pPr>
                    <w:r>
                      <w:rPr>
                        <w:rFonts w:hint="eastAsia" w:cs="Arial"/>
                        <w:sz w:val="18"/>
                        <w:szCs w:val="18"/>
                        <w:lang w:val="en-GB"/>
                      </w:rPr>
                      <w:t>间接</w:t>
                    </w:r>
                  </w:p>
                </w:tc>
              </w:sdtContent>
            </w:sdt>
            <w:tc>
              <w:tcPr>
                <w:tcW w:w="1812" w:type="dxa"/>
                <w:vMerge w:val="continue"/>
                <w:vAlign w:val="center"/>
              </w:tcPr>
              <w:p>
                <w:pPr>
                  <w:rPr>
                    <w:rFonts w:cs="Arial"/>
                    <w:sz w:val="18"/>
                    <w:szCs w:val="18"/>
                  </w:rPr>
                </w:pPr>
              </w:p>
            </w:tc>
          </w:tr>
          <w:sdt>
            <w:sdtPr>
              <w:rPr>
                <w:sz w:val="18"/>
                <w:szCs w:val="18"/>
              </w:rPr>
              <w:alias w:val="重要的合营企业或联营企业明细"/>
              <w:tag w:val="_GBC_a1baed559822472c8c78b05cadceb35a"/>
              <w:id w:val="677570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tcPr>
                  <w:p>
                    <w:pPr>
                      <w:rPr>
                        <w:sz w:val="18"/>
                        <w:szCs w:val="18"/>
                      </w:rPr>
                    </w:pPr>
                    <w:r>
                      <w:rPr>
                        <w:sz w:val="18"/>
                        <w:szCs w:val="18"/>
                      </w:rPr>
                      <w:t>桂林仙源健康产业股份有限公司</w:t>
                    </w:r>
                  </w:p>
                </w:tc>
                <w:tc>
                  <w:tcPr>
                    <w:tcW w:w="1135" w:type="dxa"/>
                  </w:tcPr>
                  <w:p>
                    <w:pPr>
                      <w:rPr>
                        <w:sz w:val="18"/>
                        <w:szCs w:val="18"/>
                      </w:rPr>
                    </w:pPr>
                    <w:r>
                      <w:rPr>
                        <w:sz w:val="18"/>
                        <w:szCs w:val="18"/>
                      </w:rPr>
                      <w:t>桂林市</w:t>
                    </w:r>
                  </w:p>
                </w:tc>
                <w:tc>
                  <w:tcPr>
                    <w:tcW w:w="852" w:type="dxa"/>
                  </w:tcPr>
                  <w:p>
                    <w:pPr>
                      <w:rPr>
                        <w:sz w:val="18"/>
                        <w:szCs w:val="18"/>
                      </w:rPr>
                    </w:pPr>
                    <w:r>
                      <w:rPr>
                        <w:sz w:val="18"/>
                        <w:szCs w:val="18"/>
                      </w:rPr>
                      <w:t>桂林市</w:t>
                    </w:r>
                  </w:p>
                </w:tc>
                <w:tc>
                  <w:tcPr>
                    <w:tcW w:w="1135" w:type="dxa"/>
                  </w:tcPr>
                  <w:p>
                    <w:pPr>
                      <w:rPr>
                        <w:sz w:val="18"/>
                        <w:szCs w:val="18"/>
                      </w:rPr>
                    </w:pPr>
                    <w:r>
                      <w:rPr>
                        <w:sz w:val="18"/>
                        <w:szCs w:val="18"/>
                      </w:rPr>
                      <w:t>健康、养老</w:t>
                    </w:r>
                  </w:p>
                </w:tc>
                <w:tc>
                  <w:tcPr>
                    <w:tcW w:w="708" w:type="dxa"/>
                  </w:tcPr>
                  <w:p>
                    <w:pPr>
                      <w:jc w:val="right"/>
                      <w:rPr>
                        <w:sz w:val="18"/>
                        <w:szCs w:val="18"/>
                      </w:rPr>
                    </w:pPr>
                    <w:r>
                      <w:rPr>
                        <w:sz w:val="18"/>
                        <w:szCs w:val="18"/>
                      </w:rPr>
                      <w:t>35</w:t>
                    </w:r>
                  </w:p>
                </w:tc>
                <w:tc>
                  <w:tcPr>
                    <w:tcW w:w="747" w:type="dxa"/>
                  </w:tcPr>
                  <w:p>
                    <w:pPr>
                      <w:jc w:val="right"/>
                      <w:rPr>
                        <w:sz w:val="18"/>
                        <w:szCs w:val="18"/>
                      </w:rPr>
                    </w:pPr>
                  </w:p>
                </w:tc>
                <w:tc>
                  <w:tcPr>
                    <w:tcW w:w="1812" w:type="dxa"/>
                  </w:tcPr>
                  <w:p>
                    <w:pPr>
                      <w:rPr>
                        <w:sz w:val="18"/>
                        <w:szCs w:val="18"/>
                      </w:rPr>
                    </w:pPr>
                    <w:r>
                      <w:rPr>
                        <w:sz w:val="18"/>
                        <w:szCs w:val="18"/>
                      </w:rPr>
                      <w:t>采用权益法核算长期股权投资</w:t>
                    </w:r>
                  </w:p>
                </w:tc>
              </w:tr>
            </w:sdtContent>
          </w:sdt>
        </w:tbl>
        <w:p>
          <w:pPr>
            <w:rPr>
              <w:sz w:val="18"/>
              <w:szCs w:val="18"/>
            </w:rPr>
          </w:pPr>
        </w:p>
        <w:p>
          <w:pPr>
            <w:rPr>
              <w:rFonts w:cs="Arial"/>
              <w:szCs w:val="21"/>
            </w:rPr>
          </w:pPr>
          <w:r>
            <w:rPr>
              <w:rFonts w:hint="eastAsia" w:cs="Arial"/>
              <w:szCs w:val="21"/>
            </w:rPr>
            <w:t>在合营企业或联营企业的持股比例不同于表决权比例的说明：</w:t>
          </w:r>
        </w:p>
        <w:sdt>
          <w:sdtPr>
            <w:rPr>
              <w:rFonts w:cs="Arial"/>
              <w:szCs w:val="21"/>
            </w:rPr>
            <w:alias w:val="在合营企业或联营企业的持股比例不同于表决权比例的说明"/>
            <w:tag w:val="_GBC_b18385c11aff4424b360bd0cb4f81376"/>
            <w:id w:val="6775709"/>
            <w:lock w:val="sdtLocked"/>
            <w:placeholder>
              <w:docPart w:val="GBC22222222222222222222222222222"/>
            </w:placeholder>
          </w:sdtPr>
          <w:sdtEndPr>
            <w:rPr>
              <w:rFonts w:cs="Arial"/>
              <w:szCs w:val="21"/>
            </w:rPr>
          </w:sdtEndPr>
          <w:sdtContent>
            <w:p>
              <w:pPr>
                <w:rPr>
                  <w:rFonts w:cs="Arial"/>
                  <w:szCs w:val="21"/>
                </w:rPr>
              </w:pPr>
              <w:r>
                <w:rPr>
                  <w:rFonts w:hint="eastAsia" w:cs="Arial"/>
                  <w:szCs w:val="21"/>
                </w:rPr>
                <w:t>在合营企业或联营企业的持股比例不同于表决权比例的说明：本公司在该公司的持股比例与表决权比例一致。</w:t>
              </w:r>
            </w:p>
            <w:p>
              <w:pPr>
                <w:rPr>
                  <w:rFonts w:cs="Arial"/>
                  <w:szCs w:val="21"/>
                </w:rPr>
              </w:pPr>
            </w:p>
          </w:sdtContent>
        </w:sdt>
      </w:sdtContent>
    </w:sdt>
    <w:p>
      <w:pPr>
        <w:pStyle w:val="5"/>
        <w:numPr>
          <w:ilvl w:val="3"/>
          <w:numId w:val="100"/>
        </w:numPr>
        <w:tabs>
          <w:tab w:val="left" w:pos="630"/>
        </w:tabs>
        <w:rPr>
          <w:rFonts w:ascii="宋体" w:hAnsi="宋体" w:cs="Arial"/>
          <w:szCs w:val="21"/>
        </w:rPr>
      </w:pPr>
      <w:r>
        <w:rPr>
          <w:rFonts w:hint="eastAsia" w:ascii="宋体" w:hAnsi="宋体" w:cs="Arial"/>
          <w:szCs w:val="21"/>
        </w:rPr>
        <w:t>重要合营企业的主要财务信息</w:t>
      </w:r>
    </w:p>
    <w:sdt>
      <w:sdtPr>
        <w:rPr>
          <w:rFonts w:hint="eastAsia"/>
        </w:rPr>
        <w:alias w:val="模块:重要合营企业的主要财务信息"/>
        <w:tag w:val="_GBC_10d60417c84d41c1b3386073557d9d05"/>
        <w:id w:val="6775713"/>
        <w:lock w:val="sdtLocked"/>
        <w:placeholder>
          <w:docPart w:val="GBC22222222222222222222222222222"/>
        </w:placeholder>
      </w:sdtPr>
      <w:sdtEndPr>
        <w:rPr>
          <w:rFonts w:hint="default" w:cstheme="minorBidi"/>
          <w:szCs w:val="21"/>
        </w:rPr>
      </w:sdtEndPr>
      <w:sdtContent>
        <w:sdt>
          <w:sdtPr>
            <w:rPr>
              <w:rFonts w:hint="eastAsia"/>
            </w:rPr>
            <w:alias w:val="是否适用：重要合营企业的主要财务信息[双击切换]"/>
            <w:tag w:val="_GBC_8218a872fcd045d290940ccf3b3bdfa5"/>
            <w:id w:val="6775712"/>
            <w:lock w:val="sdtContentLocked"/>
            <w:placeholder>
              <w:docPart w:val="GBC22222222222222222222222222222"/>
            </w:placeholder>
          </w:sdtPr>
          <w:sdtEndPr>
            <w:rPr>
              <w:rFonts w:hint="eastAsia"/>
            </w:rPr>
          </w:sdtEndPr>
          <w:sdtContent>
            <w:p>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rPr>
              <w:rFonts w:cstheme="minorBidi"/>
              <w:szCs w:val="21"/>
            </w:rPr>
          </w:pPr>
        </w:p>
      </w:sdtContent>
    </w:sdt>
    <w:p>
      <w:pPr>
        <w:pStyle w:val="5"/>
        <w:numPr>
          <w:ilvl w:val="3"/>
          <w:numId w:val="100"/>
        </w:numPr>
        <w:tabs>
          <w:tab w:val="left" w:pos="630"/>
        </w:tabs>
        <w:rPr>
          <w:rFonts w:ascii="宋体" w:hAnsi="宋体" w:cs="Arial"/>
          <w:szCs w:val="21"/>
        </w:rPr>
      </w:pPr>
      <w:r>
        <w:rPr>
          <w:rFonts w:hint="eastAsia" w:ascii="宋体" w:hAnsi="宋体" w:cs="Arial"/>
          <w:szCs w:val="21"/>
        </w:rPr>
        <w:t>重要联营企业的主要财务信息</w:t>
      </w:r>
    </w:p>
    <w:sdt>
      <w:sdtPr>
        <w:rPr>
          <w:rFonts w:hint="eastAsia"/>
        </w:rPr>
        <w:alias w:val="模块:重要联营企业的主要财务信息"/>
        <w:tag w:val="_GBC_ac3eed998bbd4658ab651a88daefefb1"/>
        <w:id w:val="6775743"/>
        <w:lock w:val="sdtLocked"/>
        <w:placeholder>
          <w:docPart w:val="GBC22222222222222222222222222222"/>
        </w:placeholder>
      </w:sdtPr>
      <w:sdtEndPr>
        <w:rPr>
          <w:rFonts w:hint="default" w:cstheme="minorBidi"/>
          <w:szCs w:val="21"/>
        </w:rPr>
      </w:sdtEndPr>
      <w:sdtContent>
        <w:sdt>
          <w:sdtPr>
            <w:rPr>
              <w:rFonts w:hint="eastAsia"/>
            </w:rPr>
            <w:alias w:val="是否适用：重要联营企业的主要财务信息[双击切换]"/>
            <w:tag w:val="_GBC_e570958be6b64b7d8be73c12ea5135f1"/>
            <w:id w:val="6775714"/>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附注：重要联营企业的主要财务信息"/>
              <w:tag w:val="_GBC_0306b30be35040cd86d2b964142011d4"/>
              <w:id w:val="677571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67757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47"/>
            <w:gridCol w:w="2552"/>
            <w:gridCol w:w="25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trPr>
            <w:tc>
              <w:tcPr>
                <w:tcW w:w="3947" w:type="dxa"/>
                <w:vMerge w:val="restart"/>
                <w:tcBorders>
                  <w:top w:val="single" w:color="auto" w:sz="4" w:space="0"/>
                  <w:left w:val="single" w:color="auto" w:sz="4" w:space="0"/>
                  <w:bottom w:val="single" w:color="auto" w:sz="6" w:space="0"/>
                  <w:right w:val="single" w:color="auto" w:sz="6" w:space="0"/>
                </w:tcBorders>
                <w:shd w:val="clear" w:color="auto" w:fill="auto"/>
              </w:tcPr>
              <w:p>
                <w:pPr>
                  <w:jc w:val="center"/>
                  <w:rPr>
                    <w:rFonts w:cs="Arial"/>
                    <w:szCs w:val="21"/>
                  </w:rPr>
                </w:pPr>
              </w:p>
            </w:tc>
            <w:sdt>
              <w:sdtPr>
                <w:rPr>
                  <w:rFonts w:hint="eastAsia" w:cs="Arial"/>
                  <w:szCs w:val="21"/>
                  <w:lang w:val="en-GB"/>
                </w:rPr>
                <w:alias w:val="重要联营企业的主要财务信息-发生期间"/>
                <w:tag w:val="_GBC_3985273c74d84e5d9e0004348ff54fc3"/>
                <w:id w:val="6775717"/>
                <w:lock w:val="sdtLocked"/>
              </w:sdtPr>
              <w:sdtEndPr>
                <w:rPr>
                  <w:rFonts w:hint="eastAsia" w:cs="Arial"/>
                  <w:szCs w:val="21"/>
                  <w:lang w:val="en-GB"/>
                </w:rPr>
              </w:sdtEndPr>
              <w:sdtContent>
                <w:tc>
                  <w:tcPr>
                    <w:tcW w:w="2552"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cs="Arial"/>
                        <w:szCs w:val="21"/>
                      </w:rPr>
                    </w:pPr>
                    <w:r>
                      <w:rPr>
                        <w:rFonts w:hint="eastAsia" w:cs="Arial"/>
                        <w:szCs w:val="21"/>
                        <w:lang w:val="en-GB"/>
                      </w:rPr>
                      <w:t>期末余额</w:t>
                    </w:r>
                    <w:r>
                      <w:rPr>
                        <w:rFonts w:cs="Arial"/>
                        <w:szCs w:val="21"/>
                      </w:rPr>
                      <w:t xml:space="preserve">/ </w:t>
                    </w:r>
                    <w:r>
                      <w:rPr>
                        <w:rFonts w:hint="eastAsia" w:cs="Arial"/>
                        <w:szCs w:val="21"/>
                        <w:lang w:val="en-GB"/>
                      </w:rPr>
                      <w:t>本期发生额</w:t>
                    </w:r>
                  </w:p>
                </w:tc>
              </w:sdtContent>
            </w:sdt>
            <w:sdt>
              <w:sdtPr>
                <w:rPr>
                  <w:rFonts w:hint="eastAsia" w:cs="Arial"/>
                  <w:szCs w:val="21"/>
                  <w:lang w:val="en-GB"/>
                </w:rPr>
                <w:alias w:val="重要联营企业的主要财务信息-发生期间"/>
                <w:tag w:val="_GBC_c59f213bf9cc43468db35ae8e45286d0"/>
                <w:id w:val="6775718"/>
                <w:lock w:val="sdtLocked"/>
              </w:sdtPr>
              <w:sdtEndPr>
                <w:rPr>
                  <w:rFonts w:hint="eastAsia" w:cs="Arial"/>
                  <w:szCs w:val="21"/>
                  <w:lang w:val="en-GB"/>
                </w:rPr>
              </w:sdtEndPr>
              <w:sdtContent>
                <w:tc>
                  <w:tcPr>
                    <w:tcW w:w="2550"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cs="Arial"/>
                        <w:szCs w:val="21"/>
                        <w:lang w:val="en-GB"/>
                      </w:rPr>
                    </w:pPr>
                    <w:r>
                      <w:rPr>
                        <w:rFonts w:hint="eastAsia" w:cs="Arial"/>
                        <w:szCs w:val="21"/>
                        <w:lang w:val="en-GB"/>
                      </w:rPr>
                      <w:t>期初余额</w:t>
                    </w:r>
                    <w:r>
                      <w:rPr>
                        <w:rFonts w:cs="Arial"/>
                        <w:szCs w:val="21"/>
                      </w:rPr>
                      <w:t xml:space="preserve">/ </w:t>
                    </w:r>
                    <w:r>
                      <w:rPr>
                        <w:rFonts w:hint="eastAsia" w:cs="Arial"/>
                        <w:szCs w:val="21"/>
                        <w:lang w:val="en-GB"/>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trPr>
            <w:tc>
              <w:tcPr>
                <w:tcW w:w="3947" w:type="dxa"/>
                <w:vMerge w:val="continue"/>
                <w:tcBorders>
                  <w:top w:val="single" w:color="auto" w:sz="4" w:space="0"/>
                  <w:left w:val="single" w:color="auto" w:sz="4" w:space="0"/>
                  <w:bottom w:val="single" w:color="auto" w:sz="6" w:space="0"/>
                  <w:right w:val="single" w:color="auto" w:sz="6" w:space="0"/>
                </w:tcBorders>
                <w:shd w:val="clear" w:color="auto" w:fill="auto"/>
                <w:vAlign w:val="center"/>
              </w:tcPr>
              <w:p>
                <w:pPr>
                  <w:rPr>
                    <w:rFonts w:cs="Arial"/>
                    <w:szCs w:val="21"/>
                  </w:rPr>
                </w:pPr>
              </w:p>
            </w:tc>
            <w:sdt>
              <w:sdtPr>
                <w:rPr>
                  <w:szCs w:val="21"/>
                </w:rPr>
                <w:alias w:val="重要联营企业的主要财务信息明细-企业名称"/>
                <w:tag w:val="_GBC_efc7f4a58fe54a3fb8fad3e0deb94eae"/>
                <w:id w:val="6775719"/>
                <w:lock w:val="sdtLocked"/>
              </w:sdtPr>
              <w:sdtEndPr>
                <w:rPr>
                  <w:szCs w:val="21"/>
                </w:rPr>
              </w:sdtEndPr>
              <w:sdtContent>
                <w:tc>
                  <w:tcPr>
                    <w:tcW w:w="2552" w:type="dxa"/>
                    <w:tcBorders>
                      <w:top w:val="single" w:color="auto" w:sz="6" w:space="0"/>
                      <w:left w:val="single" w:color="auto" w:sz="6" w:space="0"/>
                      <w:right w:val="single" w:color="auto" w:sz="6" w:space="0"/>
                    </w:tcBorders>
                    <w:shd w:val="clear" w:color="auto" w:fill="auto"/>
                  </w:tcPr>
                  <w:p>
                    <w:pPr>
                      <w:jc w:val="center"/>
                      <w:rPr>
                        <w:szCs w:val="21"/>
                      </w:rPr>
                    </w:pPr>
                    <w:r>
                      <w:rPr>
                        <w:rFonts w:hint="eastAsia"/>
                        <w:szCs w:val="21"/>
                      </w:rPr>
                      <w:t>仙源</w:t>
                    </w:r>
                    <w:r>
                      <w:rPr>
                        <w:szCs w:val="21"/>
                      </w:rPr>
                      <w:t>公司</w:t>
                    </w:r>
                  </w:p>
                </w:tc>
              </w:sdtContent>
            </w:sdt>
            <w:sdt>
              <w:sdtPr>
                <w:rPr>
                  <w:szCs w:val="21"/>
                </w:rPr>
                <w:alias w:val="重要联营企业的主要财务信息明细-企业名称"/>
                <w:tag w:val="_GBC_ec035f4a8b8047b6ae76c73886ec26ca"/>
                <w:id w:val="6775720"/>
                <w:lock w:val="sdtLocked"/>
              </w:sdtPr>
              <w:sdtEndPr>
                <w:rPr>
                  <w:szCs w:val="21"/>
                </w:rPr>
              </w:sdtEndPr>
              <w:sdtContent>
                <w:tc>
                  <w:tcPr>
                    <w:tcW w:w="2550" w:type="dxa"/>
                    <w:tcBorders>
                      <w:top w:val="single" w:color="auto" w:sz="6" w:space="0"/>
                      <w:left w:val="single" w:color="auto" w:sz="6" w:space="0"/>
                      <w:bottom w:val="single" w:color="auto" w:sz="6" w:space="0"/>
                      <w:right w:val="single" w:color="auto" w:sz="6" w:space="0"/>
                    </w:tcBorders>
                    <w:shd w:val="clear" w:color="auto" w:fill="auto"/>
                  </w:tcPr>
                  <w:p>
                    <w:pPr>
                      <w:jc w:val="center"/>
                      <w:rPr>
                        <w:szCs w:val="21"/>
                      </w:rPr>
                    </w:pPr>
                    <w:r>
                      <w:rPr>
                        <w:rFonts w:hint="eastAsia"/>
                        <w:szCs w:val="21"/>
                      </w:rPr>
                      <w:t>仙源</w:t>
                    </w:r>
                    <w:r>
                      <w:rPr>
                        <w:szCs w:val="21"/>
                      </w:rPr>
                      <w:t>公司</w:t>
                    </w:r>
                  </w:p>
                </w:tc>
              </w:sdtContent>
            </w:sdt>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bd98f709ab6e4f96b4a06602fd995e5b"/>
                <w:id w:val="6775721"/>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流动资产</w:t>
                    </w:r>
                  </w:p>
                </w:tc>
              </w:sdtContent>
            </w:sdt>
            <w:tc>
              <w:tcPr>
                <w:tcW w:w="2552" w:type="dxa"/>
                <w:tcBorders>
                  <w:left w:val="single" w:color="auto" w:sz="6" w:space="0"/>
                  <w:right w:val="single" w:color="auto" w:sz="6" w:space="0"/>
                </w:tcBorders>
                <w:shd w:val="clear" w:color="auto" w:fill="auto"/>
              </w:tcPr>
              <w:p>
                <w:pPr>
                  <w:jc w:val="right"/>
                  <w:rPr>
                    <w:szCs w:val="21"/>
                  </w:rPr>
                </w:pPr>
                <w:r>
                  <w:t>1,779,398.89</w:t>
                </w: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r>
                  <w:t>838,599.86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d33c9f19c0bd4028900f4b049304e75b"/>
                <w:id w:val="6775722"/>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非流动资产</w:t>
                    </w:r>
                  </w:p>
                </w:tc>
              </w:sdtContent>
            </w:sdt>
            <w:tc>
              <w:tcPr>
                <w:tcW w:w="2552" w:type="dxa"/>
                <w:tcBorders>
                  <w:left w:val="single" w:color="auto" w:sz="6"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93b9a2f53b8c47c3b912a3f65bfa401f"/>
                <w:id w:val="6775723"/>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资产合计</w:t>
                    </w:r>
                  </w:p>
                </w:tc>
              </w:sdtContent>
            </w:sdt>
            <w:tc>
              <w:tcPr>
                <w:tcW w:w="2552" w:type="dxa"/>
                <w:tcBorders>
                  <w:left w:val="single" w:color="auto" w:sz="6" w:space="0"/>
                  <w:right w:val="single" w:color="auto" w:sz="6" w:space="0"/>
                </w:tcBorders>
                <w:shd w:val="clear" w:color="auto" w:fill="auto"/>
              </w:tcPr>
              <w:p>
                <w:pPr>
                  <w:jc w:val="right"/>
                  <w:rPr>
                    <w:szCs w:val="21"/>
                  </w:rPr>
                </w:pPr>
                <w:r>
                  <w:t>1,779,398.89</w:t>
                </w: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r>
                  <w:t>838,599.86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d5042a8897c74c8fa2567bf536f0b45c"/>
                <w:id w:val="6775724"/>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流动负债</w:t>
                    </w:r>
                  </w:p>
                </w:tc>
              </w:sdtContent>
            </w:sdt>
            <w:tc>
              <w:tcPr>
                <w:tcW w:w="2552" w:type="dxa"/>
                <w:tcBorders>
                  <w:left w:val="single" w:color="auto" w:sz="6" w:space="0"/>
                  <w:right w:val="single" w:color="auto" w:sz="6" w:space="0"/>
                </w:tcBorders>
                <w:shd w:val="clear" w:color="auto" w:fill="auto"/>
              </w:tcPr>
              <w:p>
                <w:pPr>
                  <w:jc w:val="right"/>
                  <w:rPr>
                    <w:szCs w:val="21"/>
                  </w:rPr>
                </w:pPr>
                <w:r>
                  <w:t>225,897.89</w:t>
                </w: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5328073d5a9f4e7a8dda720e99ff747d"/>
                <w:id w:val="6775725"/>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非流动负债</w:t>
                    </w:r>
                  </w:p>
                </w:tc>
              </w:sdtContent>
            </w:sdt>
            <w:tc>
              <w:tcPr>
                <w:tcW w:w="2552" w:type="dxa"/>
                <w:tcBorders>
                  <w:left w:val="single" w:color="auto" w:sz="6"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9cbbfa9377864d43b63aa61b4f155abf"/>
                <w:id w:val="6775726"/>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负债合计</w:t>
                    </w:r>
                  </w:p>
                </w:tc>
              </w:sdtContent>
            </w:sdt>
            <w:tc>
              <w:tcPr>
                <w:tcW w:w="2552" w:type="dxa"/>
                <w:tcBorders>
                  <w:left w:val="single" w:color="auto" w:sz="6" w:space="0"/>
                  <w:right w:val="single" w:color="auto" w:sz="6" w:space="0"/>
                </w:tcBorders>
                <w:shd w:val="clear" w:color="auto" w:fill="auto"/>
              </w:tcPr>
              <w:p>
                <w:pPr>
                  <w:jc w:val="right"/>
                  <w:rPr>
                    <w:szCs w:val="21"/>
                  </w:rPr>
                </w:pPr>
                <w:r>
                  <w:t>225,897.89</w:t>
                </w: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16753c98818d47ecb057fbb811eb12e0"/>
                <w:id w:val="6775727"/>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少数股东权益</w:t>
                    </w:r>
                  </w:p>
                </w:tc>
              </w:sdtContent>
            </w:sdt>
            <w:tc>
              <w:tcPr>
                <w:tcW w:w="2552" w:type="dxa"/>
                <w:tcBorders>
                  <w:left w:val="single" w:color="auto" w:sz="6"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a24a27859d54478ebb4bb56e062c15f9"/>
                <w:id w:val="6775728"/>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归属于母公司股东权益</w:t>
                    </w:r>
                  </w:p>
                </w:tc>
              </w:sdtContent>
            </w:sdt>
            <w:tc>
              <w:tcPr>
                <w:tcW w:w="2552" w:type="dxa"/>
                <w:tcBorders>
                  <w:left w:val="single" w:color="auto" w:sz="6" w:space="0"/>
                  <w:right w:val="single" w:color="auto" w:sz="6" w:space="0"/>
                </w:tcBorders>
                <w:shd w:val="clear" w:color="auto" w:fill="auto"/>
              </w:tcPr>
              <w:p>
                <w:pPr>
                  <w:jc w:val="right"/>
                  <w:rPr>
                    <w:szCs w:val="21"/>
                  </w:rPr>
                </w:pPr>
                <w:r>
                  <w:t>1,553,501.00</w:t>
                </w: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r>
                  <w:t>838,599.86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83760dd036554298ad568f0c4835493a"/>
                <w:id w:val="6775729"/>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按持股比例计算的净资产份额</w:t>
                    </w:r>
                  </w:p>
                </w:tc>
              </w:sdtContent>
            </w:sdt>
            <w:tc>
              <w:tcPr>
                <w:tcW w:w="2552" w:type="dxa"/>
                <w:tcBorders>
                  <w:left w:val="single" w:color="auto" w:sz="6" w:space="0"/>
                  <w:right w:val="single" w:color="auto" w:sz="6" w:space="0"/>
                </w:tcBorders>
                <w:shd w:val="clear" w:color="auto" w:fill="auto"/>
              </w:tcPr>
              <w:p>
                <w:pPr>
                  <w:jc w:val="right"/>
                  <w:rPr>
                    <w:szCs w:val="21"/>
                  </w:rPr>
                </w:pPr>
                <w:r>
                  <w:t>622,789.61</w:t>
                </w: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r>
                  <w:t>293,509.95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65d5a31f9fa341df9186936cb486be79"/>
                <w:id w:val="6775730"/>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调整事项</w:t>
                    </w:r>
                  </w:p>
                </w:tc>
              </w:sdtContent>
            </w:sdt>
            <w:tc>
              <w:tcPr>
                <w:tcW w:w="2552" w:type="dxa"/>
                <w:tcBorders>
                  <w:left w:val="single" w:color="auto" w:sz="6"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3b84f6fef53942f0bdb1e0f4fac47531"/>
                <w:id w:val="6775731"/>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cs="Arial"/>
                        <w:color w:val="000000"/>
                        <w:szCs w:val="21"/>
                      </w:rPr>
                      <w:t>--</w:t>
                    </w:r>
                    <w:r>
                      <w:rPr>
                        <w:rFonts w:hint="eastAsia" w:cs="Arial"/>
                        <w:color w:val="000000"/>
                        <w:szCs w:val="21"/>
                        <w:lang w:val="en-GB"/>
                      </w:rPr>
                      <w:t>商誉</w:t>
                    </w:r>
                  </w:p>
                </w:tc>
              </w:sdtContent>
            </w:sdt>
            <w:tc>
              <w:tcPr>
                <w:tcW w:w="2552" w:type="dxa"/>
                <w:tcBorders>
                  <w:left w:val="single" w:color="auto" w:sz="6"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19e094c58ac743409a1de824377c9f41"/>
                <w:id w:val="6775732"/>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cs="Arial"/>
                        <w:color w:val="000000"/>
                        <w:szCs w:val="21"/>
                      </w:rPr>
                      <w:t>--</w:t>
                    </w:r>
                    <w:r>
                      <w:rPr>
                        <w:rFonts w:hint="eastAsia" w:cs="Arial"/>
                        <w:color w:val="000000"/>
                        <w:szCs w:val="21"/>
                        <w:lang w:val="en-GB"/>
                      </w:rPr>
                      <w:t>内部交易未实现利润</w:t>
                    </w:r>
                  </w:p>
                </w:tc>
              </w:sdtContent>
            </w:sdt>
            <w:tc>
              <w:tcPr>
                <w:tcW w:w="2552" w:type="dxa"/>
                <w:tcBorders>
                  <w:left w:val="single" w:color="auto" w:sz="6"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40744878c73643e78916ab27167da56e"/>
                <w:id w:val="6775733"/>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cs="Arial"/>
                        <w:color w:val="000000"/>
                        <w:szCs w:val="21"/>
                      </w:rPr>
                      <w:t>--</w:t>
                    </w:r>
                    <w:r>
                      <w:rPr>
                        <w:rFonts w:hint="eastAsia" w:cs="Arial"/>
                        <w:color w:val="000000"/>
                        <w:szCs w:val="21"/>
                        <w:lang w:val="en-GB"/>
                      </w:rPr>
                      <w:t>其他</w:t>
                    </w:r>
                  </w:p>
                </w:tc>
              </w:sdtContent>
            </w:sdt>
            <w:tc>
              <w:tcPr>
                <w:tcW w:w="2552" w:type="dxa"/>
                <w:tcBorders>
                  <w:left w:val="single" w:color="auto" w:sz="6"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88aac7b4c3d3477a959d3c9bcd283178"/>
                <w:id w:val="6775734"/>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对联营企业权益投资的账面价值</w:t>
                    </w:r>
                  </w:p>
                </w:tc>
              </w:sdtContent>
            </w:sdt>
            <w:tc>
              <w:tcPr>
                <w:tcW w:w="2552" w:type="dxa"/>
                <w:tcBorders>
                  <w:left w:val="single" w:color="auto" w:sz="6"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e6318b53d54241479b21f864d5e6f6a9"/>
                <w:id w:val="6775735"/>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存在公开报价的联营企业权益投资的公允价值</w:t>
                    </w:r>
                  </w:p>
                </w:tc>
              </w:sdtContent>
            </w:sdt>
            <w:tc>
              <w:tcPr>
                <w:tcW w:w="2552" w:type="dxa"/>
                <w:tcBorders>
                  <w:left w:val="single" w:color="auto" w:sz="6"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9814be1c77a644928d7ffa3fb0b9d2e1"/>
                <w:id w:val="6775736"/>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营业收入</w:t>
                    </w:r>
                  </w:p>
                </w:tc>
              </w:sdtContent>
            </w:sdt>
            <w:tc>
              <w:tcPr>
                <w:tcW w:w="2552" w:type="dxa"/>
                <w:tcBorders>
                  <w:left w:val="single" w:color="auto" w:sz="6" w:space="0"/>
                  <w:right w:val="single" w:color="auto" w:sz="6" w:space="0"/>
                </w:tcBorders>
                <w:shd w:val="clear" w:color="auto" w:fill="auto"/>
              </w:tcPr>
              <w:p>
                <w:pPr>
                  <w:jc w:val="right"/>
                  <w:rPr>
                    <w:szCs w:val="21"/>
                  </w:rPr>
                </w:pPr>
                <w:r>
                  <w:rPr>
                    <w:szCs w:val="21"/>
                  </w:rPr>
                  <w:t>484,453.20</w:t>
                </w: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cc6add3e9dbe47cbae39d310932ff70b"/>
                <w:id w:val="6775737"/>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净利润</w:t>
                    </w:r>
                  </w:p>
                </w:tc>
              </w:sdtContent>
            </w:sdt>
            <w:tc>
              <w:tcPr>
                <w:tcW w:w="2552" w:type="dxa"/>
                <w:tcBorders>
                  <w:left w:val="single" w:color="auto" w:sz="6" w:space="0"/>
                  <w:right w:val="single" w:color="auto" w:sz="6" w:space="0"/>
                </w:tcBorders>
                <w:shd w:val="clear" w:color="auto" w:fill="auto"/>
              </w:tcPr>
              <w:p>
                <w:pPr>
                  <w:jc w:val="right"/>
                  <w:rPr>
                    <w:szCs w:val="21"/>
                  </w:rPr>
                </w:pPr>
                <w:r>
                  <w:t>-1,285,098.86</w:t>
                </w: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r>
                  <w:t>-101,545.67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5f33061a1f59495ebe589936031d001e"/>
                <w:id w:val="6775738"/>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lang w:val="en-GB"/>
                      </w:rPr>
                    </w:pPr>
                    <w:r>
                      <w:rPr>
                        <w:rFonts w:hint="eastAsia" w:cs="Arial"/>
                        <w:color w:val="000000"/>
                        <w:szCs w:val="21"/>
                        <w:lang w:val="en-GB"/>
                      </w:rPr>
                      <w:t>终止经营的净利润</w:t>
                    </w:r>
                  </w:p>
                </w:tc>
              </w:sdtContent>
            </w:sdt>
            <w:tc>
              <w:tcPr>
                <w:tcW w:w="2552" w:type="dxa"/>
                <w:tcBorders>
                  <w:left w:val="single" w:color="auto" w:sz="6"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150d11eed5f7496c9efbd41529cfb2fe"/>
                <w:id w:val="6775739"/>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其他综合收益</w:t>
                    </w:r>
                  </w:p>
                </w:tc>
              </w:sdtContent>
            </w:sdt>
            <w:tc>
              <w:tcPr>
                <w:tcW w:w="2552" w:type="dxa"/>
                <w:tcBorders>
                  <w:left w:val="single" w:color="auto" w:sz="6"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aca477b75b8548ffb0cae4d911df9f59"/>
                <w:id w:val="6775740"/>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综合收益总额</w:t>
                    </w:r>
                  </w:p>
                </w:tc>
              </w:sdtContent>
            </w:sdt>
            <w:tc>
              <w:tcPr>
                <w:tcW w:w="2552" w:type="dxa"/>
                <w:tcBorders>
                  <w:left w:val="single" w:color="auto" w:sz="6" w:space="0"/>
                  <w:right w:val="single" w:color="auto" w:sz="6" w:space="0"/>
                </w:tcBorders>
                <w:shd w:val="clear" w:color="auto" w:fill="auto"/>
              </w:tcPr>
              <w:p>
                <w:pPr>
                  <w:jc w:val="right"/>
                  <w:rPr>
                    <w:szCs w:val="21"/>
                  </w:rPr>
                </w:pPr>
                <w:r>
                  <w:rPr>
                    <w:szCs w:val="21"/>
                  </w:rPr>
                  <w:t>-1,285,098.86</w:t>
                </w:r>
              </w:p>
            </w:tc>
            <w:tc>
              <w:tcPr>
                <w:tcW w:w="2550" w:type="dxa"/>
                <w:tcBorders>
                  <w:top w:val="single" w:color="auto" w:sz="6" w:space="0"/>
                  <w:left w:val="single" w:color="auto" w:sz="6" w:space="0"/>
                  <w:bottom w:val="single" w:color="auto" w:sz="6" w:space="0"/>
                  <w:right w:val="single" w:color="auto" w:sz="6" w:space="0"/>
                </w:tcBorders>
              </w:tcPr>
              <w:p>
                <w:pPr>
                  <w:jc w:val="right"/>
                  <w:rPr>
                    <w:szCs w:val="21"/>
                  </w:rPr>
                </w:pPr>
                <w:r>
                  <w:t>-101,545.67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2c0ced87aa7249418772718451ec98cd"/>
                <w:id w:val="6775741"/>
                <w:lock w:val="sdtLocked"/>
              </w:sdtPr>
              <w:sdtContent>
                <w:tc>
                  <w:tcPr>
                    <w:tcW w:w="3947" w:type="dxa"/>
                    <w:tcBorders>
                      <w:top w:val="single" w:color="auto" w:sz="6" w:space="0"/>
                      <w:left w:val="single" w:color="auto" w:sz="4" w:space="0"/>
                      <w:bottom w:val="single" w:color="auto" w:sz="4" w:space="0"/>
                      <w:right w:val="single" w:color="auto" w:sz="6" w:space="0"/>
                    </w:tcBorders>
                    <w:shd w:val="clear" w:color="auto" w:fill="auto"/>
                    <w:vAlign w:val="bottom"/>
                  </w:tcPr>
                  <w:p>
                    <w:pPr>
                      <w:rPr>
                        <w:rFonts w:cs="Arial"/>
                        <w:color w:val="000000"/>
                        <w:szCs w:val="21"/>
                      </w:rPr>
                    </w:pPr>
                    <w:r>
                      <w:rPr>
                        <w:rFonts w:hint="eastAsia" w:cs="Arial"/>
                        <w:color w:val="000000"/>
                        <w:szCs w:val="21"/>
                        <w:lang w:val="en-GB"/>
                      </w:rPr>
                      <w:t>本年度收到的来自联营企业的股利</w:t>
                    </w:r>
                  </w:p>
                </w:tc>
              </w:sdtContent>
            </w:sdt>
            <w:tc>
              <w:tcPr>
                <w:tcW w:w="2552" w:type="dxa"/>
                <w:tcBorders>
                  <w:left w:val="single" w:color="auto" w:sz="6" w:space="0"/>
                  <w:bottom w:val="single" w:color="auto" w:sz="4" w:space="0"/>
                  <w:right w:val="single" w:color="auto" w:sz="6" w:space="0"/>
                </w:tcBorders>
                <w:shd w:val="clear" w:color="auto" w:fill="auto"/>
              </w:tcPr>
              <w:p>
                <w:pPr>
                  <w:jc w:val="right"/>
                  <w:rPr>
                    <w:szCs w:val="21"/>
                  </w:rPr>
                </w:pPr>
              </w:p>
            </w:tc>
            <w:tc>
              <w:tcPr>
                <w:tcW w:w="2550" w:type="dxa"/>
                <w:tcBorders>
                  <w:top w:val="single" w:color="auto" w:sz="6" w:space="0"/>
                  <w:left w:val="single" w:color="auto" w:sz="6" w:space="0"/>
                  <w:bottom w:val="single" w:color="auto" w:sz="4" w:space="0"/>
                  <w:right w:val="single" w:color="auto" w:sz="6" w:space="0"/>
                </w:tcBorders>
              </w:tcPr>
              <w:p>
                <w:pPr>
                  <w:jc w:val="right"/>
                  <w:rPr>
                    <w:szCs w:val="21"/>
                  </w:rPr>
                </w:pPr>
              </w:p>
            </w:tc>
          </w:tr>
        </w:tbl>
      </w:sdtContent>
    </w:sdt>
    <w:p>
      <w:pPr>
        <w:rPr>
          <w:rFonts w:cs="Arial"/>
          <w:szCs w:val="21"/>
        </w:rPr>
      </w:pPr>
    </w:p>
    <w:sdt>
      <w:sdtPr>
        <w:rPr>
          <w:rFonts w:hint="eastAsia" w:ascii="宋体" w:hAnsi="宋体" w:cs="Arial"/>
          <w:b w:val="0"/>
          <w:bCs w:val="0"/>
          <w:kern w:val="0"/>
          <w:szCs w:val="21"/>
        </w:rPr>
        <w:alias w:val="模块:不重要的合营企业和联营企业的汇总财务信息"/>
        <w:tag w:val="_GBC_7592afe8201c4b36a34fa177ca124037"/>
        <w:id w:val="6775745"/>
        <w:lock w:val="sdtLocked"/>
        <w:placeholder>
          <w:docPart w:val="GBC22222222222222222222222222222"/>
        </w:placeholder>
      </w:sdtPr>
      <w:sdtEndPr>
        <w:rPr>
          <w:rFonts w:hint="default" w:ascii="宋体" w:hAnsi="宋体" w:cs="Arial"/>
          <w:b w:val="0"/>
          <w:bCs w:val="0"/>
          <w:kern w:val="0"/>
          <w:szCs w:val="21"/>
        </w:rPr>
      </w:sdtEndPr>
      <w:sdtContent>
        <w:p>
          <w:pPr>
            <w:pStyle w:val="5"/>
            <w:numPr>
              <w:ilvl w:val="3"/>
              <w:numId w:val="100"/>
            </w:numPr>
            <w:tabs>
              <w:tab w:val="left" w:pos="630"/>
            </w:tabs>
            <w:rPr>
              <w:rFonts w:ascii="宋体" w:hAnsi="宋体" w:cs="Arial"/>
              <w:szCs w:val="21"/>
            </w:rPr>
          </w:pPr>
          <w:r>
            <w:rPr>
              <w:rFonts w:hint="eastAsia" w:ascii="宋体" w:hAnsi="宋体" w:cs="Arial"/>
              <w:szCs w:val="21"/>
            </w:rPr>
            <w:t>不重要的合营企业和联营企业的汇总财务信息</w:t>
          </w:r>
        </w:p>
        <w:sdt>
          <w:sdtPr>
            <w:rPr>
              <w:rFonts w:hint="eastAsia"/>
            </w:rPr>
            <w:alias w:val="是否适用：不重要的合营企业和联营企业的汇总财务信息[双击切换]"/>
            <w:tag w:val="_GBC_0aba65ffa2fc4a9db5812b38264da59a"/>
            <w:id w:val="6775744"/>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rPr>
              <w:rFonts w:cs="Arial"/>
              <w:szCs w:val="21"/>
            </w:rPr>
          </w:pPr>
        </w:p>
      </w:sdtContent>
    </w:sdt>
    <w:p>
      <w:pPr>
        <w:rPr>
          <w:rFonts w:cs="Arial"/>
          <w:szCs w:val="21"/>
        </w:rPr>
      </w:pPr>
    </w:p>
    <w:sdt>
      <w:sdtPr>
        <w:rPr>
          <w:rFonts w:hint="eastAsia" w:ascii="宋体" w:hAnsi="宋体" w:cs="Arial"/>
          <w:b w:val="0"/>
          <w:bCs w:val="0"/>
          <w:kern w:val="0"/>
          <w:szCs w:val="21"/>
        </w:rPr>
        <w:alias w:val="模块:合营企业或联营企业向公司转移资金的能力存在重大限制的说明"/>
        <w:tag w:val="_GBC_2874973c28b34357bf81a60947721baa"/>
        <w:id w:val="6775747"/>
        <w:lock w:val="sdtLocked"/>
        <w:placeholder>
          <w:docPart w:val="GBC22222222222222222222222222222"/>
        </w:placeholder>
      </w:sdtPr>
      <w:sdtEndPr>
        <w:rPr>
          <w:rFonts w:hint="eastAsia" w:ascii="宋体" w:hAnsi="宋体" w:cs="Arial"/>
          <w:b w:val="0"/>
          <w:bCs w:val="0"/>
          <w:kern w:val="0"/>
          <w:szCs w:val="21"/>
        </w:rPr>
      </w:sdtEndPr>
      <w:sdtContent>
        <w:p>
          <w:pPr>
            <w:pStyle w:val="5"/>
            <w:numPr>
              <w:ilvl w:val="3"/>
              <w:numId w:val="100"/>
            </w:numPr>
            <w:tabs>
              <w:tab w:val="left" w:pos="630"/>
            </w:tabs>
            <w:rPr>
              <w:rFonts w:ascii="宋体" w:hAnsi="宋体" w:cs="Arial"/>
              <w:szCs w:val="21"/>
            </w:rPr>
          </w:pPr>
          <w:r>
            <w:rPr>
              <w:rFonts w:hint="eastAsia" w:ascii="宋体" w:hAnsi="宋体" w:cs="Arial"/>
              <w:szCs w:val="21"/>
            </w:rPr>
            <w:t>合营企业或联营企业向本公司转移资金的能力存在重大限制的说明：</w:t>
          </w:r>
        </w:p>
        <w:sdt>
          <w:sdtPr>
            <w:rPr>
              <w:rFonts w:hint="eastAsia" w:cs="Arial"/>
              <w:szCs w:val="21"/>
            </w:rPr>
            <w:alias w:val="是否适用：合营企业或联营企业向本公司转移资金的能力存在重大限制的说明[双击切换]"/>
            <w:tag w:val="_GBC_6adf336cbf6141a59d29de2be4c5a55b"/>
            <w:id w:val="6775746"/>
            <w:lock w:val="sdtContentLocked"/>
            <w:placeholder>
              <w:docPart w:val="GBC22222222222222222222222222222"/>
            </w:placeholder>
          </w:sdtPr>
          <w:sdtEndPr>
            <w:rPr>
              <w:rFonts w:hint="eastAsia" w:cs="Arial"/>
              <w:szCs w:val="21"/>
            </w:rPr>
          </w:sdtEndPr>
          <w:sdtContent>
            <w:p>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pPr>
            <w:rPr>
              <w:rFonts w:cs="Arial"/>
              <w:szCs w:val="21"/>
            </w:rPr>
          </w:pPr>
        </w:p>
      </w:sdtContent>
    </w:sdt>
    <w:sdt>
      <w:sdtPr>
        <w:rPr>
          <w:rFonts w:hint="eastAsia" w:ascii="宋体" w:hAnsi="宋体" w:cs="Arial"/>
          <w:b w:val="0"/>
          <w:bCs w:val="0"/>
          <w:kern w:val="0"/>
          <w:szCs w:val="21"/>
        </w:rPr>
        <w:alias w:val="模块:合营企业或联营企业发生的超额亏损"/>
        <w:tag w:val="_GBC_a9980062c82d44acae24fae7368ea42f"/>
        <w:id w:val="6775749"/>
        <w:lock w:val="sdtLocked"/>
        <w:placeholder>
          <w:docPart w:val="GBC22222222222222222222222222222"/>
        </w:placeholder>
      </w:sdtPr>
      <w:sdtEndPr>
        <w:rPr>
          <w:rFonts w:hint="default" w:ascii="宋体" w:hAnsi="宋体" w:cstheme="minorBidi"/>
          <w:b w:val="0"/>
          <w:bCs w:val="0"/>
          <w:kern w:val="0"/>
          <w:szCs w:val="21"/>
        </w:rPr>
      </w:sdtEndPr>
      <w:sdtContent>
        <w:p>
          <w:pPr>
            <w:pStyle w:val="5"/>
            <w:numPr>
              <w:ilvl w:val="3"/>
              <w:numId w:val="100"/>
            </w:numPr>
            <w:tabs>
              <w:tab w:val="left" w:pos="630"/>
            </w:tabs>
            <w:rPr>
              <w:rFonts w:ascii="宋体" w:hAnsi="宋体" w:cs="Arial"/>
              <w:szCs w:val="21"/>
            </w:rPr>
          </w:pPr>
          <w:r>
            <w:rPr>
              <w:rFonts w:hint="eastAsia" w:ascii="宋体" w:hAnsi="宋体" w:cs="Arial"/>
              <w:szCs w:val="21"/>
            </w:rPr>
            <w:t>合营企业或联营企业发生的超额亏损</w:t>
          </w:r>
        </w:p>
        <w:sdt>
          <w:sdtPr>
            <w:rPr>
              <w:rFonts w:hint="eastAsia"/>
            </w:rPr>
            <w:alias w:val="是否适用：合营企业或联营企业发生的超额亏损[双击切换]"/>
            <w:tag w:val="_GBC_06d01e334df443999a288d3ef1be1420"/>
            <w:id w:val="6775748"/>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rPr>
              <w:rFonts w:cs="Arial"/>
              <w:szCs w:val="21"/>
            </w:rPr>
          </w:pPr>
        </w:p>
      </w:sdtContent>
    </w:sdt>
    <w:p>
      <w:pPr>
        <w:rPr>
          <w:rFonts w:cs="Arial"/>
          <w:szCs w:val="21"/>
        </w:rPr>
      </w:pPr>
    </w:p>
    <w:sdt>
      <w:sdtPr>
        <w:rPr>
          <w:rFonts w:hint="eastAsia" w:ascii="宋体" w:hAnsi="宋体" w:cs="Arial"/>
          <w:b w:val="0"/>
          <w:bCs w:val="0"/>
          <w:kern w:val="0"/>
          <w:szCs w:val="21"/>
        </w:rPr>
        <w:alias w:val="模块:与合营企业投资相关的未确认承诺"/>
        <w:tag w:val="_GBC_da055842bf8c4e9598b87bd760d969ec"/>
        <w:id w:val="6775751"/>
        <w:lock w:val="sdtLocked"/>
        <w:placeholder>
          <w:docPart w:val="GBC22222222222222222222222222222"/>
        </w:placeholder>
      </w:sdtPr>
      <w:sdtEndPr>
        <w:rPr>
          <w:rFonts w:hint="eastAsia" w:ascii="宋体" w:hAnsi="宋体" w:cs="Arial"/>
          <w:b w:val="0"/>
          <w:bCs w:val="0"/>
          <w:kern w:val="0"/>
          <w:szCs w:val="21"/>
        </w:rPr>
      </w:sdtEndPr>
      <w:sdtContent>
        <w:p>
          <w:pPr>
            <w:pStyle w:val="5"/>
            <w:numPr>
              <w:ilvl w:val="3"/>
              <w:numId w:val="100"/>
            </w:numPr>
            <w:tabs>
              <w:tab w:val="left" w:pos="630"/>
            </w:tabs>
            <w:rPr>
              <w:rFonts w:cs="Arial"/>
              <w:szCs w:val="21"/>
            </w:rPr>
          </w:pPr>
          <w:r>
            <w:rPr>
              <w:rFonts w:hint="eastAsia" w:cs="Arial"/>
              <w:szCs w:val="21"/>
            </w:rPr>
            <w:t>与合营企业</w:t>
          </w:r>
          <w:r>
            <w:rPr>
              <w:rFonts w:hint="eastAsia" w:ascii="宋体" w:hAnsi="宋体" w:cs="Arial"/>
              <w:szCs w:val="21"/>
            </w:rPr>
            <w:t>投资</w:t>
          </w:r>
          <w:r>
            <w:rPr>
              <w:rFonts w:hint="eastAsia" w:cs="Arial"/>
              <w:szCs w:val="21"/>
            </w:rPr>
            <w:t>相关的未确认承诺</w:t>
          </w:r>
        </w:p>
        <w:sdt>
          <w:sdtPr>
            <w:rPr>
              <w:rFonts w:hint="eastAsia" w:cs="Arial"/>
              <w:szCs w:val="21"/>
            </w:rPr>
            <w:alias w:val="是否适用：与合营企业投资相关的未确认承诺[双击切换]"/>
            <w:tag w:val="_GBC_31e45f9d52434cea9a9a27d328e562ec"/>
            <w:id w:val="6775750"/>
            <w:lock w:val="sdtContentLocked"/>
            <w:placeholder>
              <w:docPart w:val="GBC22222222222222222222222222222"/>
            </w:placeholder>
          </w:sdtPr>
          <w:sdtEndPr>
            <w:rPr>
              <w:rFonts w:hint="eastAsia" w:cs="Arial"/>
              <w:szCs w:val="21"/>
            </w:rPr>
          </w:sdtEndPr>
          <w:sdtContent>
            <w:p>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Content>
    </w:sdt>
    <w:p>
      <w:pPr>
        <w:rPr>
          <w:rFonts w:cs="Arial"/>
          <w:szCs w:val="21"/>
        </w:rPr>
      </w:pPr>
    </w:p>
    <w:sdt>
      <w:sdtPr>
        <w:rPr>
          <w:rFonts w:hint="eastAsia" w:ascii="宋体" w:hAnsi="宋体" w:cs="Arial"/>
          <w:b w:val="0"/>
          <w:bCs w:val="0"/>
          <w:kern w:val="0"/>
          <w:szCs w:val="21"/>
        </w:rPr>
        <w:alias w:val="模块:与合营企业或联营企业投资相关的或有负债"/>
        <w:tag w:val="_GBC_1f803def681a42ba91cdde709a067b3f"/>
        <w:id w:val="6775753"/>
        <w:lock w:val="sdtLocked"/>
        <w:placeholder>
          <w:docPart w:val="GBC22222222222222222222222222222"/>
        </w:placeholder>
      </w:sdtPr>
      <w:sdtEndPr>
        <w:rPr>
          <w:rFonts w:hint="eastAsia" w:ascii="宋体" w:hAnsi="宋体" w:cs="Arial"/>
          <w:b w:val="0"/>
          <w:bCs w:val="0"/>
          <w:kern w:val="0"/>
          <w:szCs w:val="21"/>
        </w:rPr>
      </w:sdtEndPr>
      <w:sdtContent>
        <w:p>
          <w:pPr>
            <w:pStyle w:val="5"/>
            <w:numPr>
              <w:ilvl w:val="3"/>
              <w:numId w:val="100"/>
            </w:numPr>
            <w:tabs>
              <w:tab w:val="left" w:pos="630"/>
            </w:tabs>
            <w:rPr>
              <w:rFonts w:cs="Arial"/>
              <w:szCs w:val="21"/>
            </w:rPr>
          </w:pPr>
          <w:r>
            <w:rPr>
              <w:rFonts w:hint="eastAsia" w:cs="Arial"/>
              <w:szCs w:val="21"/>
            </w:rPr>
            <w:t>与合营企业或联营企业投资相关的或有负债</w:t>
          </w:r>
        </w:p>
        <w:sdt>
          <w:sdtPr>
            <w:rPr>
              <w:rFonts w:hint="eastAsia" w:cs="Arial"/>
              <w:szCs w:val="21"/>
            </w:rPr>
            <w:alias w:val="是否适用：与合营企业或联营企业投资相关的或有负债[双击切换]"/>
            <w:tag w:val="_GBC_d3c6dfcab3ab42afb854d4ea2e7c9b9f"/>
            <w:id w:val="6775752"/>
            <w:lock w:val="sdtContentLocked"/>
            <w:placeholder>
              <w:docPart w:val="GBC22222222222222222222222222222"/>
            </w:placeholder>
          </w:sdtPr>
          <w:sdtEndPr>
            <w:rPr>
              <w:rFonts w:hint="eastAsia" w:cs="Arial"/>
              <w:szCs w:val="21"/>
            </w:rPr>
          </w:sdtEndPr>
          <w:sdtContent>
            <w:p>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Content>
    </w:sdt>
    <w:p>
      <w:pPr>
        <w:rPr>
          <w:rFonts w:cs="Arial"/>
          <w:szCs w:val="21"/>
        </w:rPr>
      </w:pPr>
    </w:p>
    <w:sdt>
      <w:sdtPr>
        <w:rPr>
          <w:rFonts w:hint="eastAsia" w:ascii="宋体" w:hAnsi="宋体" w:cs="Arial"/>
          <w:b w:val="0"/>
          <w:bCs w:val="0"/>
          <w:kern w:val="0"/>
          <w:szCs w:val="21"/>
        </w:rPr>
        <w:alias w:val="模块:重要的共同经营"/>
        <w:tag w:val="_GBC_90d44eb1222944759107483908112493"/>
        <w:id w:val="6775755"/>
        <w:lock w:val="sdtLocked"/>
        <w:placeholder>
          <w:docPart w:val="GBC22222222222222222222222222222"/>
        </w:placeholder>
      </w:sdtPr>
      <w:sdtEndPr>
        <w:rPr>
          <w:rFonts w:hint="default" w:ascii="宋体" w:hAnsi="宋体" w:cstheme="minorBidi"/>
          <w:b w:val="0"/>
          <w:bCs w:val="0"/>
          <w:kern w:val="0"/>
          <w:szCs w:val="21"/>
        </w:rPr>
      </w:sdtEndPr>
      <w:sdtContent>
        <w:p>
          <w:pPr>
            <w:pStyle w:val="4"/>
            <w:numPr>
              <w:ilvl w:val="2"/>
              <w:numId w:val="98"/>
            </w:numPr>
            <w:rPr>
              <w:rFonts w:ascii="宋体" w:hAnsi="宋体" w:cs="Arial"/>
              <w:szCs w:val="21"/>
            </w:rPr>
          </w:pPr>
          <w:r>
            <w:rPr>
              <w:rFonts w:hint="eastAsia" w:ascii="宋体" w:hAnsi="宋体" w:cs="Arial"/>
              <w:szCs w:val="21"/>
            </w:rPr>
            <w:t>重要的共同经营</w:t>
          </w:r>
        </w:p>
        <w:sdt>
          <w:sdtPr>
            <w:alias w:val="是否适用：重要的共同经营[双击切换]"/>
            <w:tag w:val="_GBC_8a0341a844454c89848e95b9c64a8efb"/>
            <w:id w:val="6775754"/>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rFonts w:cs="Arial"/>
              <w:szCs w:val="21"/>
            </w:rPr>
          </w:pPr>
        </w:p>
      </w:sdtContent>
    </w:sdt>
    <w:p>
      <w:pPr>
        <w:rPr>
          <w:rFonts w:cs="Arial"/>
          <w:szCs w:val="21"/>
        </w:rPr>
      </w:pPr>
    </w:p>
    <w:sdt>
      <w:sdtPr>
        <w:rPr>
          <w:rFonts w:hint="eastAsia" w:ascii="宋体" w:hAnsi="宋体" w:cs="Arial"/>
          <w:b w:val="0"/>
          <w:bCs w:val="0"/>
          <w:kern w:val="0"/>
          <w:szCs w:val="21"/>
        </w:rPr>
        <w:alias w:val="模块:在未纳入合并财务报表范围的结构化主体中的权益"/>
        <w:tag w:val="_GBC_5cfea65e45c44f1b9fdec762be35880d"/>
        <w:id w:val="6775757"/>
        <w:lock w:val="sdtLocked"/>
        <w:placeholder>
          <w:docPart w:val="GBC22222222222222222222222222222"/>
        </w:placeholder>
      </w:sdtPr>
      <w:sdtEndPr>
        <w:rPr>
          <w:rFonts w:hint="eastAsia" w:ascii="宋体" w:hAnsi="宋体" w:cs="Arial"/>
          <w:b w:val="0"/>
          <w:bCs w:val="0"/>
          <w:kern w:val="0"/>
          <w:szCs w:val="21"/>
        </w:rPr>
      </w:sdtEndPr>
      <w:sdtContent>
        <w:p>
          <w:pPr>
            <w:pStyle w:val="4"/>
            <w:numPr>
              <w:ilvl w:val="2"/>
              <w:numId w:val="98"/>
            </w:numPr>
            <w:rPr>
              <w:rFonts w:ascii="宋体" w:hAnsi="宋体" w:cs="Arial"/>
              <w:szCs w:val="21"/>
            </w:rPr>
          </w:pPr>
          <w:r>
            <w:rPr>
              <w:rFonts w:hint="eastAsia" w:ascii="宋体" w:hAnsi="宋体" w:cs="Arial"/>
              <w:szCs w:val="21"/>
            </w:rPr>
            <w:t>在未纳入合并财务报表范围的结构化主体中的权益</w:t>
          </w:r>
        </w:p>
        <w:p>
          <w:pPr>
            <w:rPr>
              <w:rFonts w:cs="Arial"/>
              <w:szCs w:val="21"/>
            </w:rPr>
          </w:pPr>
          <w:r>
            <w:rPr>
              <w:rFonts w:hint="eastAsia" w:cs="Arial"/>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6775756"/>
            <w:lock w:val="sdtContentLocked"/>
            <w:placeholder>
              <w:docPart w:val="GBC22222222222222222222222222222"/>
            </w:placeholder>
          </w:sdtPr>
          <w:sdtEndPr>
            <w:rPr>
              <w:rFonts w:cs="Arial"/>
              <w:szCs w:val="21"/>
            </w:rPr>
          </w:sdtEndPr>
          <w:sdtContent>
            <w:p>
              <w:pPr>
                <w:rPr>
                  <w:rFonts w:cs="Arial"/>
                  <w:szCs w:val="21"/>
                </w:rPr>
              </w:pPr>
              <w:r>
                <w:rPr>
                  <w:rFonts w:cs="Arial"/>
                  <w:szCs w:val="21"/>
                </w:rPr>
                <w:fldChar w:fldCharType="begin"/>
              </w:r>
              <w:r>
                <w:rPr>
                  <w:rFonts w:cs="Arial"/>
                  <w:szCs w:val="21"/>
                </w:rPr>
                <w:instrText xml:space="preserve">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pPr>
            <w:rPr>
              <w:rFonts w:cs="Arial"/>
              <w:szCs w:val="21"/>
            </w:rPr>
          </w:pPr>
        </w:p>
      </w:sdtContent>
    </w:sdt>
    <w:sdt>
      <w:sdtPr>
        <w:rPr>
          <w:rFonts w:hint="eastAsia" w:ascii="宋体" w:hAnsi="宋体" w:cs="Arial"/>
          <w:b w:val="0"/>
          <w:bCs w:val="0"/>
          <w:kern w:val="0"/>
          <w:szCs w:val="21"/>
        </w:rPr>
        <w:alias w:val="模块:在其他主体中的权益其他需要说明的事项"/>
        <w:tag w:val="_GBC_b24eb633f5244c748225389f3b3cedd1"/>
        <w:id w:val="6775759"/>
        <w:lock w:val="sdtLocked"/>
        <w:placeholder>
          <w:docPart w:val="GBC22222222222222222222222222222"/>
        </w:placeholder>
      </w:sdtPr>
      <w:sdtEndPr>
        <w:rPr>
          <w:rFonts w:hint="eastAsia" w:ascii="宋体" w:hAnsi="宋体" w:cs="Arial"/>
          <w:b w:val="0"/>
          <w:bCs w:val="0"/>
          <w:kern w:val="0"/>
          <w:szCs w:val="21"/>
        </w:rPr>
      </w:sdtEndPr>
      <w:sdtContent>
        <w:p>
          <w:pPr>
            <w:pStyle w:val="4"/>
            <w:numPr>
              <w:ilvl w:val="2"/>
              <w:numId w:val="98"/>
            </w:numPr>
            <w:rPr>
              <w:rFonts w:ascii="宋体" w:hAnsi="宋体" w:cs="Arial"/>
              <w:szCs w:val="21"/>
            </w:rPr>
          </w:pPr>
          <w:r>
            <w:rPr>
              <w:rFonts w:hint="eastAsia" w:ascii="宋体" w:hAnsi="宋体" w:cs="Arial"/>
              <w:szCs w:val="21"/>
            </w:rPr>
            <w:t>其他</w:t>
          </w:r>
        </w:p>
        <w:sdt>
          <w:sdtPr>
            <w:rPr>
              <w:rFonts w:hint="eastAsia"/>
            </w:rPr>
            <w:alias w:val="是否适用：在其他主体中的权益其他需要说明的事项[双击切换]"/>
            <w:tag w:val="_GBC_f97a284e61d54ed588c46ec336af6ef8"/>
            <w:id w:val="6775758"/>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sdt>
      <w:sdtPr>
        <w:rPr>
          <w:rFonts w:hint="eastAsia" w:ascii="宋体" w:hAnsi="宋体" w:cs="宋体"/>
          <w:b w:val="0"/>
          <w:bCs w:val="0"/>
          <w:kern w:val="0"/>
          <w:szCs w:val="24"/>
        </w:rPr>
        <w:alias w:val="模块:与金融工具相关的风险"/>
        <w:tag w:val="_GBC_815d628fea814e7191d23a3fcbe2783c"/>
        <w:id w:val="6775762"/>
        <w:lock w:val="sdtLocked"/>
        <w:placeholder>
          <w:docPart w:val="GBC22222222222222222222222222222"/>
        </w:placeholder>
      </w:sdtPr>
      <w:sdtEndPr>
        <w:rPr>
          <w:rFonts w:hint="eastAsia" w:ascii="宋体" w:hAnsi="宋体" w:cs="宋体"/>
          <w:b w:val="0"/>
          <w:bCs w:val="0"/>
          <w:kern w:val="0"/>
          <w:szCs w:val="24"/>
        </w:rPr>
      </w:sdtEndPr>
      <w:sdtContent>
        <w:p>
          <w:pPr>
            <w:pStyle w:val="3"/>
            <w:numPr>
              <w:ilvl w:val="0"/>
              <w:numId w:val="54"/>
            </w:numPr>
            <w:rPr>
              <w:rFonts w:ascii="宋体" w:hAnsi="宋体"/>
            </w:rPr>
          </w:pPr>
          <w:r>
            <w:rPr>
              <w:rFonts w:hint="eastAsia" w:ascii="宋体" w:hAnsi="宋体"/>
            </w:rPr>
            <w:t>与金融工具相关的风险</w:t>
          </w:r>
        </w:p>
        <w:sdt>
          <w:sdtPr>
            <w:alias w:val="是否适用：与金融工具相关的风险[双击切换]"/>
            <w:tag w:val="_GBC_2be38aac6aaa4945a48be2cdc11eaaf6"/>
            <w:id w:val="677576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金融工具相关的风险"/>
            <w:tag w:val="_GBC_f6714dfdbb554edeb7e7fde71c65346d"/>
            <w:id w:val="6775761"/>
            <w:lock w:val="sdtLocked"/>
            <w:placeholder>
              <w:docPart w:val="GBC22222222222222222222222222222"/>
            </w:placeholder>
          </w:sdtPr>
          <w:sdtEndPr>
            <w:rPr>
              <w:b/>
              <w:szCs w:val="21"/>
            </w:rPr>
          </w:sdtEndPr>
          <w:sdtContent>
            <w:p>
              <w:pPr>
                <w:rPr>
                  <w:szCs w:val="21"/>
                </w:rPr>
              </w:pPr>
              <w:r>
                <w:rPr>
                  <w:rFonts w:hint="eastAsia"/>
                  <w:szCs w:val="21"/>
                </w:rPr>
                <w:t>本公司的主要金融工具包括银行存款、应收账款、应收票据、银行借款、应付账款、应付票据、应付债券等。各金融工具详情见相关报表附注。这些金融工具导致的主要风险是汇率风险、信用风险和流动风险。本公司严密监控该等风险，以确保及时和有效地采取适当的措施防范风险。</w:t>
              </w:r>
            </w:p>
            <w:p>
              <w:pPr>
                <w:rPr>
                  <w:szCs w:val="21"/>
                </w:rPr>
              </w:pPr>
              <w:r>
                <w:rPr>
                  <w:szCs w:val="21"/>
                </w:rPr>
                <w:t>1、汇率风险</w:t>
              </w:r>
            </w:p>
            <w:p>
              <w:pPr>
                <w:rPr>
                  <w:szCs w:val="21"/>
                </w:rPr>
              </w:pPr>
              <w:r>
                <w:rPr>
                  <w:rFonts w:hint="eastAsia"/>
                  <w:szCs w:val="21"/>
                </w:rPr>
                <w:t>汇率风险是指影响本公司财务成果的外汇汇率变动引起的风险。本公司承受汇率风险主要与所持有美元的借款及银行存款、以美元结算的购销业务有关，由于美元与人民币之间的汇率变动使本公司面临汇率风险。公司密切跟踪汇率变动，提高对汇率市场的预判能力，合理利用银行避险工具，尽可能把汇率风险降至最低。</w:t>
              </w:r>
            </w:p>
            <w:p>
              <w:pPr>
                <w:rPr>
                  <w:szCs w:val="21"/>
                </w:rPr>
              </w:pPr>
              <w:r>
                <w:rPr>
                  <w:szCs w:val="21"/>
                </w:rPr>
                <w:t>2、信用风险</w:t>
              </w:r>
            </w:p>
            <w:p>
              <w:pPr>
                <w:rPr>
                  <w:szCs w:val="21"/>
                </w:rPr>
              </w:pPr>
              <w:r>
                <w:rPr>
                  <w:rFonts w:hint="eastAsia"/>
                  <w:szCs w:val="21"/>
                </w:rPr>
                <w:t>信用风险是指金融工具的一方不履行义务，造成另一方发生财务损失的风险。为降低信用风险，本公司在销售主营产品时一直坚持先款后货制度，收取的商业票据也主要以银行承兑汇票为主，原则上不收取商业承兑汇票。本公司管理层认为所承担的信用风险已经大为降低。此外，本公司的银行存款主要存放在信用评级较高的银行，存款的信用风险较低。</w:t>
              </w:r>
            </w:p>
            <w:p>
              <w:pPr>
                <w:rPr>
                  <w:szCs w:val="21"/>
                </w:rPr>
              </w:pPr>
              <w:r>
                <w:rPr>
                  <w:szCs w:val="21"/>
                </w:rPr>
                <w:t>3、流动风险</w:t>
              </w:r>
            </w:p>
            <w:p>
              <w:pPr>
                <w:rPr>
                  <w:szCs w:val="21"/>
                </w:rPr>
              </w:pPr>
              <w:r>
                <w:rPr>
                  <w:rFonts w:hint="eastAsia"/>
                  <w:szCs w:val="21"/>
                </w:rPr>
                <w:t>本公司注重自身信用风险，加强内部管理，与各金融机构保持着长期、友好的战略性合作，并将银行借款作为重要的资金来源，在企业经营过程中适时通过发行公司债、调整长、短期借款等不断优化负债结构，并随着市场环境变动适时调整存量资金，以满足本公司生产经营需要，降低流动性风险。</w:t>
              </w:r>
            </w:p>
            <w:p>
              <w:pPr>
                <w:rPr>
                  <w:b/>
                  <w:szCs w:val="21"/>
                </w:rPr>
              </w:pPr>
            </w:p>
          </w:sdtContent>
        </w:sdt>
        <w:p>
          <w:pPr>
            <w:rPr>
              <w:color w:val="808080"/>
              <w:szCs w:val="21"/>
            </w:rPr>
          </w:pPr>
        </w:p>
      </w:sdtContent>
    </w:sdt>
    <w:p>
      <w:pPr>
        <w:pStyle w:val="3"/>
        <w:numPr>
          <w:ilvl w:val="0"/>
          <w:numId w:val="54"/>
        </w:numPr>
        <w:rPr>
          <w:rFonts w:ascii="宋体" w:hAnsi="宋体"/>
        </w:rPr>
      </w:pPr>
      <w:r>
        <w:rPr>
          <w:rFonts w:hint="eastAsia" w:ascii="宋体" w:hAnsi="宋体"/>
        </w:rPr>
        <w:t>公允价值的披露</w:t>
      </w:r>
    </w:p>
    <w:sdt>
      <w:sdtPr>
        <w:rPr>
          <w:rFonts w:hint="eastAsia" w:ascii="宋体" w:hAnsi="宋体" w:cs="宋体"/>
          <w:b w:val="0"/>
          <w:bCs w:val="0"/>
          <w:kern w:val="0"/>
          <w:szCs w:val="24"/>
        </w:rPr>
        <w:alias w:val="模块:以公允价值计量的资产和负债的期末公允价值"/>
        <w:tag w:val="_GBC_b5067cea5bbf475388ac2623e2c669d7"/>
        <w:id w:val="6775803"/>
        <w:lock w:val="sdtLocked"/>
        <w:placeholder>
          <w:docPart w:val="GBC22222222222222222222222222222"/>
        </w:placeholder>
      </w:sdtPr>
      <w:sdtEndPr>
        <w:rPr>
          <w:rFonts w:hint="eastAsia" w:ascii="宋体" w:hAnsi="宋体" w:cstheme="minorBidi"/>
          <w:b w:val="0"/>
          <w:bCs w:val="0"/>
          <w:kern w:val="0"/>
          <w:szCs w:val="21"/>
        </w:rPr>
      </w:sdtEndPr>
      <w:sdtContent>
        <w:p>
          <w:pPr>
            <w:pStyle w:val="4"/>
            <w:numPr>
              <w:ilvl w:val="0"/>
              <w:numId w:val="101"/>
            </w:numPr>
          </w:pPr>
          <w:r>
            <w:rPr>
              <w:rFonts w:hint="eastAsia"/>
            </w:rPr>
            <w:t>以公允价值计量的资产和负债的期末公允价值</w:t>
          </w:r>
        </w:p>
        <w:sdt>
          <w:sdtPr>
            <w:rPr>
              <w:rFonts w:hint="eastAsia"/>
            </w:rPr>
            <w:alias w:val="是否适用：以公允价值计量的资产和负债的期末公允价值[双击切换]"/>
            <w:tag w:val="_GBC_a844438553bd4b8e89b424963f814a3e"/>
            <w:id w:val="6775763"/>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附注：以公允价值计量的资产和负债的期末公允价值"/>
              <w:tag w:val="_GBC_4b785696cde44d3f8a4a7d28ab963e38"/>
              <w:id w:val="677576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67757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145"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404"/>
            <w:gridCol w:w="1558"/>
            <w:gridCol w:w="1277"/>
            <w:gridCol w:w="1419"/>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5" w:hRule="atLeast"/>
            </w:trPr>
            <w:sdt>
              <w:sdtPr>
                <w:tag w:val="_PLD_8ed22899f6e74873a320afc10207305b"/>
                <w:id w:val="6775766"/>
                <w:lock w:val="sdtLocked"/>
              </w:sdtPr>
              <w:sdtContent>
                <w:tc>
                  <w:tcPr>
                    <w:tcW w:w="3404" w:type="dxa"/>
                    <w:vMerge w:val="restart"/>
                    <w:tcBorders>
                      <w:top w:val="single" w:color="auto" w:sz="4" w:space="0"/>
                      <w:left w:val="single" w:color="auto" w:sz="4" w:space="0"/>
                      <w:right w:val="single" w:color="auto" w:sz="4" w:space="0"/>
                    </w:tcBorders>
                    <w:shd w:val="clear" w:color="auto" w:fill="auto"/>
                    <w:vAlign w:val="center"/>
                  </w:tcPr>
                  <w:p>
                    <w:pPr>
                      <w:jc w:val="center"/>
                      <w:outlineLvl w:val="2"/>
                      <w:rPr>
                        <w:rFonts w:cs="Cambria"/>
                        <w:szCs w:val="21"/>
                      </w:rPr>
                    </w:pPr>
                    <w:r>
                      <w:rPr>
                        <w:rFonts w:hint="eastAsia" w:cs="Cambria"/>
                        <w:szCs w:val="21"/>
                      </w:rPr>
                      <w:t>项目</w:t>
                    </w:r>
                  </w:p>
                </w:tc>
              </w:sdtContent>
            </w:sdt>
            <w:sdt>
              <w:sdtPr>
                <w:tag w:val="_PLD_4f92536f98fc4d41ac4935dc55a9adf0"/>
                <w:id w:val="6775767"/>
                <w:lock w:val="sdtLocked"/>
              </w:sdtPr>
              <w:sdtContent>
                <w:tc>
                  <w:tcPr>
                    <w:tcW w:w="57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2"/>
                      <w:rPr>
                        <w:rFonts w:cs="Cambria"/>
                        <w:szCs w:val="21"/>
                      </w:rPr>
                    </w:pPr>
                    <w:r>
                      <w:rPr>
                        <w:rFonts w:hint="eastAsia" w:cs="Cambria"/>
                        <w:szCs w:val="21"/>
                      </w:rPr>
                      <w:t>期末公允价值</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5" w:hRule="atLeast"/>
            </w:trPr>
            <w:tc>
              <w:tcPr>
                <w:tcW w:w="3404" w:type="dxa"/>
                <w:vMerge w:val="continue"/>
                <w:tcBorders>
                  <w:left w:val="single" w:color="auto" w:sz="4" w:space="0"/>
                  <w:bottom w:val="single" w:color="auto" w:sz="4" w:space="0"/>
                  <w:right w:val="single" w:color="auto" w:sz="4" w:space="0"/>
                </w:tcBorders>
                <w:shd w:val="clear" w:color="auto" w:fill="auto"/>
                <w:vAlign w:val="center"/>
              </w:tcPr>
              <w:p>
                <w:pPr>
                  <w:jc w:val="center"/>
                  <w:outlineLvl w:val="2"/>
                  <w:rPr>
                    <w:rFonts w:cs="Cambria"/>
                    <w:szCs w:val="21"/>
                  </w:rPr>
                </w:pPr>
              </w:p>
            </w:tc>
            <w:sdt>
              <w:sdtPr>
                <w:tag w:val="_PLD_b1aae0314b6e4debaafd3e0ea66a1228"/>
                <w:id w:val="6775768"/>
                <w:lock w:val="sdtLocked"/>
              </w:sdtPr>
              <w:sdtContent>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2"/>
                      <w:rPr>
                        <w:rFonts w:cs="Cambria"/>
                        <w:szCs w:val="21"/>
                      </w:rPr>
                    </w:pPr>
                    <w:r>
                      <w:rPr>
                        <w:rFonts w:hint="eastAsia" w:cs="Cambria"/>
                        <w:szCs w:val="21"/>
                      </w:rPr>
                      <w:t>第一层次公允价值计量</w:t>
                    </w:r>
                  </w:p>
                </w:tc>
              </w:sdtContent>
            </w:sdt>
            <w:sdt>
              <w:sdtPr>
                <w:tag w:val="_PLD_3d2bc06f877d45ac8400bc67f0e182d4"/>
                <w:id w:val="6775769"/>
                <w:lock w:val="sdtLocked"/>
              </w:sdtPr>
              <w:sdtContent>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2"/>
                      <w:rPr>
                        <w:rFonts w:cs="Cambria"/>
                        <w:szCs w:val="21"/>
                      </w:rPr>
                    </w:pPr>
                    <w:r>
                      <w:rPr>
                        <w:rFonts w:hint="eastAsia" w:cs="Cambria"/>
                        <w:szCs w:val="21"/>
                      </w:rPr>
                      <w:t>第二层次公允价值计量</w:t>
                    </w:r>
                  </w:p>
                </w:tc>
              </w:sdtContent>
            </w:sdt>
            <w:sdt>
              <w:sdtPr>
                <w:tag w:val="_PLD_6ecc4076a8e247788138a7a89fdc0040"/>
                <w:id w:val="6775770"/>
                <w:lock w:val="sdtLocked"/>
              </w:sdtPr>
              <w:sdtContent>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2"/>
                      <w:rPr>
                        <w:rFonts w:cs="Cambria"/>
                        <w:szCs w:val="21"/>
                      </w:rPr>
                    </w:pPr>
                    <w:r>
                      <w:rPr>
                        <w:rFonts w:hint="eastAsia" w:cs="Cambria"/>
                        <w:szCs w:val="21"/>
                      </w:rPr>
                      <w:t>第三层次公允价值计量</w:t>
                    </w:r>
                  </w:p>
                </w:tc>
              </w:sdtContent>
            </w:sdt>
            <w:sdt>
              <w:sdtPr>
                <w:tag w:val="_PLD_f2d2a29f9297497a89fc231e74f52d70"/>
                <w:id w:val="6775771"/>
                <w:lock w:val="sdtLocked"/>
              </w:sdtPr>
              <w:sdtContent>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2"/>
                      <w:rPr>
                        <w:rFonts w:cs="Cambria"/>
                        <w:szCs w:val="21"/>
                      </w:rPr>
                    </w:pPr>
                    <w:r>
                      <w:rPr>
                        <w:rFonts w:hint="eastAsia" w:cs="Cambria"/>
                        <w:szCs w:val="21"/>
                      </w:rPr>
                      <w:t>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7" w:hRule="atLeast"/>
            </w:trPr>
            <w:sdt>
              <w:sdtPr>
                <w:tag w:val="_PLD_5925139c0eb2462db807dfa1c319e54d"/>
                <w:id w:val="6775772"/>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b/>
                        <w:szCs w:val="21"/>
                      </w:rPr>
                    </w:pPr>
                    <w:r>
                      <w:rPr>
                        <w:rFonts w:hint="eastAsia" w:cs="Cambria"/>
                        <w:b/>
                        <w:szCs w:val="21"/>
                      </w:rPr>
                      <w:t>一、持续的公允价值计量</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8" w:hRule="atLeast"/>
            </w:trPr>
            <w:sdt>
              <w:sdtPr>
                <w:tag w:val="_PLD_5d1980d44c6a40fab4f44e0442ae2edc"/>
                <w:id w:val="6775773"/>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（一）以公允价值计量且变动计入当期损益的金融资产</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r>
                  <w:t>27,568,000.00</w:t>
                </w: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r>
                  <w:t>27,568,000.00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a142877621334a029d1f2a9b6474326e"/>
                <w:id w:val="6775774"/>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cs="Cambria"/>
                        <w:szCs w:val="21"/>
                      </w:rPr>
                      <w:t xml:space="preserve">1. </w:t>
                    </w:r>
                    <w:r>
                      <w:rPr>
                        <w:rFonts w:hint="eastAsia" w:cs="Cambria"/>
                        <w:szCs w:val="21"/>
                      </w:rPr>
                      <w:t>交易性金融资产</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r>
                  <w:t>27,568,000.00</w:t>
                </w: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r>
                  <w:t>27,568,000.00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210653a12a7043ecaa9c97f63e709a59"/>
                <w:id w:val="6775775"/>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w:t>
                    </w:r>
                    <w:r>
                      <w:rPr>
                        <w:rFonts w:cs="Cambria"/>
                        <w:szCs w:val="21"/>
                      </w:rPr>
                      <w:t>1</w:t>
                    </w:r>
                    <w:r>
                      <w:rPr>
                        <w:rFonts w:hint="eastAsia" w:cs="Cambria"/>
                        <w:szCs w:val="21"/>
                      </w:rPr>
                      <w:t>）债务工具投资</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r>
                  <w:t>27,568,000.00</w:t>
                </w: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r>
                  <w:t>27,568,000.00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239e1e7491244263b7b1c57483f88fce"/>
                <w:id w:val="6775776"/>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w:t>
                    </w:r>
                    <w:r>
                      <w:rPr>
                        <w:rFonts w:cs="Cambria"/>
                        <w:szCs w:val="21"/>
                      </w:rPr>
                      <w:t>2</w:t>
                    </w:r>
                    <w:r>
                      <w:rPr>
                        <w:rFonts w:hint="eastAsia" w:cs="Cambria"/>
                        <w:szCs w:val="21"/>
                      </w:rPr>
                      <w:t>）权益工具投资</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d9f44ba9cde84bad9407c9fe2aaa9eda"/>
                <w:id w:val="6775777"/>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w:t>
                    </w:r>
                    <w:r>
                      <w:rPr>
                        <w:rFonts w:cs="Cambria"/>
                        <w:szCs w:val="21"/>
                      </w:rPr>
                      <w:t>3</w:t>
                    </w:r>
                    <w:r>
                      <w:rPr>
                        <w:rFonts w:hint="eastAsia" w:cs="Cambria"/>
                        <w:szCs w:val="21"/>
                      </w:rPr>
                      <w:t>）衍生金融资产</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9" w:hRule="atLeast"/>
            </w:trPr>
            <w:sdt>
              <w:sdtPr>
                <w:tag w:val="_PLD_5174271a9f3b4c1d9ac8faef9ffd9189"/>
                <w:id w:val="6775778"/>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cs="Cambria"/>
                        <w:szCs w:val="21"/>
                      </w:rPr>
                      <w:t xml:space="preserve">2. </w:t>
                    </w:r>
                    <w:r>
                      <w:rPr>
                        <w:rFonts w:hint="eastAsia" w:cs="Cambria"/>
                        <w:szCs w:val="21"/>
                      </w:rPr>
                      <w:t>指定以公允价值计量且其变动计入当期损益的金融资产</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f54524e5fd9f4b0db361a00e224d8989"/>
                <w:id w:val="6775779"/>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w:t>
                    </w:r>
                    <w:r>
                      <w:rPr>
                        <w:rFonts w:cs="Cambria"/>
                        <w:szCs w:val="21"/>
                      </w:rPr>
                      <w:t>1</w:t>
                    </w:r>
                    <w:r>
                      <w:rPr>
                        <w:rFonts w:hint="eastAsia" w:cs="Cambria"/>
                        <w:szCs w:val="21"/>
                      </w:rPr>
                      <w:t>）债务工具投资</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2c849981aaa54f2dab295cf3c52b4d48"/>
                <w:id w:val="6775780"/>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w:t>
                    </w:r>
                    <w:r>
                      <w:rPr>
                        <w:rFonts w:cs="Cambria"/>
                        <w:szCs w:val="21"/>
                      </w:rPr>
                      <w:t>2</w:t>
                    </w:r>
                    <w:r>
                      <w:rPr>
                        <w:rFonts w:hint="eastAsia" w:cs="Cambria"/>
                        <w:szCs w:val="21"/>
                      </w:rPr>
                      <w:t>）权益工具投资</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6742a3ac261940d9bf0909659c6b139f"/>
                <w:id w:val="6775781"/>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（二）可供出售金融资产</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0a75b2be889a417fa1829bfdd064d849"/>
                <w:id w:val="6775782"/>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w:t>
                    </w:r>
                    <w:r>
                      <w:rPr>
                        <w:rFonts w:cs="Cambria"/>
                        <w:szCs w:val="21"/>
                      </w:rPr>
                      <w:t>1</w:t>
                    </w:r>
                    <w:r>
                      <w:rPr>
                        <w:rFonts w:hint="eastAsia" w:cs="Cambria"/>
                        <w:szCs w:val="21"/>
                      </w:rPr>
                      <w:t>）债务工具投资</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f5812e006f6d4267b818a71b61352aa6"/>
                <w:id w:val="6775783"/>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w:t>
                    </w:r>
                    <w:r>
                      <w:rPr>
                        <w:rFonts w:cs="Cambria"/>
                        <w:szCs w:val="21"/>
                      </w:rPr>
                      <w:t>2</w:t>
                    </w:r>
                    <w:r>
                      <w:rPr>
                        <w:rFonts w:hint="eastAsia" w:cs="Cambria"/>
                        <w:szCs w:val="21"/>
                      </w:rPr>
                      <w:t>）权益工具投资</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68c18a9ff6ea49a1b12601105db67149"/>
                <w:id w:val="6775784"/>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w:t>
                    </w:r>
                    <w:r>
                      <w:rPr>
                        <w:rFonts w:cs="Cambria"/>
                        <w:szCs w:val="21"/>
                      </w:rPr>
                      <w:t>3</w:t>
                    </w:r>
                    <w:r>
                      <w:rPr>
                        <w:rFonts w:hint="eastAsia" w:cs="Cambria"/>
                        <w:szCs w:val="21"/>
                      </w:rPr>
                      <w:t>）其他</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d5df1c73f3fc491da4cc5316e55eba73"/>
                <w:id w:val="6775785"/>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（三）投资性房地产</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54b0dc965c6f40c092fd213b166128ec"/>
                <w:id w:val="6775786"/>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cs="Cambria"/>
                        <w:szCs w:val="21"/>
                      </w:rPr>
                      <w:t>1.</w:t>
                    </w:r>
                    <w:r>
                      <w:rPr>
                        <w:rFonts w:hint="eastAsia" w:cs="Cambria"/>
                        <w:szCs w:val="21"/>
                      </w:rPr>
                      <w:t>出租用的土地使用权</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eb282ba152c446569332e6b184584cc9"/>
                <w:id w:val="6775787"/>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cs="Cambria"/>
                        <w:szCs w:val="21"/>
                      </w:rPr>
                      <w:t>2.</w:t>
                    </w:r>
                    <w:r>
                      <w:rPr>
                        <w:rFonts w:hint="eastAsia" w:cs="Cambria"/>
                        <w:szCs w:val="21"/>
                      </w:rPr>
                      <w:t>出租的建筑物</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8" w:hRule="atLeast"/>
            </w:trPr>
            <w:sdt>
              <w:sdtPr>
                <w:tag w:val="_PLD_849ca68e93354090b94da6d4a6f5fb2f"/>
                <w:id w:val="6775788"/>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cs="Cambria"/>
                        <w:szCs w:val="21"/>
                      </w:rPr>
                      <w:t>3.</w:t>
                    </w:r>
                    <w:r>
                      <w:rPr>
                        <w:rFonts w:hint="eastAsia" w:cs="Cambria"/>
                        <w:szCs w:val="21"/>
                      </w:rPr>
                      <w:t>持有并准备增值后转让的土地使用权</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d6e2a05b505c4291b919720caac4a180"/>
                <w:id w:val="6775789"/>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（四）生物资产</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7c24bf952eff43ea9533694376f19c31"/>
                <w:id w:val="6775790"/>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cs="Cambria"/>
                        <w:szCs w:val="21"/>
                      </w:rPr>
                      <w:t>1.</w:t>
                    </w:r>
                    <w:r>
                      <w:rPr>
                        <w:rFonts w:hint="eastAsia" w:cs="Cambria"/>
                        <w:szCs w:val="21"/>
                      </w:rPr>
                      <w:t>消耗性生物资产</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bfd9c3d0c0d64816890cda11f7813e17"/>
                <w:id w:val="6775791"/>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cs="Cambria"/>
                        <w:szCs w:val="21"/>
                      </w:rPr>
                      <w:t>2.</w:t>
                    </w:r>
                    <w:r>
                      <w:rPr>
                        <w:rFonts w:hint="eastAsia" w:cs="Cambria"/>
                        <w:szCs w:val="21"/>
                      </w:rPr>
                      <w:t>生产性生物资产</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8" w:hRule="atLeast"/>
            </w:trPr>
            <w:sdt>
              <w:sdtPr>
                <w:tag w:val="_PLD_65dc6875b85c42c4b5e43839604c1264"/>
                <w:id w:val="6775792"/>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b/>
                        <w:szCs w:val="21"/>
                      </w:rPr>
                    </w:pPr>
                    <w:r>
                      <w:rPr>
                        <w:rFonts w:hint="eastAsia" w:cs="Cambria"/>
                        <w:b/>
                        <w:szCs w:val="21"/>
                      </w:rPr>
                      <w:t>持续以公允价值计量的资产总额</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b/>
                    <w:szCs w:val="21"/>
                  </w:rPr>
                </w:pPr>
                <w:r>
                  <w:rPr>
                    <w:b/>
                  </w:rPr>
                  <w:t>27,568,000.00</w:t>
                </w: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b/>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b/>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b/>
                    <w:szCs w:val="21"/>
                  </w:rPr>
                </w:pPr>
                <w:r>
                  <w:rPr>
                    <w:b/>
                  </w:rPr>
                  <w:t>27,568,000.00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trPr>
            <w:sdt>
              <w:sdtPr>
                <w:tag w:val="_PLD_439d7b0b7bfa43cbb44c34a61292d3f6"/>
                <w:id w:val="6775793"/>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（五）交易性金融负债</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9cf6df6383654da083795057cad8fed1"/>
                <w:id w:val="6775794"/>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其中：发行的交易性债券</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pPr>
              </w:p>
            </w:tc>
            <w:tc>
              <w:tcPr>
                <w:tcW w:w="1419" w:type="dxa"/>
                <w:tcBorders>
                  <w:top w:val="single" w:color="auto" w:sz="4" w:space="0"/>
                  <w:left w:val="single" w:color="auto" w:sz="4" w:space="0"/>
                  <w:bottom w:val="single" w:color="auto" w:sz="4" w:space="0"/>
                  <w:right w:val="single" w:color="auto" w:sz="4" w:space="0"/>
                </w:tcBorders>
              </w:tcPr>
              <w:p>
                <w:pPr>
                  <w:jc w:val="right"/>
                </w:pPr>
              </w:p>
            </w:tc>
            <w:tc>
              <w:tcPr>
                <w:tcW w:w="1487" w:type="dxa"/>
                <w:tcBorders>
                  <w:top w:val="single" w:color="auto" w:sz="4" w:space="0"/>
                  <w:left w:val="single" w:color="auto" w:sz="4" w:space="0"/>
                  <w:bottom w:val="single" w:color="auto" w:sz="4" w:space="0"/>
                  <w:right w:val="single"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6" w:hRule="atLeast"/>
            </w:trPr>
            <w:sdt>
              <w:sdtPr>
                <w:tag w:val="_PLD_148a4d13dfbe48eb965c8e3149cf16fb"/>
                <w:id w:val="6775795"/>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tabs>
                        <w:tab w:val="left" w:pos="432"/>
                        <w:tab w:val="center" w:pos="5630"/>
                        <w:tab w:val="center" w:pos="7430"/>
                      </w:tabs>
                      <w:ind w:firstLine="630" w:firstLineChars="300"/>
                      <w:rPr>
                        <w:rFonts w:cs="Cambria"/>
                        <w:szCs w:val="21"/>
                      </w:rPr>
                    </w:pPr>
                    <w:r>
                      <w:rPr>
                        <w:rFonts w:hint="eastAsia" w:cs="Cambria"/>
                        <w:szCs w:val="21"/>
                      </w:rPr>
                      <w:t>衍生金融负债</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sdt>
              <w:sdtPr>
                <w:tag w:val="_PLD_967c2d761441423d8c75ade2ff1f4af9"/>
                <w:id w:val="6775796"/>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tabs>
                        <w:tab w:val="left" w:pos="432"/>
                        <w:tab w:val="center" w:pos="5630"/>
                        <w:tab w:val="center" w:pos="7430"/>
                      </w:tabs>
                      <w:ind w:firstLine="630" w:firstLineChars="300"/>
                      <w:rPr>
                        <w:rFonts w:cs="Cambria"/>
                        <w:szCs w:val="21"/>
                      </w:rPr>
                    </w:pPr>
                    <w:r>
                      <w:rPr>
                        <w:rFonts w:hint="eastAsia" w:cs="Cambria"/>
                        <w:szCs w:val="21"/>
                      </w:rPr>
                      <w:t>其他</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8" w:hRule="atLeast"/>
            </w:trPr>
            <w:sdt>
              <w:sdtPr>
                <w:tag w:val="_PLD_5da97782f1b0477a8a460b3d7f6c9592"/>
                <w:id w:val="6775797"/>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（六）指定为以公允价值计量且变动计入当期损益的金融负债</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8" w:hRule="atLeast"/>
            </w:trPr>
            <w:sdt>
              <w:sdtPr>
                <w:tag w:val="_PLD_2dd67e9bf36f4dc18c950657b5420af6"/>
                <w:id w:val="6775798"/>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b/>
                        <w:szCs w:val="21"/>
                      </w:rPr>
                    </w:pPr>
                    <w:r>
                      <w:rPr>
                        <w:rFonts w:hint="eastAsia" w:cs="Cambria"/>
                        <w:b/>
                        <w:szCs w:val="21"/>
                      </w:rPr>
                      <w:t>持续以公允价值计量的负债总额</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tabs>
                    <w:tab w:val="center" w:pos="824"/>
                    <w:tab w:val="right" w:pos="1649"/>
                  </w:tabs>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85e56ed4c40f47f2bf7114ae09aa878c"/>
                <w:id w:val="6775799"/>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b/>
                        <w:szCs w:val="21"/>
                      </w:rPr>
                    </w:pPr>
                    <w:r>
                      <w:rPr>
                        <w:rFonts w:hint="eastAsia" w:cs="Cambria"/>
                        <w:b/>
                        <w:szCs w:val="21"/>
                      </w:rPr>
                      <w:t>二、非持续的公允价值计量</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sdt>
              <w:sdtPr>
                <w:tag w:val="_PLD_e620e33f76a64cbaaa1cc7d7f7deeeb3"/>
                <w:id w:val="6775800"/>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szCs w:val="21"/>
                      </w:rPr>
                    </w:pPr>
                    <w:r>
                      <w:rPr>
                        <w:rFonts w:hint="eastAsia" w:cs="Cambria"/>
                        <w:szCs w:val="21"/>
                      </w:rPr>
                      <w:t>（一）持有待售资产</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8" w:hRule="atLeast"/>
            </w:trPr>
            <w:sdt>
              <w:sdtPr>
                <w:tag w:val="_PLD_7be6d89786ef4bbabe6cb576e8953ed2"/>
                <w:id w:val="6775801"/>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b/>
                        <w:szCs w:val="21"/>
                      </w:rPr>
                    </w:pPr>
                    <w:r>
                      <w:rPr>
                        <w:rFonts w:hint="eastAsia" w:cs="Cambria"/>
                        <w:b/>
                        <w:szCs w:val="21"/>
                      </w:rPr>
                      <w:t>非持续以公允价值计量的资产总额</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p>
                <w:pPr>
                  <w:jc w:val="center"/>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trPr>
            <w:sdt>
              <w:sdtPr>
                <w:tag w:val="_PLD_0a8a95c7f63d41fb9eac987c434a6559"/>
                <w:id w:val="6775802"/>
                <w:lock w:val="sdtLocked"/>
              </w:sdtPr>
              <w:sdtContent>
                <w:tc>
                  <w:tcPr>
                    <w:tcW w:w="3404" w:type="dxa"/>
                    <w:tcBorders>
                      <w:top w:val="single" w:color="auto" w:sz="4" w:space="0"/>
                      <w:left w:val="single" w:color="auto" w:sz="4" w:space="0"/>
                      <w:bottom w:val="single" w:color="auto" w:sz="4" w:space="0"/>
                      <w:right w:val="single" w:color="auto" w:sz="4" w:space="0"/>
                    </w:tcBorders>
                    <w:shd w:val="clear" w:color="auto" w:fill="auto"/>
                  </w:tcPr>
                  <w:p>
                    <w:pPr>
                      <w:outlineLvl w:val="2"/>
                      <w:rPr>
                        <w:rFonts w:cs="Cambria"/>
                        <w:b/>
                        <w:szCs w:val="21"/>
                      </w:rPr>
                    </w:pPr>
                    <w:r>
                      <w:rPr>
                        <w:rFonts w:hint="eastAsia" w:cs="Cambria"/>
                        <w:b/>
                        <w:szCs w:val="21"/>
                      </w:rPr>
                      <w:t>非持续以公允价值计量的负债总额</w:t>
                    </w:r>
                  </w:p>
                </w:tc>
              </w:sdtContent>
            </w:sdt>
            <w:tc>
              <w:tcPr>
                <w:tcW w:w="1558"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27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19"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c>
              <w:tcPr>
                <w:tcW w:w="1487" w:type="dxa"/>
                <w:tcBorders>
                  <w:top w:val="single" w:color="auto" w:sz="4" w:space="0"/>
                  <w:left w:val="single" w:color="auto" w:sz="4" w:space="0"/>
                  <w:bottom w:val="single" w:color="auto" w:sz="4" w:space="0"/>
                  <w:right w:val="single" w:color="auto" w:sz="4" w:space="0"/>
                </w:tcBorders>
              </w:tcPr>
              <w:p>
                <w:pPr>
                  <w:jc w:val="right"/>
                  <w:outlineLvl w:val="2"/>
                  <w:rPr>
                    <w:rFonts w:cs="Cambria"/>
                    <w:szCs w:val="21"/>
                  </w:rPr>
                </w:pPr>
              </w:p>
            </w:tc>
          </w:tr>
        </w:tbl>
        <w:p>
          <w:pPr>
            <w:tabs>
              <w:tab w:val="left" w:pos="1134"/>
            </w:tabs>
            <w:rPr>
              <w:rFonts w:cs="Cambria"/>
              <w:b/>
              <w:szCs w:val="21"/>
            </w:rPr>
          </w:pPr>
        </w:p>
      </w:sdtContent>
    </w:sdt>
    <w:sdt>
      <w:sdtPr>
        <w:rPr>
          <w:rFonts w:hint="eastAsia" w:ascii="宋体" w:hAnsi="宋体" w:cs="Arial"/>
          <w:b w:val="0"/>
          <w:bCs w:val="0"/>
          <w:kern w:val="0"/>
          <w:szCs w:val="21"/>
        </w:rPr>
        <w:alias w:val="模块:持续和非持续第一层次公允价值计量项目市价的确定依据"/>
        <w:tag w:val="_GBC_9cf59ced96b14247921100dffef5784f"/>
        <w:id w:val="6775806"/>
        <w:lock w:val="sdtLocked"/>
        <w:placeholder>
          <w:docPart w:val="GBC22222222222222222222222222222"/>
        </w:placeholder>
      </w:sdtPr>
      <w:sdtEndPr>
        <w:rPr>
          <w:rFonts w:hint="eastAsia" w:ascii="宋体" w:hAnsi="宋体" w:cs="Cambria"/>
          <w:b/>
          <w:bCs w:val="0"/>
          <w:kern w:val="0"/>
          <w:szCs w:val="21"/>
        </w:rPr>
      </w:sdtEndPr>
      <w:sdtContent>
        <w:p>
          <w:pPr>
            <w:pStyle w:val="4"/>
            <w:numPr>
              <w:ilvl w:val="0"/>
              <w:numId w:val="101"/>
            </w:numPr>
            <w:rPr>
              <w:rFonts w:ascii="宋体" w:hAnsi="宋体" w:cs="Arial"/>
              <w:szCs w:val="21"/>
            </w:rPr>
          </w:pPr>
          <w:r>
            <w:rPr>
              <w:rFonts w:hint="eastAsia" w:ascii="宋体" w:hAnsi="宋体" w:cs="Arial"/>
              <w:szCs w:val="21"/>
            </w:rPr>
            <w:t>持续和非持续第一层次公允价值计量项目市价的确定依据</w:t>
          </w:r>
        </w:p>
        <w:sdt>
          <w:sdtPr>
            <w:rPr>
              <w:rFonts w:hint="eastAsia" w:cs="Arial"/>
              <w:szCs w:val="21"/>
            </w:rPr>
            <w:alias w:val="是否适用：持续和非持续第一层次公允价值计量项目市价的确定依据[双击切换]"/>
            <w:tag w:val="_GBC_fc42dd94906341819da0f825b0c88571"/>
            <w:id w:val="6775804"/>
            <w:lock w:val="sdtContentLocked"/>
            <w:placeholder>
              <w:docPart w:val="GBC22222222222222222222222222222"/>
            </w:placeholder>
          </w:sdtPr>
          <w:sdtEndPr>
            <w:rPr>
              <w:rFonts w:hint="eastAsia" w:cs="Arial"/>
              <w:szCs w:val="21"/>
            </w:rPr>
          </w:sdtEndPr>
          <w:sdtContent>
            <w:p>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pPr>
            <w:rPr>
              <w:rFonts w:cs="Arial"/>
              <w:szCs w:val="21"/>
            </w:rPr>
          </w:pPr>
          <w:sdt>
            <w:sdtPr>
              <w:rPr>
                <w:rFonts w:hint="eastAsia" w:cs="Arial"/>
                <w:szCs w:val="21"/>
              </w:rPr>
              <w:alias w:val="持续和非持续第一层次公允价值计量项目市价的确定依据"/>
              <w:tag w:val="_GBC_8db65a2ca59047da919942f97cfc594e"/>
              <w:id w:val="6775805"/>
              <w:lock w:val="sdtLocked"/>
              <w:placeholder>
                <w:docPart w:val="GBC22222222222222222222222222222"/>
              </w:placeholder>
            </w:sdtPr>
            <w:sdtEndPr>
              <w:rPr>
                <w:rFonts w:hint="eastAsia" w:cs="Arial"/>
                <w:szCs w:val="21"/>
              </w:rPr>
            </w:sdtEndPr>
            <w:sdtContent>
              <w:r>
                <w:rPr>
                  <w:rFonts w:hint="eastAsia" w:cs="Arial"/>
                  <w:szCs w:val="21"/>
                </w:rPr>
                <w:t>公司采取第一层次公允价值计量是基于在计量日能够在活跃市场取得相同资产的未经调整的报价。主要包括在证券二级市场上对股票、基金等的投资。</w:t>
              </w:r>
            </w:sdtContent>
          </w:sdt>
        </w:p>
        <w:p>
          <w:pPr>
            <w:tabs>
              <w:tab w:val="left" w:pos="1134"/>
            </w:tabs>
            <w:rPr>
              <w:rFonts w:cs="Cambria"/>
              <w:b/>
              <w:szCs w:val="21"/>
            </w:rPr>
          </w:pPr>
        </w:p>
      </w:sdtContent>
    </w:sdt>
    <w:sdt>
      <w:sdtPr>
        <w:rPr>
          <w:rFonts w:hint="eastAsia" w:ascii="宋体" w:hAnsi="宋体" w:cs="Arial"/>
          <w:b w:val="0"/>
          <w:bCs w:val="0"/>
          <w:kern w:val="0"/>
          <w:szCs w:val="21"/>
        </w:rPr>
        <w:alias w:val="模块:持续和非持续第二层次公允价值计量项目，采用的估值技术和重要参数的定性及定量信息"/>
        <w:tag w:val="_GBC_8e00be36ed6245f895b032b3059a4854"/>
        <w:id w:val="6775808"/>
        <w:lock w:val="sdtLocked"/>
        <w:placeholder>
          <w:docPart w:val="GBC22222222222222222222222222222"/>
        </w:placeholder>
      </w:sdtPr>
      <w:sdtEndPr>
        <w:rPr>
          <w:rFonts w:hint="default" w:ascii="宋体" w:hAnsi="宋体" w:cs="Cambria"/>
          <w:b w:val="0"/>
          <w:bCs w:val="0"/>
          <w:kern w:val="0"/>
          <w:szCs w:val="21"/>
        </w:rPr>
      </w:sdtEndPr>
      <w:sdtContent>
        <w:p>
          <w:pPr>
            <w:pStyle w:val="4"/>
            <w:numPr>
              <w:ilvl w:val="0"/>
              <w:numId w:val="101"/>
            </w:numPr>
          </w:pPr>
          <w:r>
            <w:rPr>
              <w:rFonts w:hint="eastAsia" w:ascii="宋体" w:hAnsi="宋体" w:cs="Arial"/>
              <w:szCs w:val="21"/>
            </w:rPr>
            <w:t>持续和非持续第二层次公允价值计量项目，采用的估值技术和重要参数的定性及定量信息</w:t>
          </w:r>
        </w:p>
        <w:sdt>
          <w:sdtPr>
            <w:rPr>
              <w:rFonts w:hint="eastAsia" w:cs="Cambria"/>
              <w:szCs w:val="21"/>
            </w:rPr>
            <w:alias w:val="是否适用：持续和非持续第二层次公允价值计量项目，采用的估值技术和重要参数的定性及定量信息[双击切换]"/>
            <w:tag w:val="_GBC_524db4de656b4bccac2fc473643fe7a6"/>
            <w:id w:val="6775807"/>
            <w:lock w:val="sdtContentLocked"/>
            <w:placeholder>
              <w:docPart w:val="GBC22222222222222222222222222222"/>
            </w:placeholder>
          </w:sdtPr>
          <w:sdtEndPr>
            <w:rPr>
              <w:rFonts w:hint="eastAsia" w:cs="Cambria"/>
              <w:szCs w:val="21"/>
            </w:rPr>
          </w:sdtEndPr>
          <w:sdtContent>
            <w:p>
              <w:pPr>
                <w:tabs>
                  <w:tab w:val="left" w:pos="1134"/>
                </w:tabs>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sdtContent>
    </w:sdt>
    <w:p>
      <w:pPr>
        <w:rPr>
          <w:szCs w:val="21"/>
        </w:rPr>
      </w:pPr>
    </w:p>
    <w:sdt>
      <w:sdtPr>
        <w:rPr>
          <w:rFonts w:hint="eastAsia" w:ascii="宋体" w:hAnsi="宋体" w:cs="Arial"/>
          <w:b w:val="0"/>
          <w:bCs w:val="0"/>
          <w:kern w:val="0"/>
          <w:szCs w:val="21"/>
        </w:rPr>
        <w:alias w:val="模块:持续和非持续第三层次公允价值计量项目，采用的估值技术和重要参数的定性及定量信息"/>
        <w:tag w:val="_GBC_5d389bac3ad747a292eb45fd87ce5896"/>
        <w:id w:val="6775810"/>
        <w:lock w:val="sdtLocked"/>
        <w:placeholder>
          <w:docPart w:val="GBC22222222222222222222222222222"/>
        </w:placeholder>
      </w:sdtPr>
      <w:sdtEndPr>
        <w:rPr>
          <w:rFonts w:hint="eastAsia" w:ascii="宋体" w:hAnsi="宋体" w:cs="Cambria"/>
          <w:b w:val="0"/>
          <w:bCs w:val="0"/>
          <w:color w:val="808080"/>
          <w:kern w:val="0"/>
          <w:szCs w:val="21"/>
        </w:rPr>
      </w:sdtEndPr>
      <w:sdtContent>
        <w:p>
          <w:pPr>
            <w:pStyle w:val="4"/>
            <w:numPr>
              <w:ilvl w:val="0"/>
              <w:numId w:val="101"/>
            </w:numPr>
          </w:pPr>
          <w:r>
            <w:rPr>
              <w:rFonts w:hint="eastAsia" w:ascii="宋体" w:hAnsi="宋体" w:cs="Arial"/>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677580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tabs>
              <w:tab w:val="left" w:pos="1134"/>
            </w:tabs>
            <w:rPr>
              <w:rFonts w:cs="Cambria"/>
              <w:b/>
              <w:szCs w:val="21"/>
            </w:rPr>
          </w:pPr>
        </w:p>
      </w:sdtContent>
    </w:sdt>
    <w:sdt>
      <w:sdtPr>
        <w:rPr>
          <w:rFonts w:hint="eastAsia" w:ascii="宋体" w:hAnsi="宋体" w:cs="宋体"/>
          <w:b w:val="0"/>
          <w:bCs w:val="0"/>
          <w:kern w:val="0"/>
          <w:szCs w:val="24"/>
        </w:rPr>
        <w:alias w:val="模块:持续的第三层次公允价值计量的项目期初与期末账面价值之间的调节信息及不可观察参数的敏感性分析"/>
        <w:tag w:val="_GBC_353ab3e0cb19455ab2c2c2a397421afe"/>
        <w:id w:val="6775812"/>
        <w:lock w:val="sdtLocked"/>
        <w:placeholder>
          <w:docPart w:val="GBC22222222222222222222222222222"/>
        </w:placeholder>
      </w:sdtPr>
      <w:sdtEndPr>
        <w:rPr>
          <w:rFonts w:hint="eastAsia" w:ascii="宋体" w:hAnsi="宋体" w:cs="Cambria"/>
          <w:b w:val="0"/>
          <w:bCs w:val="0"/>
          <w:color w:val="808080"/>
          <w:kern w:val="0"/>
          <w:szCs w:val="21"/>
        </w:rPr>
      </w:sdtEndPr>
      <w:sdtContent>
        <w:p>
          <w:pPr>
            <w:pStyle w:val="4"/>
            <w:numPr>
              <w:ilvl w:val="0"/>
              <w:numId w:val="101"/>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6775811"/>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tabs>
              <w:tab w:val="left" w:pos="1134"/>
            </w:tabs>
            <w:rPr>
              <w:rFonts w:cs="Cambria"/>
              <w:b/>
              <w:szCs w:val="21"/>
            </w:rPr>
          </w:pPr>
        </w:p>
      </w:sdtContent>
    </w:sdt>
    <w:sdt>
      <w:sdtPr>
        <w:rPr>
          <w:rFonts w:hint="eastAsia" w:ascii="宋体" w:hAnsi="宋体" w:cs="宋体"/>
          <w:b w:val="0"/>
          <w:bCs w:val="0"/>
          <w:kern w:val="0"/>
          <w:szCs w:val="24"/>
        </w:rPr>
        <w:alias w:val="模块:持续的公允价值计量项目，本期内发生各层级之间转换的，转换的原因及确定转换时点的政策"/>
        <w:tag w:val="_GBC_a9200ec73b8d485e80b76f1a9ee34c49"/>
        <w:id w:val="6775814"/>
        <w:lock w:val="sdtLocked"/>
        <w:placeholder>
          <w:docPart w:val="GBC22222222222222222222222222222"/>
        </w:placeholder>
      </w:sdtPr>
      <w:sdtEndPr>
        <w:rPr>
          <w:rFonts w:hint="eastAsia" w:ascii="宋体" w:hAnsi="宋体" w:cs="Cambria"/>
          <w:b w:val="0"/>
          <w:bCs w:val="0"/>
          <w:kern w:val="0"/>
          <w:szCs w:val="21"/>
        </w:rPr>
      </w:sdtEndPr>
      <w:sdtContent>
        <w:p>
          <w:pPr>
            <w:pStyle w:val="4"/>
            <w:numPr>
              <w:ilvl w:val="0"/>
              <w:numId w:val="101"/>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677581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tabs>
              <w:tab w:val="left" w:pos="1134"/>
            </w:tabs>
            <w:rPr>
              <w:rFonts w:cs="Cambria"/>
              <w:b/>
              <w:szCs w:val="21"/>
            </w:rPr>
          </w:pPr>
        </w:p>
      </w:sdtContent>
    </w:sdt>
    <w:sdt>
      <w:sdtPr>
        <w:rPr>
          <w:rFonts w:hint="eastAsia" w:ascii="宋体" w:hAnsi="宋体" w:cs="宋体"/>
          <w:b w:val="0"/>
          <w:bCs w:val="0"/>
          <w:kern w:val="0"/>
          <w:szCs w:val="24"/>
        </w:rPr>
        <w:alias w:val="模块:本期内发生的估值技术变更及变更原因"/>
        <w:tag w:val="_GBC_8e563310a4b84a5d9dfe74fdbc178926"/>
        <w:id w:val="6775816"/>
        <w:lock w:val="sdtLocked"/>
        <w:placeholder>
          <w:docPart w:val="GBC22222222222222222222222222222"/>
        </w:placeholder>
      </w:sdtPr>
      <w:sdtEndPr>
        <w:rPr>
          <w:rFonts w:hint="eastAsia" w:ascii="宋体" w:hAnsi="宋体" w:cstheme="minorBidi"/>
          <w:b w:val="0"/>
          <w:bCs w:val="0"/>
          <w:kern w:val="0"/>
          <w:szCs w:val="21"/>
        </w:rPr>
      </w:sdtEndPr>
      <w:sdtContent>
        <w:p>
          <w:pPr>
            <w:pStyle w:val="4"/>
            <w:numPr>
              <w:ilvl w:val="0"/>
              <w:numId w:val="101"/>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6775815"/>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rFonts w:cstheme="minorBidi"/>
              <w:szCs w:val="21"/>
            </w:rPr>
          </w:pPr>
        </w:p>
      </w:sdtContent>
    </w:sdt>
    <w:sdt>
      <w:sdtPr>
        <w:rPr>
          <w:rFonts w:hint="eastAsia" w:ascii="宋体" w:hAnsi="宋体" w:cstheme="minorBidi"/>
          <w:b w:val="0"/>
          <w:bCs w:val="0"/>
          <w:kern w:val="0"/>
          <w:szCs w:val="21"/>
        </w:rPr>
        <w:alias w:val="模块:不以公允价值计量的金融资产和金融负债的公允价值情况"/>
        <w:tag w:val="_GBC_e354e1f41f824854b8f3345d52a9cfab"/>
        <w:id w:val="6775818"/>
        <w:lock w:val="sdtLocked"/>
        <w:placeholder>
          <w:docPart w:val="GBC22222222222222222222222222222"/>
        </w:placeholder>
      </w:sdtPr>
      <w:sdtEndPr>
        <w:rPr>
          <w:rFonts w:hint="eastAsia" w:ascii="宋体" w:hAnsi="宋体" w:cstheme="minorBidi"/>
          <w:b w:val="0"/>
          <w:bCs w:val="0"/>
          <w:kern w:val="0"/>
          <w:szCs w:val="21"/>
        </w:rPr>
      </w:sdtEndPr>
      <w:sdtContent>
        <w:p>
          <w:pPr>
            <w:pStyle w:val="4"/>
            <w:numPr>
              <w:ilvl w:val="0"/>
              <w:numId w:val="101"/>
            </w:numPr>
            <w:rPr>
              <w:rFonts w:cstheme="minorBidi"/>
              <w:szCs w:val="21"/>
            </w:rPr>
          </w:pPr>
          <w:r>
            <w:rPr>
              <w:rFonts w:hint="eastAsia" w:cstheme="minorBidi"/>
              <w:szCs w:val="21"/>
            </w:rPr>
            <w:t>不以公允价值计量的</w:t>
          </w:r>
          <w:r>
            <w:rPr>
              <w:rFonts w:hint="eastAsia"/>
            </w:rPr>
            <w:t>金融资产</w:t>
          </w:r>
          <w:r>
            <w:rPr>
              <w:rFonts w:hint="eastAsia" w:cstheme="minorBidi"/>
              <w:szCs w:val="21"/>
            </w:rPr>
            <w:t>和金融负债的公允价值情况</w:t>
          </w:r>
        </w:p>
        <w:sdt>
          <w:sdtPr>
            <w:rPr>
              <w:rFonts w:hint="eastAsia" w:cstheme="minorBidi"/>
              <w:szCs w:val="21"/>
            </w:rPr>
            <w:alias w:val="是否适用：不以公允价值计量的金融资产和金融负债的公允价值情况[双击切换]"/>
            <w:tag w:val="_GBC_734377ec924449c3ae79732fec24b52d"/>
            <w:id w:val="6775817"/>
            <w:lock w:val="sdtContentLocked"/>
            <w:placeholder>
              <w:docPart w:val="GBC22222222222222222222222222222"/>
            </w:placeholder>
          </w:sdtPr>
          <w:sdtEndPr>
            <w:rPr>
              <w:rFonts w:hint="eastAsia" w:cstheme="minorBidi"/>
              <w:szCs w:val="21"/>
            </w:rPr>
          </w:sdtEndPr>
          <w:sdtContent>
            <w:p>
              <w:pPr>
                <w:rPr>
                  <w:rFonts w:cstheme="minorBidi"/>
                  <w:szCs w:val="21"/>
                </w:rPr>
              </w:pPr>
              <w:r>
                <w:rPr>
                  <w:rFonts w:cstheme="minorBidi"/>
                  <w:szCs w:val="21"/>
                </w:rPr>
                <w:fldChar w:fldCharType="begin"/>
              </w:r>
              <w:r>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Pr>
                  <w:rFonts w:cstheme="minorBidi"/>
                  <w:szCs w:val="21"/>
                </w:rPr>
                <w:instrText xml:space="preserve"> MACROBUTTON  SnrToggleCheckbox √不适用 </w:instrText>
              </w:r>
              <w:r>
                <w:rPr>
                  <w:rFonts w:cstheme="minorBidi"/>
                  <w:szCs w:val="21"/>
                </w:rPr>
                <w:fldChar w:fldCharType="end"/>
              </w:r>
            </w:p>
          </w:sdtContent>
        </w:sdt>
      </w:sdtContent>
    </w:sdt>
    <w:p>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6775820"/>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101"/>
            </w:numPr>
            <w:rPr>
              <w:szCs w:val="21"/>
            </w:rPr>
          </w:pPr>
          <w:r>
            <w:rPr>
              <w:rFonts w:hint="eastAsia"/>
              <w:szCs w:val="21"/>
            </w:rPr>
            <w:t>其他</w:t>
          </w:r>
        </w:p>
        <w:sdt>
          <w:sdtPr>
            <w:rPr>
              <w:rFonts w:hint="eastAsia"/>
              <w:szCs w:val="21"/>
            </w:rPr>
            <w:alias w:val="是否适用：公允价值其他需要披露的事项[双击切换]"/>
            <w:tag w:val="_GBC_face0919374341aba02b14f2247ac908"/>
            <w:id w:val="677581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3"/>
        <w:numPr>
          <w:ilvl w:val="0"/>
          <w:numId w:val="54"/>
        </w:numPr>
        <w:rPr>
          <w:rFonts w:ascii="宋体" w:hAnsi="宋体"/>
        </w:rPr>
      </w:pPr>
      <w:r>
        <w:rPr>
          <w:rFonts w:hint="eastAsia" w:ascii="宋体" w:hAnsi="宋体"/>
        </w:rPr>
        <w:t>关联方及关联交易</w:t>
      </w:r>
    </w:p>
    <w:sdt>
      <w:sdtPr>
        <w:rPr>
          <w:rFonts w:hint="eastAsia" w:ascii="宋体" w:hAnsi="宋体" w:cs="宋体"/>
          <w:b w:val="0"/>
          <w:bCs w:val="0"/>
          <w:kern w:val="0"/>
          <w:szCs w:val="24"/>
        </w:rPr>
        <w:alias w:val="模块:本企业的母公司情况"/>
        <w:tag w:val="_GBC_29e1f7491caa4c3e96eef8c84532de84"/>
        <w:id w:val="6775833"/>
        <w:lock w:val="sdtLocked"/>
        <w:placeholder>
          <w:docPart w:val="GBC22222222222222222222222222222"/>
        </w:placeholder>
      </w:sdtPr>
      <w:sdtEndPr>
        <w:rPr>
          <w:rFonts w:hint="eastAsia" w:ascii="宋体" w:hAnsi="宋体" w:cs="Cambria"/>
          <w:b w:val="0"/>
          <w:bCs w:val="0"/>
          <w:kern w:val="0"/>
          <w:szCs w:val="21"/>
        </w:rPr>
      </w:sdtEndPr>
      <w:sdtContent>
        <w:p>
          <w:pPr>
            <w:pStyle w:val="4"/>
            <w:numPr>
              <w:ilvl w:val="0"/>
              <w:numId w:val="102"/>
            </w:numPr>
          </w:pPr>
          <w:r>
            <w:rPr>
              <w:rFonts w:hint="eastAsia"/>
            </w:rPr>
            <w:t>本企业的母公司情况</w:t>
          </w:r>
        </w:p>
        <w:sdt>
          <w:sdtPr>
            <w:rPr>
              <w:rFonts w:hint="eastAsia"/>
            </w:rPr>
            <w:alias w:val="是否适用：本企业的母公司情况[双击切换]"/>
            <w:tag w:val="_GBC_fe5dd4a2c9ad405db72189e05b735e0c"/>
            <w:id w:val="6775821"/>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财务附注：本企业的母公司情况"/>
              <w:tag w:val="_GBC_4bdd8b08e4ce41af93512866e6012a92"/>
              <w:id w:val="677582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67758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994"/>
            <w:gridCol w:w="1558"/>
            <w:gridCol w:w="1276"/>
            <w:gridCol w:w="1312"/>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sdt>
              <w:sdtPr>
                <w:tag w:val="_PLD_78501cc34b694302b18c1ea75399510e"/>
                <w:id w:val="6775824"/>
                <w:lock w:val="sdtLocked"/>
              </w:sdtPr>
              <w:sdtContent>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母公司名称</w:t>
                    </w:r>
                  </w:p>
                </w:tc>
              </w:sdtContent>
            </w:sdt>
            <w:sdt>
              <w:sdtPr>
                <w:tag w:val="_PLD_9cf29fdb6dc54a2ca1191c007bb19ceb"/>
                <w:id w:val="6775825"/>
                <w:lock w:val="sdtLocked"/>
              </w:sdtPr>
              <w:sdtContent>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注册地</w:t>
                    </w:r>
                  </w:p>
                </w:tc>
              </w:sdtContent>
            </w:sdt>
            <w:sdt>
              <w:sdtPr>
                <w:tag w:val="_PLD_738e924675434f8ea1a19e9f01f12c6a"/>
                <w:id w:val="6775826"/>
                <w:lock w:val="sdtLocked"/>
              </w:sdtPr>
              <w:sdtContent>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业务性质</w:t>
                    </w:r>
                  </w:p>
                </w:tc>
              </w:sdtContent>
            </w:sdt>
            <w:sdt>
              <w:sdtPr>
                <w:tag w:val="_PLD_8f8ae05947724183906b020ada85e914"/>
                <w:id w:val="6775827"/>
                <w:lock w:val="sdtLocked"/>
              </w:sdtPr>
              <w:sdtContent>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注册资本</w:t>
                    </w:r>
                  </w:p>
                </w:tc>
              </w:sdtContent>
            </w:sdt>
            <w:sdt>
              <w:sdtPr>
                <w:tag w:val="_PLD_41f7f469dbcc4ee39514954cb008b0a4"/>
                <w:id w:val="6775828"/>
                <w:lock w:val="sdtLocked"/>
              </w:sdtPr>
              <w:sdtContent>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母公司对本企业的持股比例</w:t>
                    </w:r>
                    <w:r>
                      <w:rPr>
                        <w:rFonts w:cs="Cambria"/>
                        <w:szCs w:val="21"/>
                      </w:rPr>
                      <w:t>(%)</w:t>
                    </w:r>
                  </w:p>
                </w:tc>
              </w:sdtContent>
            </w:sdt>
            <w:sdt>
              <w:sdtPr>
                <w:tag w:val="_PLD_dab7bc4321ca44eb9d8565239cbf42f7"/>
                <w:id w:val="6775829"/>
                <w:lock w:val="sdtLocked"/>
              </w:sdtPr>
              <w:sdtContent>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6775830"/>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Cambria"/>
                        <w:szCs w:val="21"/>
                      </w:rPr>
                    </w:pPr>
                    <w:r>
                      <w:t>广西柳州钢铁集团有限公司</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rPr>
                        <w:rFonts w:cs="Cambria"/>
                        <w:szCs w:val="21"/>
                      </w:rPr>
                    </w:pPr>
                    <w:r>
                      <w:t>广西柳州市</w:t>
                    </w:r>
                  </w:p>
                </w:tc>
                <w:tc>
                  <w:tcPr>
                    <w:tcW w:w="1558" w:type="dxa"/>
                    <w:tcBorders>
                      <w:top w:val="single" w:color="auto" w:sz="4" w:space="0"/>
                      <w:left w:val="single" w:color="auto" w:sz="4" w:space="0"/>
                      <w:bottom w:val="single" w:color="auto" w:sz="4" w:space="0"/>
                      <w:right w:val="single" w:color="auto" w:sz="4" w:space="0"/>
                    </w:tcBorders>
                    <w:shd w:val="clear" w:color="auto" w:fill="auto"/>
                  </w:tcPr>
                  <w:p>
                    <w:pPr>
                      <w:rPr>
                        <w:rFonts w:cs="Cambria"/>
                        <w:szCs w:val="21"/>
                      </w:rPr>
                    </w:pPr>
                    <w:r>
                      <w:t>轧钢、制氧等</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szCs w:val="21"/>
                      </w:rPr>
                    </w:pPr>
                    <w:r>
                      <w:t>221,961.00</w:t>
                    </w:r>
                  </w:p>
                </w:tc>
                <w:tc>
                  <w:tcPr>
                    <w:tcW w:w="131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szCs w:val="21"/>
                      </w:rPr>
                    </w:pPr>
                    <w:r>
                      <w:t>82.51</w:t>
                    </w:r>
                  </w:p>
                </w:tc>
                <w:tc>
                  <w:tcPr>
                    <w:tcW w:w="1817"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szCs w:val="21"/>
                      </w:rPr>
                    </w:pPr>
                    <w:r>
                      <w:t>82.51</w:t>
                    </w:r>
                  </w:p>
                </w:tc>
              </w:tr>
            </w:sdtContent>
          </w:sdt>
        </w:tbl>
        <w:p>
          <w:bookmarkStart w:id="82" w:name="_GoBack"/>
          <w:bookmarkEnd w:id="82"/>
        </w:p>
        <w:p>
          <w:pPr>
            <w:tabs>
              <w:tab w:val="left" w:pos="1134"/>
            </w:tabs>
            <w:rPr>
              <w:rFonts w:cs="Cambria"/>
              <w:szCs w:val="21"/>
            </w:rPr>
          </w:pPr>
          <w:r>
            <w:rPr>
              <w:rFonts w:hint="eastAsia" w:cs="Cambria"/>
              <w:szCs w:val="21"/>
            </w:rPr>
            <w:t>本企业的母公司情况的说明</w:t>
          </w:r>
        </w:p>
        <w:sdt>
          <w:sdtPr>
            <w:rPr>
              <w:rFonts w:cs="Cambria"/>
              <w:szCs w:val="21"/>
            </w:rPr>
            <w:alias w:val="本企业的母公司情况的说明"/>
            <w:tag w:val="_GBC_23f67537c1df4d9d9ede9fbc78ad06a4"/>
            <w:id w:val="6775831"/>
            <w:lock w:val="sdtLocked"/>
            <w:placeholder>
              <w:docPart w:val="GBC22222222222222222222222222222"/>
            </w:placeholder>
          </w:sdtPr>
          <w:sdtEndPr>
            <w:rPr>
              <w:rFonts w:cs="Cambria"/>
              <w:szCs w:val="21"/>
            </w:rPr>
          </w:sdtEndPr>
          <w:sdtContent>
            <w:p>
              <w:pPr>
                <w:tabs>
                  <w:tab w:val="left" w:pos="1134"/>
                </w:tabs>
                <w:rPr>
                  <w:rFonts w:cs="Cambria"/>
                  <w:szCs w:val="21"/>
                </w:rPr>
              </w:pPr>
              <w:r>
                <w:rPr>
                  <w:rFonts w:hint="eastAsia" w:cs="Cambria"/>
                  <w:szCs w:val="21"/>
                </w:rPr>
                <w:t>本企业的母公司广西柳州钢铁集团有限公司是广西最大的钢铁联合企业，于</w:t>
              </w:r>
              <w:r>
                <w:rPr>
                  <w:rFonts w:cs="Cambria"/>
                  <w:szCs w:val="21"/>
                </w:rPr>
                <w:t>1958年7月1日正式成立。企业性质为国有企业，注册资本金22.20亿元。主营业务为：轧钢、机械加工修理，水泥制造，矿山开采，煤气、氧气生产，汽车货物运输等。直接持有本公司82.51%的股份。</w:t>
              </w:r>
            </w:p>
          </w:sdtContent>
        </w:sdt>
        <w:p>
          <w:pPr>
            <w:rPr>
              <w:szCs w:val="21"/>
            </w:rPr>
          </w:pPr>
          <w:sdt>
            <w:sdtPr>
              <w:rPr>
                <w:rFonts w:hint="eastAsia"/>
                <w:szCs w:val="21"/>
              </w:rPr>
              <w:alias w:val="本企业最终控制方"/>
              <w:tag w:val="_GBC_951a676520994ab7a3822c5f58c20b7d"/>
              <w:id w:val="6775832"/>
              <w:lock w:val="sdtLocked"/>
              <w:placeholder>
                <w:docPart w:val="GBC22222222222222222222222222222"/>
              </w:placeholder>
            </w:sdtPr>
            <w:sdtEndPr>
              <w:rPr>
                <w:rFonts w:hint="eastAsia"/>
                <w:szCs w:val="21"/>
              </w:rPr>
            </w:sdtEndPr>
            <w:sdtContent>
              <w:r>
                <w:rPr>
                  <w:rFonts w:hint="eastAsia"/>
                  <w:szCs w:val="21"/>
                </w:rPr>
                <w:t>本企业最终控制方是广西壮族自治区国有资产监督管理委员会。</w:t>
              </w:r>
            </w:sdtContent>
          </w:sdt>
        </w:p>
      </w:sdtContent>
    </w:sdt>
    <w:sdt>
      <w:sdtPr>
        <w:rPr>
          <w:rFonts w:hint="eastAsia" w:ascii="宋体" w:hAnsi="宋体" w:cs="Arial"/>
          <w:b w:val="0"/>
          <w:bCs w:val="0"/>
          <w:kern w:val="0"/>
          <w:szCs w:val="21"/>
        </w:rPr>
        <w:alias w:val="模块:本企业的子公司情况"/>
        <w:tag w:val="_GBC_244a434a920446c1838410fee0ac8ba8"/>
        <w:id w:val="6775835"/>
        <w:lock w:val="sdtLocked"/>
        <w:placeholder>
          <w:docPart w:val="GBC22222222222222222222222222222"/>
        </w:placeholder>
      </w:sdtPr>
      <w:sdtEndPr>
        <w:rPr>
          <w:rFonts w:hint="eastAsia" w:ascii="宋体" w:hAnsi="宋体" w:cs="Cambria"/>
          <w:b w:val="0"/>
          <w:bCs w:val="0"/>
          <w:kern w:val="0"/>
          <w:szCs w:val="21"/>
        </w:rPr>
      </w:sdtEndPr>
      <w:sdtContent>
        <w:p>
          <w:pPr>
            <w:pStyle w:val="4"/>
            <w:numPr>
              <w:ilvl w:val="0"/>
              <w:numId w:val="102"/>
            </w:numPr>
            <w:rPr>
              <w:rFonts w:ascii="宋体" w:hAnsi="宋体" w:cs="Arial"/>
              <w:szCs w:val="21"/>
            </w:rPr>
          </w:pPr>
          <w:r>
            <w:rPr>
              <w:rFonts w:hint="eastAsia" w:ascii="宋体" w:hAnsi="宋体" w:cs="Arial"/>
              <w:szCs w:val="21"/>
            </w:rPr>
            <w:t>本企业的子公司情况</w:t>
          </w:r>
        </w:p>
        <w:p>
          <w:pPr>
            <w:rPr>
              <w:szCs w:val="21"/>
            </w:rPr>
          </w:pPr>
          <w:r>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6775834"/>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tabs>
              <w:tab w:val="left" w:pos="1134"/>
            </w:tabs>
            <w:rPr>
              <w:rFonts w:cs="Cambria"/>
              <w:szCs w:val="21"/>
            </w:rPr>
          </w:pPr>
        </w:p>
      </w:sdtContent>
    </w:sdt>
    <w:sdt>
      <w:sdtPr>
        <w:rPr>
          <w:rFonts w:hint="eastAsia" w:ascii="宋体" w:hAnsi="宋体" w:cs="宋体"/>
          <w:b w:val="0"/>
          <w:bCs w:val="0"/>
          <w:kern w:val="0"/>
          <w:szCs w:val="24"/>
        </w:rPr>
        <w:alias w:val="模块:存在关联方交易或余额的合营和联营企业情况"/>
        <w:tag w:val="_GBC_a5638b7fd6a848a19564209060b6909a"/>
        <w:id w:val="6775840"/>
        <w:lock w:val="sdtLocked"/>
        <w:placeholder>
          <w:docPart w:val="GBC22222222222222222222222222222"/>
        </w:placeholder>
      </w:sdtPr>
      <w:sdtEndPr>
        <w:rPr>
          <w:rFonts w:hint="eastAsia" w:ascii="宋体" w:hAnsi="宋体" w:cs="Cambria"/>
          <w:b w:val="0"/>
          <w:bCs w:val="0"/>
          <w:kern w:val="0"/>
          <w:szCs w:val="21"/>
        </w:rPr>
      </w:sdtEndPr>
      <w:sdtContent>
        <w:p>
          <w:pPr>
            <w:pStyle w:val="4"/>
            <w:numPr>
              <w:ilvl w:val="0"/>
              <w:numId w:val="102"/>
            </w:numPr>
          </w:pPr>
          <w:r>
            <w:rPr>
              <w:rFonts w:hint="eastAsia"/>
            </w:rPr>
            <w:t>本企业合营和联营企业情况</w:t>
          </w:r>
        </w:p>
        <w:p>
          <w:r>
            <w:rPr>
              <w:rFonts w:hint="eastAsia"/>
            </w:rPr>
            <w:t>本企业重要的合营或联营企业详见附注九、</w:t>
          </w:r>
          <w:r>
            <w:t>3</w:t>
          </w:r>
        </w:p>
        <w:sdt>
          <w:sdtPr>
            <w:alias w:val="是否适用：本企业重要的合营或联营企业详见附注[双击切换]"/>
            <w:tag w:val="_GBC_a44d5ddc347344bcaadf8652bc7a927c"/>
            <w:id w:val="677583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6775837"/>
            <w:lock w:val="sdtLocked"/>
            <w:placeholder>
              <w:docPart w:val="GBC22222222222222222222222222222"/>
            </w:placeholder>
          </w:sdtPr>
          <w:sdtEndPr>
            <w:rPr>
              <w:rFonts w:hint="eastAsia"/>
            </w:rPr>
          </w:sdtEndPr>
          <w:sdtContent>
            <w:p>
              <w:r>
                <w:rPr>
                  <w:rFonts w:hint="eastAsia"/>
                </w:rPr>
                <w:t>本期与本公司发生关联方交易，或前期与本公司发生关联方交易形成余额的其他合营或联营企业情况如下</w:t>
              </w:r>
            </w:p>
          </w:sdtContent>
        </w:sdt>
        <w:p/>
        <w:sdt>
          <w:sdtPr>
            <w:alias w:val="是否适用：本期与本公司发生关联方交易，或前期与本公司发生关联方交易形成余额的其他合营或联营企业情况如下[双击切换]"/>
            <w:tag w:val="_GBC_3340148c9e9e4091aa65b3b3355a3a37"/>
            <w:id w:val="6775838"/>
            <w:lock w:val="sdtContentLocked"/>
            <w:placeholder>
              <w:docPart w:val="GBC22222222222222222222222222222"/>
            </w:placeholder>
          </w:sdtPr>
          <w:sdtContent>
            <w:p>
              <w:pPr>
                <w:rPr>
                  <w:rFonts w:cs="Cambria"/>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tabs>
              <w:tab w:val="left" w:pos="1134"/>
            </w:tabs>
            <w:rPr>
              <w:rFonts w:cs="Cambria"/>
              <w:szCs w:val="21"/>
            </w:rPr>
          </w:pPr>
          <w:r>
            <w:rPr>
              <w:rFonts w:hint="eastAsia" w:cs="Cambria"/>
              <w:szCs w:val="21"/>
            </w:rPr>
            <w:t>其他说明</w:t>
          </w:r>
        </w:p>
        <w:sdt>
          <w:sdtPr>
            <w:rPr>
              <w:rFonts w:cs="Cambria"/>
              <w:szCs w:val="21"/>
            </w:rPr>
            <w:alias w:val="是否适用：存在关联方交易或余额的合营和联营企业情况说明[双击切换]"/>
            <w:tag w:val="_GBC_491f62bb76ba49c482a64272865cc4a1"/>
            <w:id w:val="6775839"/>
            <w:lock w:val="sdtContentLocked"/>
            <w:placeholder>
              <w:docPart w:val="GBC22222222222222222222222222222"/>
            </w:placeholder>
          </w:sdtPr>
          <w:sdtEndPr>
            <w:rPr>
              <w:rFonts w:cs="Cambria"/>
              <w:szCs w:val="21"/>
            </w:rPr>
          </w:sdtEndPr>
          <w:sdtContent>
            <w:p>
              <w:pPr>
                <w:tabs>
                  <w:tab w:val="left" w:pos="1134"/>
                </w:tabs>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pPr>
            <w:tabs>
              <w:tab w:val="left" w:pos="1134"/>
            </w:tabs>
            <w:rPr>
              <w:rFonts w:cs="Cambria"/>
              <w:szCs w:val="21"/>
            </w:rPr>
          </w:pPr>
        </w:p>
      </w:sdtContent>
    </w:sdt>
    <w:sdt>
      <w:sdtPr>
        <w:rPr>
          <w:rFonts w:hint="eastAsia" w:ascii="宋体" w:hAnsi="宋体" w:cs="宋体"/>
          <w:b w:val="0"/>
          <w:bCs w:val="0"/>
          <w:kern w:val="0"/>
          <w:szCs w:val="24"/>
        </w:rPr>
        <w:alias w:val="模块:其他关联方情况"/>
        <w:tag w:val="_SEC_4da82436ee754a98b1f572e1fb4440db"/>
        <w:id w:val="6775949"/>
        <w:lock w:val="sdtLocked"/>
        <w:placeholder>
          <w:docPart w:val="GBC22222222222222222222222222222"/>
        </w:placeholder>
      </w:sdtPr>
      <w:sdtEndPr>
        <w:rPr>
          <w:rFonts w:hint="eastAsia" w:ascii="宋体" w:hAnsi="宋体" w:cs="Cambria"/>
          <w:b w:val="0"/>
          <w:bCs w:val="0"/>
          <w:kern w:val="0"/>
          <w:szCs w:val="21"/>
        </w:rPr>
      </w:sdtEndPr>
      <w:sdtContent>
        <w:p>
          <w:pPr>
            <w:pStyle w:val="4"/>
            <w:numPr>
              <w:ilvl w:val="0"/>
              <w:numId w:val="102"/>
            </w:numPr>
          </w:pPr>
          <w:r>
            <w:rPr>
              <w:rFonts w:hint="eastAsia"/>
            </w:rPr>
            <w:t>其他关联方情况</w:t>
          </w:r>
        </w:p>
        <w:sdt>
          <w:sdtPr>
            <w:alias w:val="是否适用：其他关联方情况[双击切换]"/>
            <w:tag w:val="_GBC_42246b4c04fc4462b5fb05a5db67f4d0"/>
            <w:id w:val="677584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sdt>
              <w:sdtPr>
                <w:tag w:val="_PLD_36db3e8c12e04d279b0c2956ad69d8a6"/>
                <w:id w:val="6775842"/>
                <w:lock w:val="sdtLocked"/>
              </w:sdtPr>
              <w:sdtContent>
                <w:tc>
                  <w:tcPr>
                    <w:tcW w:w="4785"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szCs w:val="21"/>
                      </w:rPr>
                    </w:pPr>
                    <w:r>
                      <w:rPr>
                        <w:rFonts w:hint="eastAsia" w:cs="Cambria"/>
                        <w:szCs w:val="21"/>
                      </w:rPr>
                      <w:t>其他关联方名称</w:t>
                    </w:r>
                  </w:p>
                </w:tc>
              </w:sdtContent>
            </w:sdt>
            <w:sdt>
              <w:sdtPr>
                <w:tag w:val="_PLD_b851a2cc9280416290b9ebf815c49236"/>
                <w:id w:val="6775843"/>
                <w:lock w:val="sdtLocked"/>
              </w:sdtPr>
              <w:sdtContent>
                <w:tc>
                  <w:tcPr>
                    <w:tcW w:w="4264"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szCs w:val="21"/>
                      </w:rPr>
                    </w:pPr>
                    <w:r>
                      <w:rPr>
                        <w:rFonts w:hint="eastAsia" w:cs="Cambria"/>
                        <w:szCs w:val="21"/>
                      </w:rPr>
                      <w:t>其他关联方与本企业关系</w:t>
                    </w:r>
                  </w:p>
                </w:tc>
              </w:sdtContent>
            </w:sdt>
          </w:tr>
          <w:sdt>
            <w:sdtPr>
              <w:rPr>
                <w:rFonts w:cs="Cambria"/>
                <w:szCs w:val="21"/>
              </w:rPr>
              <w:alias w:val="本企业的其他关联方情况明细"/>
              <w:tag w:val="_TUP_a783e3455e3448cbb8198b1265f2df23"/>
              <w:id w:val="6775845"/>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柳州兴钢建筑安装工程处</w:t>
                    </w:r>
                  </w:p>
                </w:tc>
                <w:sdt>
                  <w:sdtPr>
                    <w:rPr>
                      <w:rFonts w:cs="Cambria"/>
                      <w:szCs w:val="21"/>
                    </w:rPr>
                    <w:alias w:val="本企业的其他关联方情况明细－其他关联方与本公司关系"/>
                    <w:tag w:val="_GBC_58cfdd73098648d8af76645c4007a3fa"/>
                    <w:id w:val="67758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母公司的全资子公司</w:t>
                        </w:r>
                      </w:p>
                    </w:tc>
                  </w:sdtContent>
                </w:sdt>
              </w:tr>
            </w:sdtContent>
          </w:sdt>
          <w:sdt>
            <w:sdtPr>
              <w:rPr>
                <w:rFonts w:cs="Cambria"/>
                <w:szCs w:val="21"/>
              </w:rPr>
              <w:alias w:val="本企业的其他关联方情况明细"/>
              <w:tag w:val="_TUP_a783e3455e3448cbb8198b1265f2df23"/>
              <w:id w:val="6775847"/>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柳州市兴佳房地产开发有限责任公司</w:t>
                    </w:r>
                  </w:p>
                </w:tc>
                <w:sdt>
                  <w:sdtPr>
                    <w:rPr>
                      <w:rFonts w:cs="Cambria"/>
                      <w:szCs w:val="21"/>
                    </w:rPr>
                    <w:alias w:val="本企业的其他关联方情况明细－其他关联方与本公司关系"/>
                    <w:tag w:val="_GBC_58cfdd73098648d8af76645c4007a3fa"/>
                    <w:id w:val="67758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49"/>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柳州市红星园艺场</w:t>
                    </w:r>
                  </w:p>
                </w:tc>
                <w:sdt>
                  <w:sdtPr>
                    <w:rPr>
                      <w:rFonts w:cs="Cambria"/>
                      <w:szCs w:val="21"/>
                    </w:rPr>
                    <w:alias w:val="本企业的其他关联方情况明细－其他关联方与本公司关系"/>
                    <w:tag w:val="_GBC_58cfdd73098648d8af76645c4007a3fa"/>
                    <w:id w:val="67758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母公司的全资子公司</w:t>
                        </w:r>
                      </w:p>
                    </w:tc>
                  </w:sdtContent>
                </w:sdt>
              </w:tr>
            </w:sdtContent>
          </w:sdt>
          <w:sdt>
            <w:sdtPr>
              <w:rPr>
                <w:rFonts w:cs="Cambria"/>
                <w:szCs w:val="21"/>
              </w:rPr>
              <w:alias w:val="本企业的其他关联方情况明细"/>
              <w:tag w:val="_TUP_a783e3455e3448cbb8198b1265f2df23"/>
              <w:id w:val="6775851"/>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柳州市钢花工程建筑监理有限责任公司</w:t>
                    </w:r>
                  </w:p>
                </w:tc>
                <w:sdt>
                  <w:sdtPr>
                    <w:rPr>
                      <w:rFonts w:cs="Cambria"/>
                      <w:szCs w:val="21"/>
                    </w:rPr>
                    <w:alias w:val="本企业的其他关联方情况明细－其他关联方与本公司关系"/>
                    <w:tag w:val="_GBC_58cfdd73098648d8af76645c4007a3fa"/>
                    <w:id w:val="677585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母公司的全资子公司</w:t>
                        </w:r>
                      </w:p>
                    </w:tc>
                  </w:sdtContent>
                </w:sdt>
              </w:tr>
            </w:sdtContent>
          </w:sdt>
          <w:sdt>
            <w:sdtPr>
              <w:rPr>
                <w:rFonts w:cs="Cambria"/>
                <w:szCs w:val="21"/>
              </w:rPr>
              <w:alias w:val="本企业的其他关联方情况明细"/>
              <w:tag w:val="_TUP_a783e3455e3448cbb8198b1265f2df23"/>
              <w:id w:val="6775853"/>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柳州市国龙物业有限公司</w:t>
                    </w:r>
                  </w:p>
                </w:tc>
                <w:sdt>
                  <w:sdtPr>
                    <w:rPr>
                      <w:rFonts w:cs="Cambria"/>
                      <w:szCs w:val="21"/>
                    </w:rPr>
                    <w:alias w:val="本企业的其他关联方情况明细－其他关联方与本公司关系"/>
                    <w:tag w:val="_GBC_58cfdd73098648d8af76645c4007a3fa"/>
                    <w:id w:val="677585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55"/>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柳州市品成金属材料有限公司</w:t>
                    </w:r>
                  </w:p>
                </w:tc>
                <w:sdt>
                  <w:sdtPr>
                    <w:rPr>
                      <w:rFonts w:cs="Cambria"/>
                      <w:szCs w:val="21"/>
                    </w:rPr>
                    <w:alias w:val="本企业的其他关联方情况明细－其他关联方与本公司关系"/>
                    <w:tag w:val="_GBC_58cfdd73098648d8af76645c4007a3fa"/>
                    <w:id w:val="67758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其他</w:t>
                        </w:r>
                      </w:p>
                    </w:tc>
                  </w:sdtContent>
                </w:sdt>
              </w:tr>
            </w:sdtContent>
          </w:sdt>
          <w:sdt>
            <w:sdtPr>
              <w:rPr>
                <w:rFonts w:cs="Cambria"/>
                <w:szCs w:val="21"/>
              </w:rPr>
              <w:alias w:val="本企业的其他关联方情况明细"/>
              <w:tag w:val="_TUP_a783e3455e3448cbb8198b1265f2df23"/>
              <w:id w:val="6775857"/>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柳州瑞昱钢铁国际贸易有限公司</w:t>
                    </w:r>
                  </w:p>
                </w:tc>
                <w:sdt>
                  <w:sdtPr>
                    <w:rPr>
                      <w:rFonts w:cs="Cambria"/>
                      <w:szCs w:val="21"/>
                    </w:rPr>
                    <w:alias w:val="本企业的其他关联方情况明细－其他关联方与本公司关系"/>
                    <w:tag w:val="_GBC_58cfdd73098648d8af76645c4007a3fa"/>
                    <w:id w:val="677585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59"/>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广西柳钢国际贸易有限公司</w:t>
                    </w:r>
                  </w:p>
                </w:tc>
                <w:sdt>
                  <w:sdtPr>
                    <w:rPr>
                      <w:rFonts w:cs="Cambria"/>
                      <w:szCs w:val="21"/>
                    </w:rPr>
                    <w:alias w:val="本企业的其他关联方情况明细－其他关联方与本公司关系"/>
                    <w:tag w:val="_GBC_58cfdd73098648d8af76645c4007a3fa"/>
                    <w:id w:val="67758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61"/>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柳州市强实科技有限公司</w:t>
                    </w:r>
                  </w:p>
                </w:tc>
                <w:sdt>
                  <w:sdtPr>
                    <w:rPr>
                      <w:rFonts w:cs="Cambria"/>
                      <w:szCs w:val="21"/>
                    </w:rPr>
                    <w:alias w:val="本企业的其他关联方情况明细－其他关联方与本公司关系"/>
                    <w:tag w:val="_GBC_58cfdd73098648d8af76645c4007a3fa"/>
                    <w:id w:val="67758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63"/>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广西柳钢物流有限公司</w:t>
                    </w:r>
                  </w:p>
                </w:tc>
                <w:sdt>
                  <w:sdtPr>
                    <w:rPr>
                      <w:rFonts w:cs="Cambria"/>
                      <w:szCs w:val="21"/>
                    </w:rPr>
                    <w:alias w:val="本企业的其他关联方情况明细－其他关联方与本公司关系"/>
                    <w:tag w:val="_GBC_58cfdd73098648d8af76645c4007a3fa"/>
                    <w:id w:val="67758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母公司的全资子公司</w:t>
                        </w:r>
                      </w:p>
                    </w:tc>
                  </w:sdtContent>
                </w:sdt>
              </w:tr>
            </w:sdtContent>
          </w:sdt>
          <w:sdt>
            <w:sdtPr>
              <w:rPr>
                <w:rFonts w:cs="Cambria"/>
                <w:szCs w:val="21"/>
              </w:rPr>
              <w:alias w:val="本企业的其他关联方情况明细"/>
              <w:tag w:val="_TUP_a783e3455e3448cbb8198b1265f2df23"/>
              <w:id w:val="6775865"/>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柳州市运天运运输有限公司</w:t>
                    </w:r>
                  </w:p>
                </w:tc>
                <w:sdt>
                  <w:sdtPr>
                    <w:rPr>
                      <w:rFonts w:cs="Cambria"/>
                      <w:szCs w:val="21"/>
                    </w:rPr>
                    <w:alias w:val="本企业的其他关联方情况明细－其他关联方与本公司关系"/>
                    <w:tag w:val="_GBC_58cfdd73098648d8af76645c4007a3fa"/>
                    <w:id w:val="677586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67"/>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志港实业有限公司</w:t>
                    </w:r>
                  </w:p>
                </w:tc>
                <w:sdt>
                  <w:sdtPr>
                    <w:rPr>
                      <w:rFonts w:cs="Cambria"/>
                      <w:szCs w:val="21"/>
                    </w:rPr>
                    <w:alias w:val="本企业的其他关联方情况明细－其他关联方与本公司关系"/>
                    <w:tag w:val="_GBC_58cfdd73098648d8af76645c4007a3fa"/>
                    <w:id w:val="67758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母公司的全资子公司</w:t>
                        </w:r>
                      </w:p>
                    </w:tc>
                  </w:sdtContent>
                </w:sdt>
              </w:tr>
            </w:sdtContent>
          </w:sdt>
          <w:sdt>
            <w:sdtPr>
              <w:rPr>
                <w:rFonts w:cs="Cambria"/>
                <w:szCs w:val="21"/>
              </w:rPr>
              <w:alias w:val="本企业的其他关联方情况明细"/>
              <w:tag w:val="_TUP_a783e3455e3448cbb8198b1265f2df23"/>
              <w:id w:val="6775869"/>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广西柳钢资产经营管理有限公司</w:t>
                    </w:r>
                  </w:p>
                </w:tc>
                <w:sdt>
                  <w:sdtPr>
                    <w:rPr>
                      <w:rFonts w:cs="Cambria"/>
                      <w:szCs w:val="21"/>
                    </w:rPr>
                    <w:alias w:val="本企业的其他关联方情况明细－其他关联方与本公司关系"/>
                    <w:tag w:val="_GBC_58cfdd73098648d8af76645c4007a3fa"/>
                    <w:id w:val="677586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母公司的全资子公司</w:t>
                        </w:r>
                      </w:p>
                    </w:tc>
                  </w:sdtContent>
                </w:sdt>
              </w:tr>
            </w:sdtContent>
          </w:sdt>
          <w:sdt>
            <w:sdtPr>
              <w:rPr>
                <w:rFonts w:cs="Cambria"/>
                <w:szCs w:val="21"/>
              </w:rPr>
              <w:alias w:val="本企业的其他关联方情况明细"/>
              <w:tag w:val="_TUP_a783e3455e3448cbb8198b1265f2df23"/>
              <w:id w:val="6775871"/>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桂林仙源健康产业股份有限公司</w:t>
                    </w:r>
                  </w:p>
                </w:tc>
                <w:sdt>
                  <w:sdtPr>
                    <w:rPr>
                      <w:rFonts w:cs="Cambria"/>
                      <w:szCs w:val="21"/>
                    </w:rPr>
                    <w:alias w:val="本企业的其他关联方情况明细－其他关联方与本公司关系"/>
                    <w:tag w:val="_GBC_58cfdd73098648d8af76645c4007a3fa"/>
                    <w:id w:val="677587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73"/>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广西南宁柳钢钢材销售有限公司</w:t>
                    </w:r>
                  </w:p>
                </w:tc>
                <w:sdt>
                  <w:sdtPr>
                    <w:rPr>
                      <w:rFonts w:cs="Cambria"/>
                      <w:szCs w:val="21"/>
                    </w:rPr>
                    <w:alias w:val="本企业的其他关联方情况明细－其他关联方与本公司关系"/>
                    <w:tag w:val="_GBC_58cfdd73098648d8af76645c4007a3fa"/>
                    <w:id w:val="67758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母公司的全资子公司</w:t>
                        </w:r>
                      </w:p>
                    </w:tc>
                  </w:sdtContent>
                </w:sdt>
              </w:tr>
            </w:sdtContent>
          </w:sdt>
          <w:sdt>
            <w:sdtPr>
              <w:rPr>
                <w:rFonts w:cs="Cambria"/>
                <w:szCs w:val="21"/>
              </w:rPr>
              <w:alias w:val="本企业的其他关联方情况明细"/>
              <w:tag w:val="_TUP_a783e3455e3448cbb8198b1265f2df23"/>
              <w:id w:val="6775875"/>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柳州市锐立瑞环保科技股份有限公司</w:t>
                    </w:r>
                  </w:p>
                </w:tc>
                <w:sdt>
                  <w:sdtPr>
                    <w:rPr>
                      <w:rFonts w:cs="Cambria"/>
                      <w:szCs w:val="21"/>
                    </w:rPr>
                    <w:alias w:val="本企业的其他关联方情况明细－其他关联方与本公司关系"/>
                    <w:tag w:val="_GBC_58cfdd73098648d8af76645c4007a3fa"/>
                    <w:id w:val="677587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77"/>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柳州市环源利环境资源技术开发有限公司</w:t>
                    </w:r>
                  </w:p>
                </w:tc>
                <w:sdt>
                  <w:sdtPr>
                    <w:rPr>
                      <w:rFonts w:cs="Cambria"/>
                      <w:szCs w:val="21"/>
                    </w:rPr>
                    <w:alias w:val="本企业的其他关联方情况明细－其他关联方与本公司关系"/>
                    <w:tag w:val="_GBC_58cfdd73098648d8af76645c4007a3fa"/>
                    <w:id w:val="677587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79"/>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广东柳钢物流贸易有限公司</w:t>
                    </w:r>
                  </w:p>
                </w:tc>
                <w:sdt>
                  <w:sdtPr>
                    <w:rPr>
                      <w:rFonts w:cs="Cambria"/>
                      <w:szCs w:val="21"/>
                    </w:rPr>
                    <w:alias w:val="本企业的其他关联方情况明细－其他关联方与本公司关系"/>
                    <w:tag w:val="_GBC_58cfdd73098648d8af76645c4007a3fa"/>
                    <w:id w:val="677587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81"/>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柳州市惕艾惕冶金余热发电有限公司</w:t>
                    </w:r>
                  </w:p>
                </w:tc>
                <w:sdt>
                  <w:sdtPr>
                    <w:rPr>
                      <w:rFonts w:cs="Cambria"/>
                      <w:szCs w:val="21"/>
                    </w:rPr>
                    <w:alias w:val="本企业的其他关联方情况明细－其他关联方与本公司关系"/>
                    <w:tag w:val="_GBC_58cfdd73098648d8af76645c4007a3fa"/>
                    <w:id w:val="67758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83"/>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柳州市新越嘉房地产开发有限公司</w:t>
                    </w:r>
                  </w:p>
                </w:tc>
                <w:sdt>
                  <w:sdtPr>
                    <w:rPr>
                      <w:rFonts w:cs="Cambria"/>
                      <w:szCs w:val="21"/>
                    </w:rPr>
                    <w:alias w:val="本企业的其他关联方情况明细－其他关联方与本公司关系"/>
                    <w:tag w:val="_GBC_58cfdd73098648d8af76645c4007a3fa"/>
                    <w:id w:val="67758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85"/>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柳州市畅通运货运服务有限公司</w:t>
                    </w:r>
                  </w:p>
                </w:tc>
                <w:sdt>
                  <w:sdtPr>
                    <w:rPr>
                      <w:rFonts w:cs="Cambria"/>
                      <w:szCs w:val="21"/>
                    </w:rPr>
                    <w:alias w:val="本企业的其他关联方情况明细－其他关联方与本公司关系"/>
                    <w:tag w:val="_GBC_58cfdd73098648d8af76645c4007a3fa"/>
                    <w:id w:val="677588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87"/>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广西柳州锐钢捷冶金机械制造有限责任公司</w:t>
                    </w:r>
                  </w:p>
                </w:tc>
                <w:sdt>
                  <w:sdtPr>
                    <w:rPr>
                      <w:rFonts w:cs="Cambria"/>
                      <w:szCs w:val="21"/>
                    </w:rPr>
                    <w:alias w:val="本企业的其他关联方情况明细－其他关联方与本公司关系"/>
                    <w:tag w:val="_GBC_58cfdd73098648d8af76645c4007a3fa"/>
                    <w:id w:val="67758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89"/>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柳州凯盈钢材加工有限公司</w:t>
                    </w:r>
                  </w:p>
                </w:tc>
                <w:sdt>
                  <w:sdtPr>
                    <w:rPr>
                      <w:rFonts w:cs="Cambria"/>
                      <w:szCs w:val="21"/>
                    </w:rPr>
                    <w:alias w:val="本企业的其他关联方情况明细－其他关联方与本公司关系"/>
                    <w:tag w:val="_GBC_58cfdd73098648d8af76645c4007a3fa"/>
                    <w:id w:val="677588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91"/>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柳州兴远劳务有限公司</w:t>
                    </w:r>
                  </w:p>
                </w:tc>
                <w:sdt>
                  <w:sdtPr>
                    <w:rPr>
                      <w:rFonts w:cs="Cambria"/>
                      <w:szCs w:val="21"/>
                    </w:rPr>
                    <w:alias w:val="本企业的其他关联方情况明细－其他关联方与本公司关系"/>
                    <w:tag w:val="_GBC_58cfdd73098648d8af76645c4007a3fa"/>
                    <w:id w:val="67758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93"/>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柳州市新和刚电力有限责任公司</w:t>
                    </w:r>
                  </w:p>
                </w:tc>
                <w:sdt>
                  <w:sdtPr>
                    <w:rPr>
                      <w:rFonts w:cs="Cambria"/>
                      <w:szCs w:val="21"/>
                    </w:rPr>
                    <w:alias w:val="本企业的其他关联方情况明细－其他关联方与本公司关系"/>
                    <w:tag w:val="_GBC_58cfdd73098648d8af76645c4007a3fa"/>
                    <w:id w:val="677589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95"/>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柳州市瑞拓小额贷款有限公司</w:t>
                    </w:r>
                  </w:p>
                </w:tc>
                <w:sdt>
                  <w:sdtPr>
                    <w:rPr>
                      <w:rFonts w:cs="Cambria"/>
                      <w:szCs w:val="21"/>
                    </w:rPr>
                    <w:alias w:val="本企业的其他关联方情况明细－其他关联方与本公司关系"/>
                    <w:tag w:val="_GBC_58cfdd73098648d8af76645c4007a3fa"/>
                    <w:id w:val="67758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97"/>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柳州秋实益矿业有限公司</w:t>
                    </w:r>
                  </w:p>
                </w:tc>
                <w:sdt>
                  <w:sdtPr>
                    <w:rPr>
                      <w:rFonts w:cs="Cambria"/>
                      <w:szCs w:val="21"/>
                    </w:rPr>
                    <w:alias w:val="本企业的其他关联方情况明细－其他关联方与本公司关系"/>
                    <w:tag w:val="_GBC_58cfdd73098648d8af76645c4007a3fa"/>
                    <w:id w:val="677589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899"/>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柳州市固强钢材有限公司</w:t>
                    </w:r>
                  </w:p>
                </w:tc>
                <w:sdt>
                  <w:sdtPr>
                    <w:rPr>
                      <w:rFonts w:cs="Cambria"/>
                      <w:szCs w:val="21"/>
                    </w:rPr>
                    <w:alias w:val="本企业的其他关联方情况明细－其他关联方与本公司关系"/>
                    <w:tag w:val="_GBC_58cfdd73098648d8af76645c4007a3fa"/>
                    <w:id w:val="677589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01"/>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柳州特久恒机械设备有限公司</w:t>
                    </w:r>
                  </w:p>
                </w:tc>
                <w:sdt>
                  <w:sdtPr>
                    <w:rPr>
                      <w:rFonts w:cs="Cambria"/>
                      <w:szCs w:val="21"/>
                    </w:rPr>
                    <w:alias w:val="本企业的其他关联方情况明细－其他关联方与本公司关系"/>
                    <w:tag w:val="_GBC_58cfdd73098648d8af76645c4007a3fa"/>
                    <w:id w:val="67759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03"/>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柳州市新游化工有限责任公司</w:t>
                    </w:r>
                  </w:p>
                </w:tc>
                <w:sdt>
                  <w:sdtPr>
                    <w:rPr>
                      <w:rFonts w:cs="Cambria"/>
                      <w:szCs w:val="21"/>
                    </w:rPr>
                    <w:alias w:val="本企业的其他关联方情况明细－其他关联方与本公司关系"/>
                    <w:tag w:val="_GBC_58cfdd73098648d8af76645c4007a3fa"/>
                    <w:id w:val="677590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05"/>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柳州市曼凯亚科技有限责任公司</w:t>
                    </w:r>
                  </w:p>
                </w:tc>
                <w:sdt>
                  <w:sdtPr>
                    <w:rPr>
                      <w:rFonts w:cs="Cambria"/>
                      <w:szCs w:val="21"/>
                    </w:rPr>
                    <w:alias w:val="本企业的其他关联方情况明细－其他关联方与本公司关系"/>
                    <w:tag w:val="_GBC_58cfdd73098648d8af76645c4007a3fa"/>
                    <w:id w:val="677590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07"/>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柳州锐源鹏节能环保科技有限公司</w:t>
                    </w:r>
                  </w:p>
                </w:tc>
                <w:sdt>
                  <w:sdtPr>
                    <w:rPr>
                      <w:rFonts w:cs="Cambria"/>
                      <w:szCs w:val="21"/>
                    </w:rPr>
                    <w:alias w:val="本企业的其他关联方情况明细－其他关联方与本公司关系"/>
                    <w:tag w:val="_GBC_58cfdd73098648d8af76645c4007a3fa"/>
                    <w:id w:val="67759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09"/>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柳州市多元贸易有限责任公司</w:t>
                    </w:r>
                  </w:p>
                </w:tc>
                <w:sdt>
                  <w:sdtPr>
                    <w:rPr>
                      <w:rFonts w:cs="Cambria"/>
                      <w:szCs w:val="21"/>
                    </w:rPr>
                    <w:alias w:val="本企业的其他关联方情况明细－其他关联方与本公司关系"/>
                    <w:tag w:val="_GBC_58cfdd73098648d8af76645c4007a3fa"/>
                    <w:id w:val="677590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11"/>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柳州市盛鹏源环保科技有限公司</w:t>
                    </w:r>
                  </w:p>
                </w:tc>
                <w:sdt>
                  <w:sdtPr>
                    <w:rPr>
                      <w:rFonts w:cs="Cambria"/>
                      <w:szCs w:val="21"/>
                    </w:rPr>
                    <w:alias w:val="本企业的其他关联方情况明细－其他关联方与本公司关系"/>
                    <w:tag w:val="_GBC_58cfdd73098648d8af76645c4007a3fa"/>
                    <w:id w:val="677591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13"/>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广西柳州新锐传媒文化有限责任公司</w:t>
                    </w:r>
                  </w:p>
                </w:tc>
                <w:sdt>
                  <w:sdtPr>
                    <w:rPr>
                      <w:rFonts w:cs="Cambria"/>
                      <w:szCs w:val="21"/>
                    </w:rPr>
                    <w:alias w:val="本企业的其他关联方情况明细－其他关联方与本公司关系"/>
                    <w:tag w:val="_GBC_58cfdd73098648d8af76645c4007a3fa"/>
                    <w:id w:val="67759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15"/>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桂林市柳钢刚茂升贸易有限公司</w:t>
                    </w:r>
                  </w:p>
                </w:tc>
                <w:sdt>
                  <w:sdtPr>
                    <w:rPr>
                      <w:rFonts w:cs="Cambria"/>
                      <w:szCs w:val="21"/>
                    </w:rPr>
                    <w:alias w:val="本企业的其他关联方情况明细－其他关联方与本公司关系"/>
                    <w:tag w:val="_GBC_58cfdd73098648d8af76645c4007a3fa"/>
                    <w:id w:val="677591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17"/>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柳州市瑞润气体有限公司</w:t>
                    </w:r>
                  </w:p>
                </w:tc>
                <w:sdt>
                  <w:sdtPr>
                    <w:rPr>
                      <w:rFonts w:cs="Cambria"/>
                      <w:szCs w:val="21"/>
                    </w:rPr>
                    <w:alias w:val="本企业的其他关联方情况明细－其他关联方与本公司关系"/>
                    <w:tag w:val="_GBC_58cfdd73098648d8af76645c4007a3fa"/>
                    <w:id w:val="677591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19"/>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柳州市瑞雅教育投资管理有限公司</w:t>
                    </w:r>
                  </w:p>
                </w:tc>
                <w:sdt>
                  <w:sdtPr>
                    <w:rPr>
                      <w:rFonts w:cs="Cambria"/>
                      <w:szCs w:val="21"/>
                    </w:rPr>
                    <w:alias w:val="本企业的其他关联方情况明细－其他关联方与本公司关系"/>
                    <w:tag w:val="_GBC_58cfdd73098648d8af76645c4007a3fa"/>
                    <w:id w:val="677591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21"/>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广西金环研科技开发有限公司</w:t>
                    </w:r>
                  </w:p>
                </w:tc>
                <w:sdt>
                  <w:sdtPr>
                    <w:rPr>
                      <w:rFonts w:cs="Cambria"/>
                      <w:szCs w:val="21"/>
                    </w:rPr>
                    <w:alias w:val="本企业的其他关联方情况明细－其他关联方与本公司关系"/>
                    <w:tag w:val="_GBC_58cfdd73098648d8af76645c4007a3fa"/>
                    <w:id w:val="677592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23"/>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柳州市聚仁劳务有限公司</w:t>
                    </w:r>
                  </w:p>
                </w:tc>
                <w:sdt>
                  <w:sdtPr>
                    <w:rPr>
                      <w:rFonts w:cs="Cambria"/>
                      <w:szCs w:val="21"/>
                    </w:rPr>
                    <w:alias w:val="本企业的其他关联方情况明细－其他关联方与本公司关系"/>
                    <w:tag w:val="_GBC_58cfdd73098648d8af76645c4007a3fa"/>
                    <w:id w:val="67759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25"/>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柳州市益力资源开发有限责任公司</w:t>
                    </w:r>
                  </w:p>
                </w:tc>
                <w:sdt>
                  <w:sdtPr>
                    <w:rPr>
                      <w:rFonts w:cs="Cambria"/>
                      <w:szCs w:val="21"/>
                    </w:rPr>
                    <w:alias w:val="本企业的其他关联方情况明细－其他关联方与本公司关系"/>
                    <w:tag w:val="_GBC_58cfdd73098648d8af76645c4007a3fa"/>
                    <w:id w:val="67759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27"/>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广西柳钢供应链管理有限公司</w:t>
                    </w:r>
                  </w:p>
                </w:tc>
                <w:sdt>
                  <w:sdtPr>
                    <w:rPr>
                      <w:rFonts w:cs="Cambria"/>
                      <w:szCs w:val="21"/>
                    </w:rPr>
                    <w:alias w:val="本企业的其他关联方情况明细－其他关联方与本公司关系"/>
                    <w:tag w:val="_GBC_58cfdd73098648d8af76645c4007a3fa"/>
                    <w:id w:val="677592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29"/>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柳州山海科技股份有限公司</w:t>
                    </w:r>
                  </w:p>
                </w:tc>
                <w:sdt>
                  <w:sdtPr>
                    <w:rPr>
                      <w:rFonts w:cs="Cambria"/>
                      <w:szCs w:val="21"/>
                    </w:rPr>
                    <w:alias w:val="本企业的其他关联方情况明细－其他关联方与本公司关系"/>
                    <w:tag w:val="_GBC_58cfdd73098648d8af76645c4007a3fa"/>
                    <w:id w:val="677592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31"/>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广西柳钢环保股份有限公司</w:t>
                    </w:r>
                  </w:p>
                </w:tc>
                <w:sdt>
                  <w:sdtPr>
                    <w:rPr>
                      <w:rFonts w:cs="Cambria"/>
                      <w:szCs w:val="21"/>
                    </w:rPr>
                    <w:alias w:val="本企业的其他关联方情况明细－其他关联方与本公司关系"/>
                    <w:tag w:val="_GBC_58cfdd73098648d8af76645c4007a3fa"/>
                    <w:id w:val="677593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33"/>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广西华锐钢铁工程设计咨询有限责任公司</w:t>
                    </w:r>
                  </w:p>
                </w:tc>
                <w:sdt>
                  <w:sdtPr>
                    <w:rPr>
                      <w:rFonts w:cs="Cambria"/>
                      <w:szCs w:val="21"/>
                    </w:rPr>
                    <w:alias w:val="本企业的其他关联方情况明细－其他关联方与本公司关系"/>
                    <w:tag w:val="_GBC_58cfdd73098648d8af76645c4007a3fa"/>
                    <w:id w:val="677593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35"/>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柳州市瑞中运储运有限公司</w:t>
                    </w:r>
                  </w:p>
                </w:tc>
                <w:sdt>
                  <w:sdtPr>
                    <w:rPr>
                      <w:rFonts w:cs="Cambria"/>
                      <w:szCs w:val="21"/>
                    </w:rPr>
                    <w:alias w:val="本企业的其他关联方情况明细－其他关联方与本公司关系"/>
                    <w:tag w:val="_GBC_58cfdd73098648d8af76645c4007a3fa"/>
                    <w:id w:val="677593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37"/>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广西柳钢阳光钢结构有限公司</w:t>
                    </w:r>
                  </w:p>
                </w:tc>
                <w:sdt>
                  <w:sdtPr>
                    <w:rPr>
                      <w:rFonts w:cs="Cambria"/>
                      <w:szCs w:val="21"/>
                    </w:rPr>
                    <w:alias w:val="本企业的其他关联方情况明细－其他关联方与本公司关系"/>
                    <w:tag w:val="_GBC_58cfdd73098648d8af76645c4007a3fa"/>
                    <w:id w:val="677593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39"/>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十一冶建设集团有限责任公司</w:t>
                    </w:r>
                  </w:p>
                </w:tc>
                <w:sdt>
                  <w:sdtPr>
                    <w:rPr>
                      <w:rFonts w:cs="Cambria"/>
                      <w:szCs w:val="21"/>
                    </w:rPr>
                    <w:alias w:val="本企业的其他关联方情况明细－其他关联方与本公司关系"/>
                    <w:tag w:val="_GBC_58cfdd73098648d8af76645c4007a3fa"/>
                    <w:id w:val="677593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41"/>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t>广西中金金属科技股份有限公司</w:t>
                    </w:r>
                  </w:p>
                </w:tc>
                <w:sdt>
                  <w:sdtPr>
                    <w:rPr>
                      <w:rFonts w:cs="Cambria"/>
                      <w:szCs w:val="21"/>
                    </w:rPr>
                    <w:alias w:val="本企业的其他关联方情况明细－其他关联方与本公司关系"/>
                    <w:tag w:val="_GBC_58cfdd73098648d8af76645c4007a3fa"/>
                    <w:id w:val="67759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cs="Cambria"/>
                            <w:szCs w:val="21"/>
                          </w:rPr>
                          <w:t>其他</w:t>
                        </w:r>
                      </w:p>
                    </w:tc>
                  </w:sdtContent>
                </w:sdt>
              </w:tr>
            </w:sdtContent>
          </w:sdt>
          <w:sdt>
            <w:sdtPr>
              <w:rPr>
                <w:rFonts w:cs="Cambria"/>
                <w:szCs w:val="21"/>
              </w:rPr>
              <w:alias w:val="本企业的其他关联方情况明细"/>
              <w:tag w:val="_TUP_a783e3455e3448cbb8198b1265f2df23"/>
              <w:id w:val="6775943"/>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rPr>
                        <w:rFonts w:hint="eastAsia" w:cs="Cambria"/>
                        <w:szCs w:val="21"/>
                      </w:rPr>
                      <w:t>柳州柳宏气体有限公司</w:t>
                    </w:r>
                  </w:p>
                </w:tc>
                <w:sdt>
                  <w:sdtPr>
                    <w:rPr>
                      <w:rFonts w:cs="Cambria"/>
                      <w:szCs w:val="21"/>
                    </w:rPr>
                    <w:alias w:val="本企业的其他关联方情况明细－其他关联方与本公司关系"/>
                    <w:tag w:val="_GBC_58cfdd73098648d8af76645c4007a3fa"/>
                    <w:id w:val="67759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45"/>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rPr>
                        <w:rFonts w:hint="eastAsia"/>
                      </w:rPr>
                      <w:t>柳州市锐航船务有限责任公司</w:t>
                    </w:r>
                  </w:p>
                </w:tc>
                <w:sdt>
                  <w:sdtPr>
                    <w:rPr>
                      <w:rFonts w:cs="Cambria"/>
                      <w:szCs w:val="21"/>
                    </w:rPr>
                    <w:alias w:val="本企业的其他关联方情况明细－其他关联方与本公司关系"/>
                    <w:tag w:val="_GBC_58cfdd73098648d8af76645c4007a3fa"/>
                    <w:id w:val="67759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sdt>
            <w:sdtPr>
              <w:rPr>
                <w:rFonts w:cs="Cambria"/>
                <w:szCs w:val="21"/>
              </w:rPr>
              <w:alias w:val="本企业的其他关联方情况明细"/>
              <w:tag w:val="_TUP_a783e3455e3448cbb8198b1265f2df23"/>
              <w:id w:val="6775947"/>
              <w:lock w:val="sdtLocked"/>
            </w:sdtPr>
            <w:sdtEndPr>
              <w:rPr>
                <w:rFonts w:cs="Cambria"/>
                <w:szCs w:val="2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785" w:type="dxa"/>
                    <w:tcBorders>
                      <w:top w:val="single" w:color="auto" w:sz="4" w:space="0"/>
                      <w:left w:val="single" w:color="auto" w:sz="4" w:space="0"/>
                      <w:bottom w:val="single" w:color="auto" w:sz="4" w:space="0"/>
                      <w:right w:val="single" w:color="auto" w:sz="4" w:space="0"/>
                    </w:tcBorders>
                    <w:vAlign w:val="center"/>
                  </w:tcPr>
                  <w:p>
                    <w:pPr>
                      <w:rPr>
                        <w:rFonts w:cs="Cambria"/>
                        <w:szCs w:val="21"/>
                      </w:rPr>
                    </w:pPr>
                    <w:r>
                      <w:rPr>
                        <w:rFonts w:hint="eastAsia" w:cs="Cambria"/>
                        <w:szCs w:val="21"/>
                      </w:rPr>
                      <w:t>柳州市柳北区柳钢仙源颐养中心</w:t>
                    </w:r>
                  </w:p>
                </w:tc>
                <w:sdt>
                  <w:sdtPr>
                    <w:rPr>
                      <w:rFonts w:cs="Cambria"/>
                      <w:szCs w:val="21"/>
                    </w:rPr>
                    <w:alias w:val="本企业的其他关联方情况明细－其他关联方与本公司关系"/>
                    <w:tag w:val="_GBC_58cfdd73098648d8af76645c4007a3fa"/>
                    <w:id w:val="67759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szCs w:val="21"/>
                    </w:rPr>
                  </w:sdtEndPr>
                  <w:sdtContent>
                    <w:tc>
                      <w:tcPr>
                        <w:tcW w:w="4264" w:type="dxa"/>
                        <w:tcBorders>
                          <w:top w:val="single" w:color="auto" w:sz="4" w:space="0"/>
                          <w:left w:val="single" w:color="auto" w:sz="4" w:space="0"/>
                          <w:bottom w:val="single" w:color="auto" w:sz="4" w:space="0"/>
                          <w:right w:val="single" w:color="auto" w:sz="4" w:space="0"/>
                        </w:tcBorders>
                      </w:tcPr>
                      <w:p>
                        <w:pPr>
                          <w:rPr>
                            <w:rFonts w:cs="Cambria"/>
                            <w:szCs w:val="21"/>
                          </w:rPr>
                        </w:pPr>
                        <w:r>
                          <w:rPr>
                            <w:rFonts w:hint="eastAsia" w:cs="Cambria"/>
                            <w:szCs w:val="21"/>
                          </w:rPr>
                          <w:t>母公司的控股子公司</w:t>
                        </w:r>
                      </w:p>
                    </w:tc>
                  </w:sdtContent>
                </w:sdt>
              </w:tr>
            </w:sdtContent>
          </w:sdt>
        </w:tbl>
        <w:p/>
        <w:p>
          <w:pPr>
            <w:tabs>
              <w:tab w:val="left" w:pos="1134"/>
            </w:tabs>
            <w:rPr>
              <w:rFonts w:cs="Cambria"/>
              <w:szCs w:val="21"/>
            </w:rPr>
          </w:pPr>
          <w:r>
            <w:rPr>
              <w:rFonts w:hint="eastAsia" w:cs="Cambria"/>
              <w:szCs w:val="21"/>
            </w:rPr>
            <w:t>其他说明</w:t>
          </w:r>
        </w:p>
        <w:sdt>
          <w:sdtPr>
            <w:rPr>
              <w:rFonts w:cs="Cambria"/>
              <w:szCs w:val="21"/>
            </w:rPr>
            <w:alias w:val="本企业的其他关联方情况的说明"/>
            <w:tag w:val="_GBC_117952daaba845fa964eb3e2e22e8fc5"/>
            <w:id w:val="6775948"/>
            <w:lock w:val="sdtLocked"/>
            <w:placeholder>
              <w:docPart w:val="GBC22222222222222222222222222222"/>
            </w:placeholder>
          </w:sdtPr>
          <w:sdtEndPr>
            <w:rPr>
              <w:rFonts w:cs="Cambria"/>
              <w:szCs w:val="21"/>
            </w:rPr>
          </w:sdtEndPr>
          <w:sdtContent>
            <w:p>
              <w:pPr>
                <w:tabs>
                  <w:tab w:val="left" w:pos="1134"/>
                </w:tabs>
                <w:ind w:firstLine="210" w:firstLineChars="100"/>
                <w:rPr>
                  <w:rFonts w:cs="Cambria"/>
                  <w:szCs w:val="21"/>
                </w:rPr>
              </w:pPr>
              <w:r>
                <w:rPr>
                  <w:rFonts w:hint="eastAsia" w:cs="Cambria"/>
                  <w:szCs w:val="21"/>
                </w:rPr>
                <w:t>1、</w:t>
              </w:r>
              <w:r>
                <w:rPr>
                  <w:rFonts w:cs="Cambria"/>
                  <w:szCs w:val="21"/>
                </w:rPr>
                <w:t>2017年12月11日广西国有资产监督管理委员会《关于广西柳州钢铁集团有限公司与十一冶建设集团有限公司实施战略重组的通知》（桂国资规划字【2017】132号），将广西国有资产监督管理委员会持有十一冶建设集团有限公司97.71%的股权无偿划转广西柳州钢铁集团有限公司，</w:t>
              </w:r>
              <w:r>
                <w:rPr>
                  <w:rFonts w:hint="eastAsia" w:cs="Cambria"/>
                  <w:szCs w:val="21"/>
                </w:rPr>
                <w:t>截止报告报出日，股权变更登记手续尚未完成，</w:t>
              </w:r>
              <w:r>
                <w:rPr>
                  <w:rFonts w:cs="Cambria"/>
                  <w:szCs w:val="21"/>
                </w:rPr>
                <w:t>本公司与十一冶建设集团有限公司构成关联方。</w:t>
              </w:r>
            </w:p>
            <w:p>
              <w:pPr>
                <w:tabs>
                  <w:tab w:val="left" w:pos="1134"/>
                </w:tabs>
                <w:ind w:firstLine="210" w:firstLineChars="100"/>
                <w:rPr>
                  <w:rFonts w:cs="Cambria"/>
                  <w:szCs w:val="21"/>
                </w:rPr>
              </w:pPr>
              <w:r>
                <w:rPr>
                  <w:rFonts w:hint="eastAsia" w:cs="Cambria"/>
                  <w:szCs w:val="21"/>
                </w:rPr>
                <w:t>2、广西中金金属科技股份有限公司是广西柳州钢铁集团有限公司拟在未来十二个月内收购的全资子公司，本公司与广西中金金属科技股份有限公司构成关联方。</w:t>
              </w:r>
            </w:p>
          </w:sdtContent>
        </w:sdt>
        <w:p>
          <w:pPr>
            <w:tabs>
              <w:tab w:val="left" w:pos="1134"/>
            </w:tabs>
            <w:rPr>
              <w:rFonts w:cs="Cambria"/>
              <w:b/>
              <w:szCs w:val="21"/>
            </w:rPr>
          </w:pPr>
        </w:p>
      </w:sdtContent>
    </w:sdt>
    <w:p>
      <w:pPr>
        <w:pStyle w:val="4"/>
        <w:numPr>
          <w:ilvl w:val="0"/>
          <w:numId w:val="102"/>
        </w:numPr>
      </w:pPr>
      <w:r>
        <w:rPr>
          <w:rFonts w:hint="eastAsia"/>
        </w:rPr>
        <w:t>关联交易情况</w:t>
      </w:r>
    </w:p>
    <w:p>
      <w:pPr>
        <w:pStyle w:val="5"/>
        <w:numPr>
          <w:ilvl w:val="0"/>
          <w:numId w:val="103"/>
        </w:numPr>
        <w:tabs>
          <w:tab w:val="left" w:pos="616"/>
        </w:tabs>
      </w:pPr>
      <w:r>
        <w:rPr>
          <w:rFonts w:hint="eastAsia"/>
        </w:rPr>
        <w:t>购销商品、提供和接受劳务的关联交易</w:t>
      </w:r>
    </w:p>
    <w:sdt>
      <w:sdtPr>
        <w:rPr>
          <w:rFonts w:hint="eastAsia"/>
        </w:rPr>
        <w:alias w:val="模块:采购商品/接受劳务情况表"/>
        <w:tag w:val="_SEC_b6443abb06dd41c7944d441c27c48f7d"/>
        <w:id w:val="6775990"/>
        <w:lock w:val="sdtLocked"/>
        <w:placeholder>
          <w:docPart w:val="GBC22222222222222222222222222222"/>
        </w:placeholder>
      </w:sdtPr>
      <w:sdtEndPr>
        <w:rPr>
          <w:rFonts w:hint="default"/>
        </w:rPr>
      </w:sdtEndPr>
      <w:sdtContent>
        <w:p>
          <w:r>
            <w:rPr>
              <w:rFonts w:hint="eastAsia"/>
            </w:rPr>
            <w:t>采购商品/接受劳务情况表</w:t>
          </w:r>
        </w:p>
        <w:sdt>
          <w:sdtPr>
            <w:alias w:val="是否适用：采购商品或接受劳务情况表[双击切换]"/>
            <w:tag w:val="_GBC_c080653feddc4cf2a468adfbb755dff3"/>
            <w:id w:val="677595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rFonts w:cs="Cambria"/>
              <w:b/>
              <w:bCs/>
              <w:szCs w:val="21"/>
            </w:rPr>
          </w:pPr>
          <w:r>
            <w:rPr>
              <w:rFonts w:hint="eastAsia" w:cs="Cambria"/>
              <w:szCs w:val="21"/>
            </w:rPr>
            <w:t>单位：</w:t>
          </w:r>
          <w:sdt>
            <w:sdtPr>
              <w:rPr>
                <w:rFonts w:hint="eastAsia" w:cs="Cambria"/>
                <w:szCs w:val="21"/>
              </w:rPr>
              <w:alias w:val="单位：采购商品接受劳务情况表"/>
              <w:tag w:val="_GBC_60c7e55aaf24447a8a860810d4064a69"/>
              <w:id w:val="677595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cs="Cambria"/>
                <w:szCs w:val="21"/>
              </w:rPr>
            </w:sdtEndPr>
            <w:sdtContent>
              <w:r>
                <w:rPr>
                  <w:rFonts w:hint="eastAsia" w:cs="Cambria"/>
                  <w:szCs w:val="21"/>
                </w:rPr>
                <w:t>万元</w:t>
              </w:r>
            </w:sdtContent>
          </w:sdt>
          <w:r>
            <w:rPr>
              <w:rFonts w:hint="eastAsia" w:cs="Cambria"/>
              <w:szCs w:val="21"/>
            </w:rPr>
            <w:t xml:space="preserve">  币种：</w:t>
          </w:r>
          <w:sdt>
            <w:sdtPr>
              <w:rPr>
                <w:rFonts w:hint="eastAsia" w:cs="Cambria"/>
                <w:szCs w:val="21"/>
              </w:rPr>
              <w:alias w:val="币种：采购商品接受劳务情况表"/>
              <w:tag w:val="_GBC_18feeecfa5c34459a62da7de5d6b5a90"/>
              <w:id w:val="67759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cs="Cambria"/>
                <w:szCs w:val="21"/>
              </w:rPr>
            </w:sdtEndPr>
            <w:sdtContent>
              <w:r>
                <w:rPr>
                  <w:rFonts w:hint="eastAsia" w:cs="Cambr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574"/>
            <w:gridCol w:w="2126"/>
            <w:gridCol w:w="1560"/>
            <w:gridCol w:w="1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295" w:hRule="atLeast"/>
            </w:trPr>
            <w:sdt>
              <w:sdtPr>
                <w:tag w:val="_PLD_ed4fd195f176464f83eb8db1dbcbc443"/>
                <w:id w:val="-1105264260"/>
                <w:lock w:val="sdtLocked"/>
              </w:sdtPr>
              <w:sdtContent>
                <w:tc>
                  <w:tcPr>
                    <w:tcW w:w="3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关联方</w:t>
                    </w:r>
                  </w:p>
                </w:tc>
              </w:sdtContent>
            </w:sdt>
            <w:sdt>
              <w:sdtPr>
                <w:tag w:val="_PLD_013e7578c973447da6bccdb1a3924d96"/>
                <w:id w:val="906503028"/>
                <w:lock w:val="sdtLocked"/>
              </w:sdtPr>
              <w:sdtContent>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关联交易内容</w:t>
                    </w:r>
                  </w:p>
                </w:tc>
              </w:sdtContent>
            </w:sdt>
            <w:sdt>
              <w:sdtPr>
                <w:tag w:val="_PLD_6b54e09a146a4c34bba286909831c05b"/>
                <w:id w:val="1978494983"/>
                <w:lock w:val="sdtLocked"/>
              </w:sdtPr>
              <w:sdtContent>
                <w:tc>
                  <w:tcPr>
                    <w:tcW w:w="1560" w:type="dxa"/>
                    <w:tcBorders>
                      <w:top w:val="single" w:color="auto" w:sz="4" w:space="0"/>
                      <w:left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本期发生额</w:t>
                    </w:r>
                  </w:p>
                </w:tc>
              </w:sdtContent>
            </w:sdt>
            <w:sdt>
              <w:sdtPr>
                <w:tag w:val="_PLD_9f856a67de3d45acbef7ccb12b35985d"/>
                <w:id w:val="221491749"/>
                <w:lock w:val="sdtLocked"/>
              </w:sdtPr>
              <w:sdtContent>
                <w:tc>
                  <w:tcPr>
                    <w:tcW w:w="1633" w:type="dxa"/>
                    <w:tcBorders>
                      <w:top w:val="single" w:color="auto" w:sz="4" w:space="0"/>
                      <w:left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上期发生额</w:t>
                    </w:r>
                  </w:p>
                </w:tc>
              </w:sdtContent>
            </w:sdt>
          </w:tr>
          <w:sdt>
            <w:sdtPr>
              <w:rPr>
                <w:rFonts w:asciiTheme="minorHAnsi" w:hAnsiTheme="minorHAnsi" w:eastAsiaTheme="minorEastAsia" w:cstheme="minorBidi"/>
                <w:kern w:val="2"/>
                <w:sz w:val="18"/>
                <w:szCs w:val="18"/>
              </w:rPr>
              <w:alias w:val="采购商品接受劳务情况明细"/>
              <w:tag w:val="_TUP_21b06c19d7ae4c2ea8596d9fcb57283b"/>
              <w:id w:val="-1662761057"/>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生产用水</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9,761.40</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8,055.37</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50729246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生产用电</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157,491.35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151,755.89</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1424609324"/>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煤气</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77,287.73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67,847.35</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1653755666"/>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氧气</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48,011.81</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40,774.81</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131837509"/>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其他气体</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49,541.74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44,675.11</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42596300"/>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耐火材料</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32,641.52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32,581.38</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336078290"/>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劳务</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5,975.51</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1,831.97</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1845852288"/>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粉矿</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2,340.02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3,203.87</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164866424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备件材料</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14,808.73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6,768.11</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868183624"/>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设备</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10,464.93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251482376"/>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废钢</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18,070.10</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16,279.69</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39327013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其他</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254.85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846.9</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1283461093"/>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柳州兴钢建筑安装工程处</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劳务</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13,072.82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14,336.64</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130520865"/>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柳州市运天运运输有限公司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劳务</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12,668.78</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12,056.61</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645095384"/>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志港实业有限公司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矿石、煤</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337,848.26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86,350.59</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767364661"/>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广西柳钢国际贸易有限公司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矿石、煤</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192,153.59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35,471.96</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1159812584"/>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柳州市强实科技有限公司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材料</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106.53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328.15</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164791104"/>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柳州市钢花工程建筑监理有限责任公司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监理费</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80.75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93.51</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595527087"/>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柳州市红星园艺场</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农副食品</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138.04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311.93</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1160421158"/>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广西柳钢物流有限公司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运费</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53.77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2.36</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474141337"/>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广西柳州新锐传媒文化有限责任公司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标牌制作、办公用品等</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235.00</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67.85</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243159911"/>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柳州锐源鹏节能环保科技有限公司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材料</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159.21</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8.79</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25721530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柳州市多元贸易有限责任公司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废钢</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1,286.89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1,346.35</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69467435"/>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柳州市曼凯亚科技有限责任公司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劳保用品</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517.80</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466.58</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986233482"/>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柳州市盛鹏源环保科技有限公司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磁选铁、化工产品等</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1,003.42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1,132.29</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529300644"/>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广西柳钢资产经营管理有限公司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煤碳</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8,355.05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329677910"/>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柳州兴远劳务有限公司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劳务、装卸费</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7,732.09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10,691.90</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2064058657"/>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柳州市环源利环境资源技术开发有限公司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废渣、装卸</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9,519.44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6,179.39</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2141874559"/>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柳州市惕艾惕冶金余热发电有限公司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工业水</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25.80</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25.19</w:t>
                    </w: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713237467"/>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柳州瑞昱钢铁国际贸易有限公司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合金</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1.82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503815155"/>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广西华锐钢铁工程设计咨询有限责任公司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工程设计</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639.17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1385942959"/>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广西柳钢环保股份有限公司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加工费</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2,939.63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742486669"/>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十一冶建设集团有限责任公司</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工程建设</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rFonts w:hint="eastAsia"/>
                        <w:sz w:val="18"/>
                        <w:szCs w:val="18"/>
                      </w:rPr>
                      <w:t>185.84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rFonts w:asciiTheme="minorHAnsi" w:hAnsiTheme="minorHAnsi" w:eastAsiaTheme="minorEastAsia" w:cstheme="minorBidi"/>
                <w:kern w:val="2"/>
                <w:sz w:val="18"/>
                <w:szCs w:val="18"/>
              </w:rPr>
              <w:alias w:val="采购商品接受劳务情况明细"/>
              <w:tag w:val="_TUP_21b06c19d7ae4c2ea8596d9fcb57283b"/>
              <w:id w:val="-939754973"/>
              <w:lock w:val="sdtLocked"/>
            </w:sdtPr>
            <w:sdtEndPr>
              <w:rPr>
                <w:rFonts w:asciiTheme="minorHAnsi" w:hAnsiTheme="minorHAnsi"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合计</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　</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1,015,373.39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543,490.54</w:t>
                    </w:r>
                  </w:p>
                </w:tc>
              </w:tr>
            </w:sdtContent>
          </w:sdt>
        </w:tbl>
        <w:p/>
        <w:p/>
      </w:sdtContent>
    </w:sdt>
    <w:sdt>
      <w:sdtPr>
        <w:rPr>
          <w:rFonts w:hint="eastAsia"/>
          <w:szCs w:val="21"/>
        </w:rPr>
        <w:alias w:val="模块:出售商品/提供劳务情况"/>
        <w:tag w:val="_SEC_0bdaba437cb6402f9ab2a655956dbb9b"/>
        <w:id w:val="6776040"/>
        <w:lock w:val="sdtLocked"/>
        <w:placeholder>
          <w:docPart w:val="GBC22222222222222222222222222222"/>
        </w:placeholder>
      </w:sdtPr>
      <w:sdtEndPr>
        <w:rPr>
          <w:rFonts w:hint="eastAsia" w:cs="Cambria"/>
          <w:szCs w:val="21"/>
        </w:rPr>
      </w:sdtEndPr>
      <w:sdtContent>
        <w:p>
          <w:pPr>
            <w:ind w:right="-775" w:rightChars="-369"/>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6775991"/>
            <w:lock w:val="sdtContentLocked"/>
            <w:placeholder>
              <w:docPart w:val="GBC22222222222222222222222222222"/>
            </w:placeholder>
          </w:sdtPr>
          <w:sdtEndPr>
            <w:rPr>
              <w:szCs w:val="21"/>
            </w:rPr>
          </w:sdtEndPr>
          <w:sdtContent>
            <w:p>
              <w:pPr>
                <w:ind w:right="-775" w:rightChars="-369"/>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677599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szCs w:val="21"/>
              </w:rPr>
            </w:sdtEndPr>
            <w:sdtContent>
              <w:r>
                <w:rPr>
                  <w:rFonts w:hint="eastAsia"/>
                  <w:szCs w:val="21"/>
                </w:rPr>
                <w:t>万元</w:t>
              </w:r>
            </w:sdtContent>
          </w:sdt>
          <w:r>
            <w:rPr>
              <w:szCs w:val="21"/>
            </w:rPr>
            <w:t xml:space="preserve">  币种：</w:t>
          </w:r>
          <w:sdt>
            <w:sdtPr>
              <w:rPr>
                <w:szCs w:val="21"/>
              </w:rPr>
              <w:alias w:val="币种：出售商品提供劳务情况表"/>
              <w:tag w:val="_GBC_4fc61a58f8e34c3c8024ea0b63c2bd2f"/>
              <w:id w:val="67759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998"/>
            <w:gridCol w:w="1562"/>
            <w:gridCol w:w="1843"/>
            <w:gridCol w:w="1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273" w:hRule="atLeast"/>
            </w:trPr>
            <w:sdt>
              <w:sdtPr>
                <w:tag w:val="_PLD_8f46d61b556c4e7e9874d48274581d06"/>
                <w:id w:val="6775994"/>
                <w:lock w:val="sdtLocked"/>
              </w:sdtPr>
              <w:sdtContent>
                <w:tc>
                  <w:tcPr>
                    <w:tcW w:w="3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关联方</w:t>
                    </w:r>
                  </w:p>
                </w:tc>
              </w:sdtContent>
            </w:sdt>
            <w:sdt>
              <w:sdtPr>
                <w:tag w:val="_PLD_86c6996d2c00443589b89411b2b4bde3"/>
                <w:id w:val="6775995"/>
                <w:lock w:val="sdtLocked"/>
              </w:sdtPr>
              <w:sdtContent>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关联交易内容</w:t>
                    </w:r>
                  </w:p>
                </w:tc>
              </w:sdtContent>
            </w:sdt>
            <w:sdt>
              <w:sdtPr>
                <w:tag w:val="_PLD_52688fb5000a4ccb8c43276d58764eb4"/>
                <w:id w:val="6775996"/>
                <w:lock w:val="sdtLocked"/>
              </w:sdtPr>
              <w:sdtContent>
                <w:tc>
                  <w:tcPr>
                    <w:tcW w:w="1843" w:type="dxa"/>
                    <w:tcBorders>
                      <w:top w:val="single" w:color="auto" w:sz="4" w:space="0"/>
                      <w:left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本期发生额</w:t>
                    </w:r>
                  </w:p>
                </w:tc>
              </w:sdtContent>
            </w:sdt>
            <w:sdt>
              <w:sdtPr>
                <w:tag w:val="_PLD_e0158fcec29a443ca9e08a44a2489407"/>
                <w:id w:val="6775997"/>
                <w:lock w:val="sdtLocked"/>
              </w:sdtPr>
              <w:sdtContent>
                <w:tc>
                  <w:tcPr>
                    <w:tcW w:w="1490" w:type="dxa"/>
                    <w:tcBorders>
                      <w:top w:val="single" w:color="auto" w:sz="4" w:space="0"/>
                      <w:left w:val="single" w:color="auto" w:sz="4" w:space="0"/>
                      <w:right w:val="single" w:color="auto" w:sz="4" w:space="0"/>
                    </w:tcBorders>
                    <w:shd w:val="clear" w:color="auto" w:fill="auto"/>
                    <w:vAlign w:val="center"/>
                  </w:tcPr>
                  <w:p>
                    <w:pPr>
                      <w:jc w:val="center"/>
                      <w:rPr>
                        <w:rFonts w:cs="Cambria"/>
                        <w:szCs w:val="21"/>
                      </w:rPr>
                    </w:pPr>
                    <w:r>
                      <w:rPr>
                        <w:rFonts w:hint="eastAsia" w:cs="Cambria"/>
                        <w:szCs w:val="21"/>
                      </w:rPr>
                      <w:t>上期发生额</w:t>
                    </w:r>
                  </w:p>
                </w:tc>
              </w:sdtContent>
            </w:sdt>
          </w:tr>
          <w:sdt>
            <w:sdtPr>
              <w:rPr>
                <w:sz w:val="18"/>
                <w:szCs w:val="18"/>
              </w:rPr>
              <w:alias w:val="出售商品提供劳务情况明细"/>
              <w:tag w:val="_TUP_c080581d6b634c7bacd27d6542159620"/>
              <w:id w:val="677599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轧钢边角料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284.08</w:t>
                    </w:r>
                  </w:p>
                </w:tc>
              </w:tr>
            </w:sdtContent>
          </w:sdt>
          <w:sdt>
            <w:sdtPr>
              <w:rPr>
                <w:sz w:val="18"/>
                <w:szCs w:val="18"/>
              </w:rPr>
              <w:alias w:val="出售商品提供劳务情况明细"/>
              <w:tag w:val="_TUP_c080581d6b634c7bacd27d6542159620"/>
              <w:id w:val="677599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煤气</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270,295.64</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253,381.96</w:t>
                    </w:r>
                  </w:p>
                </w:tc>
              </w:tr>
            </w:sdtContent>
          </w:sdt>
          <w:sdt>
            <w:sdtPr>
              <w:rPr>
                <w:sz w:val="18"/>
                <w:szCs w:val="18"/>
              </w:rPr>
              <w:alias w:val="出售商品提供劳务情况明细"/>
              <w:tag w:val="_TUP_c080581d6b634c7bacd27d6542159620"/>
              <w:id w:val="677600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TRT发电</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9,046.99</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13,376.12</w:t>
                    </w:r>
                  </w:p>
                </w:tc>
              </w:tr>
            </w:sdtContent>
          </w:sdt>
          <w:sdt>
            <w:sdtPr>
              <w:rPr>
                <w:sz w:val="18"/>
                <w:szCs w:val="18"/>
              </w:rPr>
              <w:alias w:val="出售商品提供劳务情况明细"/>
              <w:tag w:val="_TUP_c080581d6b634c7bacd27d6542159620"/>
              <w:id w:val="677600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销备件材料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147.30</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2,295.47</w:t>
                    </w:r>
                  </w:p>
                </w:tc>
              </w:tr>
            </w:sdtContent>
          </w:sdt>
          <w:sdt>
            <w:sdtPr>
              <w:rPr>
                <w:sz w:val="18"/>
                <w:szCs w:val="18"/>
              </w:rPr>
              <w:alias w:val="出售商品提供劳务情况明细"/>
              <w:tag w:val="_TUP_c080581d6b634c7bacd27d6542159620"/>
              <w:id w:val="677600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20,162.29</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12,927.42</w:t>
                    </w:r>
                  </w:p>
                </w:tc>
              </w:tr>
            </w:sdtContent>
          </w:sdt>
          <w:sdt>
            <w:sdtPr>
              <w:rPr>
                <w:sz w:val="18"/>
                <w:szCs w:val="18"/>
              </w:rPr>
              <w:alias w:val="出售商品提供劳务情况明细"/>
              <w:tag w:val="_TUP_c080581d6b634c7bacd27d6542159620"/>
              <w:id w:val="677600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吊装费</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1.48</w:t>
                    </w:r>
                  </w:p>
                </w:tc>
              </w:tr>
            </w:sdtContent>
          </w:sdt>
          <w:sdt>
            <w:sdtPr>
              <w:rPr>
                <w:sz w:val="18"/>
                <w:szCs w:val="18"/>
              </w:rPr>
              <w:alias w:val="出售商品提供劳务情况明细"/>
              <w:tag w:val="_TUP_c080581d6b634c7bacd27d6542159620"/>
              <w:id w:val="677600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蒸汽</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25,595.52</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26,015.92</w:t>
                    </w:r>
                  </w:p>
                </w:tc>
              </w:tr>
            </w:sdtContent>
          </w:sdt>
          <w:sdt>
            <w:sdtPr>
              <w:rPr>
                <w:sz w:val="18"/>
                <w:szCs w:val="18"/>
              </w:rPr>
              <w:alias w:val="出售商品提供劳务情况明细"/>
              <w:tag w:val="_TUP_c080581d6b634c7bacd27d6542159620"/>
              <w:id w:val="677600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废钢</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8.25</w:t>
                    </w:r>
                  </w:p>
                </w:tc>
              </w:tr>
            </w:sdtContent>
          </w:sdt>
          <w:sdt>
            <w:sdtPr>
              <w:rPr>
                <w:sz w:val="18"/>
                <w:szCs w:val="18"/>
              </w:rPr>
              <w:alias w:val="出售商品提供劳务情况明细"/>
              <w:tag w:val="_TUP_c080581d6b634c7bacd27d6542159620"/>
              <w:id w:val="677600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检验费</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17.20</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25.13</w:t>
                    </w:r>
                  </w:p>
                </w:tc>
              </w:tr>
            </w:sdtContent>
          </w:sdt>
          <w:sdt>
            <w:sdtPr>
              <w:rPr>
                <w:sz w:val="18"/>
                <w:szCs w:val="18"/>
              </w:rPr>
              <w:alias w:val="出售商品提供劳务情况明细"/>
              <w:tag w:val="_TUP_c080581d6b634c7bacd27d6542159620"/>
              <w:id w:val="677600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广西柳州钢铁集团有限公司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钢材</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81,324.87</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18,026.73</w:t>
                    </w:r>
                  </w:p>
                </w:tc>
              </w:tr>
            </w:sdtContent>
          </w:sdt>
          <w:sdt>
            <w:sdtPr>
              <w:rPr>
                <w:sz w:val="18"/>
                <w:szCs w:val="18"/>
              </w:rPr>
              <w:alias w:val="出售商品提供劳务情况明细"/>
              <w:tag w:val="_TUP_c080581d6b634c7bacd27d6542159620"/>
              <w:id w:val="677600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柳州兴钢建筑安装工程处</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备件材料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0.09</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372.02</w:t>
                    </w:r>
                  </w:p>
                </w:tc>
              </w:tr>
            </w:sdtContent>
          </w:sdt>
          <w:sdt>
            <w:sdtPr>
              <w:rPr>
                <w:sz w:val="18"/>
                <w:szCs w:val="18"/>
              </w:rPr>
              <w:alias w:val="出售商品提供劳务情况明细"/>
              <w:tag w:val="_TUP_c080581d6b634c7bacd27d6542159620"/>
              <w:id w:val="677600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柳州兴钢建筑安装工程处</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559.27</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242.61</w:t>
                    </w:r>
                  </w:p>
                </w:tc>
              </w:tr>
            </w:sdtContent>
          </w:sdt>
          <w:sdt>
            <w:sdtPr>
              <w:rPr>
                <w:sz w:val="18"/>
                <w:szCs w:val="18"/>
              </w:rPr>
              <w:alias w:val="出售商品提供劳务情况明细"/>
              <w:tag w:val="_TUP_c080581d6b634c7bacd27d6542159620"/>
              <w:id w:val="677601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柳州兴钢建筑安装工程处</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工业水电</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9.81</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6.19</w:t>
                    </w:r>
                  </w:p>
                </w:tc>
              </w:tr>
            </w:sdtContent>
          </w:sdt>
          <w:sdt>
            <w:sdtPr>
              <w:rPr>
                <w:sz w:val="18"/>
                <w:szCs w:val="18"/>
              </w:rPr>
              <w:alias w:val="出售商品提供劳务情况明细"/>
              <w:tag w:val="_TUP_c080581d6b634c7bacd27d6542159620"/>
              <w:id w:val="677601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柳州市品成金属材料有限公司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钢坯</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1,372,479.05</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1,045,731.00</w:t>
                    </w:r>
                  </w:p>
                </w:tc>
              </w:tr>
            </w:sdtContent>
          </w:sdt>
          <w:sdt>
            <w:sdtPr>
              <w:rPr>
                <w:sz w:val="18"/>
                <w:szCs w:val="18"/>
              </w:rPr>
              <w:alias w:val="出售商品提供劳务情况明细"/>
              <w:tag w:val="_TUP_c080581d6b634c7bacd27d6542159620"/>
              <w:id w:val="677601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柳州市品成金属材料有限公司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废钢</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64.08</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74.4</w:t>
                    </w:r>
                  </w:p>
                </w:tc>
              </w:tr>
            </w:sdtContent>
          </w:sdt>
          <w:sdt>
            <w:sdtPr>
              <w:rPr>
                <w:sz w:val="18"/>
                <w:szCs w:val="18"/>
              </w:rPr>
              <w:alias w:val="出售商品提供劳务情况明细"/>
              <w:tag w:val="_TUP_c080581d6b634c7bacd27d6542159620"/>
              <w:id w:val="677601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柳州市品成金属材料有限公司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运费</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1,894.56</w:t>
                    </w:r>
                  </w:p>
                </w:tc>
              </w:tr>
            </w:sdtContent>
          </w:sdt>
          <w:sdt>
            <w:sdtPr>
              <w:rPr>
                <w:sz w:val="18"/>
                <w:szCs w:val="18"/>
              </w:rPr>
              <w:alias w:val="出售商品提供劳务情况明细"/>
              <w:tag w:val="_TUP_c080581d6b634c7bacd27d6542159620"/>
              <w:id w:val="677601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柳州市固强钢材有限公司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6.24</w:t>
                    </w:r>
                  </w:p>
                </w:tc>
              </w:tr>
            </w:sdtContent>
          </w:sdt>
          <w:sdt>
            <w:sdtPr>
              <w:rPr>
                <w:sz w:val="18"/>
                <w:szCs w:val="18"/>
              </w:rPr>
              <w:alias w:val="出售商品提供劳务情况明细"/>
              <w:tag w:val="_TUP_c080581d6b634c7bacd27d6542159620"/>
              <w:id w:val="677601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柳州市环源利环境资源技术开发有限公司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895.53</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824.34</w:t>
                    </w:r>
                  </w:p>
                </w:tc>
              </w:tr>
            </w:sdtContent>
          </w:sdt>
          <w:sdt>
            <w:sdtPr>
              <w:rPr>
                <w:sz w:val="18"/>
                <w:szCs w:val="18"/>
              </w:rPr>
              <w:alias w:val="出售商品提供劳务情况明细"/>
              <w:tag w:val="_TUP_c080581d6b634c7bacd27d6542159620"/>
              <w:id w:val="677601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广西柳钢资产经营管理有限公司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0.29</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0.53</w:t>
                    </w:r>
                  </w:p>
                </w:tc>
              </w:tr>
            </w:sdtContent>
          </w:sdt>
          <w:sdt>
            <w:sdtPr>
              <w:rPr>
                <w:sz w:val="18"/>
                <w:szCs w:val="18"/>
              </w:rPr>
              <w:alias w:val="出售商品提供劳务情况明细"/>
              <w:tag w:val="_TUP_c080581d6b634c7bacd27d6542159620"/>
              <w:id w:val="677601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广西柳钢国际贸易有限公司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0.26</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0.08</w:t>
                    </w:r>
                  </w:p>
                </w:tc>
              </w:tr>
            </w:sdtContent>
          </w:sdt>
          <w:sdt>
            <w:sdtPr>
              <w:rPr>
                <w:sz w:val="18"/>
                <w:szCs w:val="18"/>
              </w:rPr>
              <w:alias w:val="出售商品提供劳务情况明细"/>
              <w:tag w:val="_TUP_c080581d6b634c7bacd27d6542159620"/>
              <w:id w:val="677601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广西柳钢物流有限责任公司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2.73</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0.59</w:t>
                    </w:r>
                  </w:p>
                </w:tc>
              </w:tr>
            </w:sdtContent>
          </w:sdt>
          <w:sdt>
            <w:sdtPr>
              <w:rPr>
                <w:sz w:val="18"/>
                <w:szCs w:val="18"/>
              </w:rPr>
              <w:alias w:val="出售商品提供劳务情况明细"/>
              <w:tag w:val="_TUP_c080581d6b634c7bacd27d6542159620"/>
              <w:id w:val="677601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柳州市强实科技有限公司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炉渣</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22,444.58</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10,669.26</w:t>
                    </w:r>
                  </w:p>
                </w:tc>
              </w:tr>
            </w:sdtContent>
          </w:sdt>
          <w:sdt>
            <w:sdtPr>
              <w:rPr>
                <w:sz w:val="18"/>
                <w:szCs w:val="18"/>
              </w:rPr>
              <w:alias w:val="出售商品提供劳务情况明细"/>
              <w:tag w:val="_TUP_c080581d6b634c7bacd27d6542159620"/>
              <w:id w:val="677602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柳州市运天运运输有限公司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燃料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2,322.32</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1,839.56</w:t>
                    </w:r>
                  </w:p>
                </w:tc>
              </w:tr>
            </w:sdtContent>
          </w:sdt>
          <w:sdt>
            <w:sdtPr>
              <w:rPr>
                <w:sz w:val="18"/>
                <w:szCs w:val="18"/>
              </w:rPr>
              <w:alias w:val="出售商品提供劳务情况明细"/>
              <w:tag w:val="_TUP_c080581d6b634c7bacd27d6542159620"/>
              <w:id w:val="677602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桂林市刚茂升贸易有限公司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钢材</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46,330.29</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32,050.62</w:t>
                    </w:r>
                  </w:p>
                </w:tc>
              </w:tr>
            </w:sdtContent>
          </w:sdt>
          <w:sdt>
            <w:sdtPr>
              <w:rPr>
                <w:sz w:val="18"/>
                <w:szCs w:val="18"/>
              </w:rPr>
              <w:alias w:val="出售商品提供劳务情况明细"/>
              <w:tag w:val="_TUP_c080581d6b634c7bacd27d6542159620"/>
              <w:id w:val="677602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柳州市新游化工有限责任公司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化工产品</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63,467.04</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39,711.14</w:t>
                    </w:r>
                  </w:p>
                </w:tc>
              </w:tr>
            </w:sdtContent>
          </w:sdt>
          <w:sdt>
            <w:sdtPr>
              <w:rPr>
                <w:sz w:val="18"/>
                <w:szCs w:val="18"/>
              </w:rPr>
              <w:alias w:val="出售商品提供劳务情况明细"/>
              <w:tag w:val="_TUP_c080581d6b634c7bacd27d6542159620"/>
              <w:id w:val="677602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广西南宁柳钢钢材销售有限公司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钢材</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56,632.41</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40,311.50</w:t>
                    </w:r>
                  </w:p>
                </w:tc>
              </w:tr>
            </w:sdtContent>
          </w:sdt>
          <w:sdt>
            <w:sdtPr>
              <w:rPr>
                <w:sz w:val="18"/>
                <w:szCs w:val="18"/>
              </w:rPr>
              <w:alias w:val="出售商品提供劳务情况明细"/>
              <w:tag w:val="_TUP_c080581d6b634c7bacd27d6542159620"/>
              <w:id w:val="677602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柳州兴远劳务有限公司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劳务</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1.18</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0.04</w:t>
                    </w:r>
                  </w:p>
                </w:tc>
              </w:tr>
            </w:sdtContent>
          </w:sdt>
          <w:sdt>
            <w:sdtPr>
              <w:rPr>
                <w:sz w:val="18"/>
                <w:szCs w:val="18"/>
              </w:rPr>
              <w:alias w:val="出售商品提供劳务情况明细"/>
              <w:tag w:val="_TUP_c080581d6b634c7bacd27d6542159620"/>
              <w:id w:val="677602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柳州市聚仁劳务有限公司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劳务</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0.06</w:t>
                    </w:r>
                  </w:p>
                </w:tc>
              </w:tr>
            </w:sdtContent>
          </w:sdt>
          <w:sdt>
            <w:sdtPr>
              <w:rPr>
                <w:sz w:val="18"/>
                <w:szCs w:val="18"/>
              </w:rPr>
              <w:alias w:val="出售商品提供劳务情况明细"/>
              <w:tag w:val="_TUP_c080581d6b634c7bacd27d6542159620"/>
              <w:id w:val="677602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柳州市多元贸易有限责任公司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劳务</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345.38</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29.34</w:t>
                    </w:r>
                  </w:p>
                </w:tc>
              </w:tr>
            </w:sdtContent>
          </w:sdt>
          <w:sdt>
            <w:sdtPr>
              <w:rPr>
                <w:sz w:val="18"/>
                <w:szCs w:val="18"/>
              </w:rPr>
              <w:alias w:val="出售商品提供劳务情况明细"/>
              <w:tag w:val="_TUP_c080581d6b634c7bacd27d6542159620"/>
              <w:id w:val="677602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柳州山海科技股份有限公司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0.50</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0.04</w:t>
                    </w:r>
                  </w:p>
                </w:tc>
              </w:tr>
            </w:sdtContent>
          </w:sdt>
          <w:sdt>
            <w:sdtPr>
              <w:rPr>
                <w:sz w:val="18"/>
                <w:szCs w:val="18"/>
              </w:rPr>
              <w:alias w:val="出售商品提供劳务情况明细"/>
              <w:tag w:val="_TUP_c080581d6b634c7bacd27d6542159620"/>
              <w:id w:val="677602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柳州市多元贸易有限责任公司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检验费</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0.18</w:t>
                    </w:r>
                  </w:p>
                </w:tc>
              </w:tr>
            </w:sdtContent>
          </w:sdt>
          <w:sdt>
            <w:sdtPr>
              <w:rPr>
                <w:sz w:val="18"/>
                <w:szCs w:val="18"/>
              </w:rPr>
              <w:alias w:val="出售商品提供劳务情况明细"/>
              <w:tag w:val="_TUP_c080581d6b634c7bacd27d6542159620"/>
              <w:id w:val="677602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柳州市新和刚电力有限责任公司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96.91</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9.36</w:t>
                    </w:r>
                  </w:p>
                </w:tc>
              </w:tr>
            </w:sdtContent>
          </w:sdt>
          <w:sdt>
            <w:sdtPr>
              <w:rPr>
                <w:sz w:val="18"/>
                <w:szCs w:val="18"/>
              </w:rPr>
              <w:alias w:val="出售商品提供劳务情况明细"/>
              <w:tag w:val="_TUP_c080581d6b634c7bacd27d6542159620"/>
              <w:id w:val="677603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广西柳钢环保股份有限公司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废渣</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1,400.77</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sz w:val="18"/>
                <w:szCs w:val="18"/>
              </w:rPr>
              <w:alias w:val="出售商品提供劳务情况明细"/>
              <w:tag w:val="_TUP_c080581d6b634c7bacd27d6542159620"/>
              <w:id w:val="677603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柳州锐源鹏节能环保科技有限公司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劳保用品</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0.33</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sz w:val="18"/>
                <w:szCs w:val="18"/>
              </w:rPr>
              <w:alias w:val="出售商品提供劳务情况明细"/>
              <w:tag w:val="_TUP_c080581d6b634c7bacd27d6542159620"/>
              <w:id w:val="677603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柳州市瑞中运钢材储运有限公司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7.41</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sz w:val="18"/>
                <w:szCs w:val="18"/>
              </w:rPr>
              <w:alias w:val="出售商品提供劳务情况明细"/>
              <w:tag w:val="_TUP_c080581d6b634c7bacd27d6542159620"/>
              <w:id w:val="677603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柳州市惕艾惕冶金余热发电有限公司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67.13</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sz w:val="18"/>
                <w:szCs w:val="18"/>
              </w:rPr>
              <w:alias w:val="出售商品提供劳务情况明细"/>
              <w:tag w:val="_TUP_c080581d6b634c7bacd27d6542159620"/>
              <w:id w:val="677603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柳州市曼凯亚科技有限责任公司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劳保用品</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0.14</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sz w:val="18"/>
                <w:szCs w:val="18"/>
              </w:rPr>
              <w:alias w:val="出售商品提供劳务情况明细"/>
              <w:tag w:val="_TUP_c080581d6b634c7bacd27d6542159620"/>
              <w:id w:val="677603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柳州市盛鹏源环保科技有限公司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0.83</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sz w:val="18"/>
                <w:szCs w:val="18"/>
              </w:rPr>
              <w:alias w:val="出售商品提供劳务情况明细"/>
              <w:tag w:val="_TUP_c080581d6b634c7bacd27d6542159620"/>
              <w:id w:val="677603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桂林仙源健康产业股份有限公司柳州分公司</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辅料</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0.10</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p>
                </w:tc>
              </w:tr>
            </w:sdtContent>
          </w:sdt>
          <w:sdt>
            <w:sdtPr>
              <w:rPr>
                <w:sz w:val="18"/>
                <w:szCs w:val="18"/>
              </w:rPr>
              <w:alias w:val="出售商品提供劳务情况明细"/>
              <w:tag w:val="_TUP_c080581d6b634c7bacd27d6542159620"/>
              <w:id w:val="677603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合计</w:t>
                    </w:r>
                  </w:p>
                </w:tc>
                <w:tc>
                  <w:tcPr>
                    <w:tcW w:w="156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1,973,718.22</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right"/>
                      <w:rPr>
                        <w:sz w:val="18"/>
                        <w:szCs w:val="18"/>
                      </w:rPr>
                    </w:pPr>
                    <w:r>
                      <w:rPr>
                        <w:sz w:val="18"/>
                        <w:szCs w:val="18"/>
                      </w:rPr>
                      <w:t>1,500,116.22</w:t>
                    </w:r>
                  </w:p>
                </w:tc>
              </w:tr>
            </w:sdtContent>
          </w:sdt>
        </w:tbl>
        <w:p/>
        <w:p>
          <w:pPr>
            <w:rPr>
              <w:rFonts w:cs="Cambria"/>
              <w:szCs w:val="21"/>
            </w:rPr>
          </w:pPr>
          <w:r>
            <w:rPr>
              <w:rFonts w:hint="eastAsia" w:cs="Cambr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6776038"/>
            <w:lock w:val="sdtContentLocked"/>
            <w:placeholder>
              <w:docPart w:val="GBC22222222222222222222222222222"/>
            </w:placeholder>
          </w:sdtPr>
          <w:sdtEndPr>
            <w:rPr>
              <w:rFonts w:cs="Cambria"/>
              <w:szCs w:val="21"/>
            </w:rPr>
          </w:sdtEndPr>
          <w:sdtContent>
            <w:p>
              <w:pPr>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购销商品、提供和接受劳务的关联交易说明"/>
            <w:tag w:val="_GBC_2e3d658b1c454acb945f621162cfd0e7"/>
            <w:id w:val="6776039"/>
            <w:lock w:val="sdtLocked"/>
            <w:placeholder>
              <w:docPart w:val="GBC22222222222222222222222222222"/>
            </w:placeholder>
          </w:sdtPr>
          <w:sdtEndPr>
            <w:rPr>
              <w:rFonts w:cs="Cambria"/>
              <w:szCs w:val="21"/>
            </w:rPr>
          </w:sdtEndPr>
          <w:sdtContent>
            <w:p>
              <w:pPr>
                <w:rPr>
                  <w:rFonts w:cs="Cambria"/>
                  <w:szCs w:val="21"/>
                </w:rPr>
              </w:pPr>
              <w:r>
                <w:rPr>
                  <w:rFonts w:hint="eastAsia" w:cs="Cambria"/>
                  <w:szCs w:val="21"/>
                </w:rPr>
                <w:t>关联交易定价政策</w:t>
              </w:r>
            </w:p>
            <w:p>
              <w:pPr>
                <w:rPr>
                  <w:rFonts w:cs="Cambria"/>
                  <w:szCs w:val="21"/>
                </w:rPr>
              </w:pPr>
              <w:r>
                <w:rPr>
                  <w:rFonts w:hint="eastAsia" w:cs="Cambria"/>
                  <w:szCs w:val="21"/>
                </w:rPr>
                <w:t>公司与上述关联方有关购买、销售产品和接受、提供劳务、房屋租赁等关联交易的定价原则是：</w:t>
              </w:r>
            </w:p>
            <w:p>
              <w:pPr>
                <w:rPr>
                  <w:rFonts w:cs="Cambria"/>
                  <w:szCs w:val="21"/>
                </w:rPr>
              </w:pPr>
              <w:r>
                <w:rPr>
                  <w:rFonts w:cs="Cambria"/>
                  <w:szCs w:val="21"/>
                </w:rPr>
                <w:t>1．参照国内同行业或本地区同类商品的交易价格，经双方协商后确定；</w:t>
              </w:r>
            </w:p>
            <w:p>
              <w:pPr>
                <w:rPr>
                  <w:rFonts w:cs="Cambria"/>
                  <w:szCs w:val="21"/>
                </w:rPr>
              </w:pPr>
              <w:r>
                <w:rPr>
                  <w:rFonts w:cs="Cambria"/>
                  <w:szCs w:val="21"/>
                </w:rPr>
                <w:t>2．如无上述价格时，按提供商品一方的实际成本加上合理利润确定交易价格；柳钢股份和品成公司钢坯交易实际采用成本加成价格，根据双方2013年6月3日签订的《原材料购销协议》，成本加成率原则上不高于8%，通常按上年第四季度平均成本确定下年度交易价格，若无较大波动，通常价格一年不变。市场波动较大时，由双方协商，适时对原材料及货物价格进行调整。</w:t>
              </w:r>
            </w:p>
            <w:p>
              <w:pPr>
                <w:rPr>
                  <w:rFonts w:cs="Cambria"/>
                  <w:szCs w:val="21"/>
                </w:rPr>
              </w:pPr>
              <w:r>
                <w:rPr>
                  <w:rFonts w:cs="Cambria"/>
                  <w:szCs w:val="21"/>
                </w:rPr>
                <w:t>3．当交易的商品在没有确切的市场价格，也不适合采用成本加成定价时，经双方协商确定交易价格，协议价格不高于或不低于向其他第三方提供同类产品的价格。</w:t>
              </w:r>
            </w:p>
            <w:p>
              <w:pPr>
                <w:rPr>
                  <w:rFonts w:cs="Cambria"/>
                  <w:szCs w:val="21"/>
                </w:rPr>
              </w:pPr>
            </w:p>
          </w:sdtContent>
        </w:sdt>
        <w:p>
          <w:pPr>
            <w:rPr>
              <w:rFonts w:cs="Cambria"/>
              <w:szCs w:val="21"/>
            </w:rPr>
          </w:pPr>
        </w:p>
      </w:sdtContent>
    </w:sdt>
    <w:sdt>
      <w:sdtPr>
        <w:rPr>
          <w:rFonts w:hint="eastAsia" w:ascii="宋体" w:hAnsi="宋体" w:cs="宋体"/>
          <w:b w:val="0"/>
          <w:bCs w:val="0"/>
          <w:kern w:val="0"/>
          <w:szCs w:val="24"/>
        </w:rPr>
        <w:alias w:val="模块:关联受托管理/承包及委托管理/出包情况"/>
        <w:tag w:val="_SEC_2cd4d729a4f5443b98e8d2f79dcdd221"/>
        <w:id w:val="6776045"/>
        <w:lock w:val="sdtLocked"/>
        <w:placeholder>
          <w:docPart w:val="GBC22222222222222222222222222222"/>
        </w:placeholder>
      </w:sdtPr>
      <w:sdtEndPr>
        <w:rPr>
          <w:rFonts w:hint="default" w:ascii="宋体" w:hAnsi="宋体" w:cs="Cambria"/>
          <w:b w:val="0"/>
          <w:bCs w:val="0"/>
          <w:kern w:val="0"/>
          <w:szCs w:val="21"/>
        </w:rPr>
      </w:sdtEndPr>
      <w:sdtContent>
        <w:p>
          <w:pPr>
            <w:pStyle w:val="5"/>
            <w:numPr>
              <w:ilvl w:val="0"/>
              <w:numId w:val="103"/>
            </w:numPr>
            <w:tabs>
              <w:tab w:val="left" w:pos="616"/>
            </w:tabs>
          </w:pPr>
          <w:r>
            <w:rPr>
              <w:rFonts w:hint="eastAsia"/>
            </w:rPr>
            <w:t>关联受托管理/承包及委托管理/出包情况</w:t>
          </w:r>
        </w:p>
        <w:p>
          <w:pPr>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6776041"/>
            <w:lock w:val="sdtContentLocked"/>
            <w:placeholder>
              <w:docPart w:val="GBC22222222222222222222222222222"/>
            </w:placeholder>
          </w:sdtPr>
          <w:sdtEndPr>
            <w:rPr>
              <w:rFonts w:cs="Cambria"/>
              <w:szCs w:val="21"/>
            </w:rPr>
          </w:sdtEndPr>
          <w:sdtContent>
            <w:p>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pPr>
            <w:rPr>
              <w:rFonts w:cs="Cambria"/>
              <w:szCs w:val="21"/>
            </w:rPr>
          </w:pPr>
          <w:r>
            <w:rPr>
              <w:rFonts w:hint="eastAsia" w:cs="Cambria"/>
              <w:szCs w:val="21"/>
            </w:rPr>
            <w:t>关联托管/承包情况说明</w:t>
          </w:r>
        </w:p>
        <w:sdt>
          <w:sdtPr>
            <w:rPr>
              <w:rFonts w:cs="Cambria"/>
              <w:szCs w:val="21"/>
            </w:rPr>
            <w:alias w:val="是否适用：关联托管或承包情况说明[双击切换]"/>
            <w:tag w:val="_GBC_60aca51a92e545e9bbad9ba5228083c8"/>
            <w:id w:val="6776042"/>
            <w:lock w:val="sdtContentLocked"/>
            <w:placeholder>
              <w:docPart w:val="GBC22222222222222222222222222222"/>
            </w:placeholder>
          </w:sdtPr>
          <w:sdtEndPr>
            <w:rPr>
              <w:rFonts w:cs="Cambria"/>
              <w:szCs w:val="21"/>
            </w:rPr>
          </w:sdtEndPr>
          <w:sdtContent>
            <w:p>
              <w:pPr>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pPr>
            <w:rPr>
              <w:rFonts w:cs="Cambria"/>
              <w:szCs w:val="21"/>
            </w:rPr>
          </w:pPr>
        </w:p>
        <w:p>
          <w:pPr>
            <w:rPr>
              <w:rFonts w:cs="Cambria"/>
              <w:bCs/>
              <w:szCs w:val="21"/>
            </w:rPr>
          </w:pPr>
          <w:r>
            <w:rPr>
              <w:rFonts w:hint="eastAsia"/>
              <w:szCs w:val="21"/>
            </w:rPr>
            <w:t>本公司</w:t>
          </w:r>
          <w:r>
            <w:rPr>
              <w:rFonts w:hint="eastAsia" w:cs="Cambria"/>
              <w:bCs/>
              <w:szCs w:val="21"/>
            </w:rPr>
            <w:t>委托管理/出包情况表：</w:t>
          </w:r>
        </w:p>
        <w:sdt>
          <w:sdtPr>
            <w:rPr>
              <w:rFonts w:cs="Cambria"/>
              <w:bCs/>
              <w:szCs w:val="21"/>
            </w:rPr>
            <w:alias w:val="是否适用：本公司委托管理或出包情况表[双击切换]"/>
            <w:tag w:val="_GBC_4655dfffa9a7464b8715035e819d5968"/>
            <w:id w:val="6776043"/>
            <w:lock w:val="sdtContentLocked"/>
            <w:placeholder>
              <w:docPart w:val="GBC22222222222222222222222222222"/>
            </w:placeholder>
          </w:sdtPr>
          <w:sdtEndPr>
            <w:rPr>
              <w:rFonts w:cs="Cambria"/>
              <w:bCs/>
              <w:szCs w:val="21"/>
            </w:rPr>
          </w:sdtEndPr>
          <w:sdtContent>
            <w:p>
              <w:pPr>
                <w:rPr>
                  <w:rFonts w:cs="Cambria"/>
                  <w:bCs/>
                  <w:szCs w:val="21"/>
                </w:rPr>
              </w:pPr>
              <w:r>
                <w:rPr>
                  <w:rFonts w:cs="Cambria"/>
                  <w:bCs/>
                  <w:szCs w:val="21"/>
                </w:rPr>
                <w:fldChar w:fldCharType="begin"/>
              </w:r>
              <w:r>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pPr>
            <w:rPr>
              <w:rFonts w:cs="Cambria"/>
              <w:bCs/>
              <w:szCs w:val="21"/>
            </w:rPr>
          </w:pPr>
          <w:r>
            <w:rPr>
              <w:rFonts w:hint="eastAsia" w:cs="Cambria"/>
              <w:bCs/>
              <w:szCs w:val="21"/>
            </w:rPr>
            <w:t>关联管理/出包情况说明</w:t>
          </w:r>
        </w:p>
        <w:sdt>
          <w:sdtPr>
            <w:rPr>
              <w:rFonts w:cs="Cambria"/>
              <w:bCs/>
              <w:szCs w:val="21"/>
            </w:rPr>
            <w:alias w:val="是否适用：关联管理或出包情况说明[双击切换]"/>
            <w:tag w:val="_GBC_a21df8e7013c4b70bab4125cabda8c46"/>
            <w:id w:val="6776044"/>
            <w:lock w:val="sdtContentLocked"/>
            <w:placeholder>
              <w:docPart w:val="GBC22222222222222222222222222222"/>
            </w:placeholder>
          </w:sdtPr>
          <w:sdtEndPr>
            <w:rPr>
              <w:rFonts w:cs="Cambria"/>
              <w:bCs/>
              <w:szCs w:val="21"/>
            </w:rPr>
          </w:sdtEndPr>
          <w:sdtContent>
            <w:p>
              <w:pPr>
                <w:rPr>
                  <w:rFonts w:cs="Cambria"/>
                  <w:bCs/>
                  <w:szCs w:val="21"/>
                </w:rPr>
              </w:pPr>
              <w:r>
                <w:rPr>
                  <w:rFonts w:cs="Cambria"/>
                  <w:bCs/>
                  <w:szCs w:val="21"/>
                </w:rPr>
                <w:fldChar w:fldCharType="begin"/>
              </w:r>
              <w:r>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pPr>
            <w:rPr>
              <w:rFonts w:cs="Cambria"/>
              <w:szCs w:val="21"/>
            </w:rPr>
          </w:pPr>
        </w:p>
      </w:sdtContent>
    </w:sdt>
    <w:sdt>
      <w:sdtPr>
        <w:rPr>
          <w:rFonts w:hint="eastAsia" w:ascii="宋体" w:hAnsi="宋体" w:cs="宋体"/>
          <w:b w:val="0"/>
          <w:bCs w:val="0"/>
          <w:kern w:val="0"/>
          <w:szCs w:val="24"/>
        </w:rPr>
        <w:alias w:val="模块:关联租赁情况"/>
        <w:tag w:val="_SEC_5900c0566dab441987567990bccbe124"/>
        <w:id w:val="6776057"/>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103"/>
            </w:numPr>
            <w:tabs>
              <w:tab w:val="left" w:pos="616"/>
            </w:tabs>
          </w:pPr>
          <w:r>
            <w:rPr>
              <w:rFonts w:hint="eastAsia"/>
            </w:rPr>
            <w:t>关联租赁情况</w:t>
          </w:r>
        </w:p>
        <w:p>
          <w:pPr>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6776046"/>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r>
            <w:rPr>
              <w:rFonts w:hint="eastAsia"/>
              <w:szCs w:val="21"/>
            </w:rPr>
            <w:t>本公司作为承租方：</w:t>
          </w:r>
        </w:p>
        <w:sdt>
          <w:sdtPr>
            <w:rPr>
              <w:szCs w:val="21"/>
            </w:rPr>
            <w:alias w:val="是否适用：本公司作为承租方的租赁情况表[双击切换]"/>
            <w:tag w:val="_GBC_f8542afd84e2430aad299d7024543330"/>
            <w:id w:val="6776047"/>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jc w:val="right"/>
            <w:rPr>
              <w:szCs w:val="21"/>
            </w:rPr>
          </w:pPr>
          <w:r>
            <w:rPr>
              <w:rFonts w:hint="eastAsia"/>
              <w:szCs w:val="21"/>
            </w:rPr>
            <w:t>单位：</w:t>
          </w:r>
          <w:sdt>
            <w:sdtPr>
              <w:rPr>
                <w:rFonts w:hint="eastAsia"/>
                <w:szCs w:val="21"/>
              </w:rPr>
              <w:alias w:val="单位：公司承租情况表"/>
              <w:tag w:val="_GBC_8ac97dab93ef410a9d23b3aefc024986"/>
              <w:id w:val="677604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szCs w:val="21"/>
              </w:rPr>
            </w:sdtEndPr>
            <w:sdtContent>
              <w:r>
                <w:rPr>
                  <w:rFonts w:hint="eastAsia"/>
                  <w:szCs w:val="21"/>
                </w:rPr>
                <w:t>万元</w:t>
              </w:r>
            </w:sdtContent>
          </w:sdt>
          <w:r>
            <w:rPr>
              <w:rFonts w:hint="eastAsia"/>
              <w:szCs w:val="21"/>
            </w:rPr>
            <w:t xml:space="preserve">  币种：</w:t>
          </w:r>
          <w:sdt>
            <w:sdtPr>
              <w:rPr>
                <w:rFonts w:hint="eastAsia"/>
                <w:szCs w:val="21"/>
              </w:rPr>
              <w:alias w:val="币种：公司承租情况表"/>
              <w:tag w:val="_GBC_634ba3e46c2f477ca3c544a6d05a7b33"/>
              <w:id w:val="6776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764"/>
            <w:gridCol w:w="3369"/>
            <w:gridCol w:w="198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10" w:hRule="atLeast"/>
            </w:trPr>
            <w:sdt>
              <w:sdtPr>
                <w:rPr>
                  <w:sz w:val="18"/>
                  <w:szCs w:val="18"/>
                </w:rPr>
                <w:tag w:val="_PLD_a242a025a1d74e0da5628852dd65d32e"/>
                <w:id w:val="6776050"/>
                <w:lock w:val="sdtLocked"/>
              </w:sdtPr>
              <w:sdtEndPr>
                <w:rPr>
                  <w:sz w:val="18"/>
                  <w:szCs w:val="18"/>
                </w:rPr>
              </w:sdtEndPr>
              <w:sdtContent>
                <w:tc>
                  <w:tcPr>
                    <w:tcW w:w="1764" w:type="dxa"/>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sz w:val="18"/>
                        <w:szCs w:val="18"/>
                      </w:rPr>
                      <w:t>出租方名称</w:t>
                    </w:r>
                  </w:p>
                </w:tc>
              </w:sdtContent>
            </w:sdt>
            <w:sdt>
              <w:sdtPr>
                <w:rPr>
                  <w:sz w:val="18"/>
                  <w:szCs w:val="18"/>
                </w:rPr>
                <w:tag w:val="_PLD_37258e91d19f49b081d9b3699db80b8d"/>
                <w:id w:val="6776051"/>
                <w:lock w:val="sdtLocked"/>
              </w:sdtPr>
              <w:sdtEndPr>
                <w:rPr>
                  <w:sz w:val="18"/>
                  <w:szCs w:val="18"/>
                </w:rPr>
              </w:sdtEndPr>
              <w:sdtContent>
                <w:tc>
                  <w:tcPr>
                    <w:tcW w:w="3369" w:type="dxa"/>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sz w:val="18"/>
                        <w:szCs w:val="18"/>
                      </w:rPr>
                      <w:t>租赁资产种类</w:t>
                    </w:r>
                  </w:p>
                </w:tc>
              </w:sdtContent>
            </w:sdt>
            <w:sdt>
              <w:sdtPr>
                <w:rPr>
                  <w:sz w:val="18"/>
                  <w:szCs w:val="18"/>
                </w:rPr>
                <w:tag w:val="_PLD_20d2f9a614b34f3b83c7c45426ebf12f"/>
                <w:id w:val="6776052"/>
                <w:lock w:val="sdtLocked"/>
              </w:sdtPr>
              <w:sdtEndPr>
                <w:rPr>
                  <w:sz w:val="18"/>
                  <w:szCs w:val="18"/>
                </w:rPr>
              </w:sdtEndPr>
              <w:sdtContent>
                <w:tc>
                  <w:tcPr>
                    <w:tcW w:w="1985" w:type="dxa"/>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sz w:val="18"/>
                        <w:szCs w:val="18"/>
                      </w:rPr>
                      <w:t>本期确认的租赁费</w:t>
                    </w:r>
                  </w:p>
                </w:tc>
              </w:sdtContent>
            </w:sdt>
            <w:sdt>
              <w:sdtPr>
                <w:rPr>
                  <w:sz w:val="18"/>
                  <w:szCs w:val="18"/>
                </w:rPr>
                <w:tag w:val="_PLD_cb4bafb13beb4e0e96c161b275b3c656"/>
                <w:id w:val="6776053"/>
                <w:lock w:val="sdtLocked"/>
              </w:sdtPr>
              <w:sdtEndPr>
                <w:rPr>
                  <w:sz w:val="18"/>
                  <w:szCs w:val="18"/>
                </w:rPr>
              </w:sdtEndPr>
              <w:sdtContent>
                <w:tc>
                  <w:tcPr>
                    <w:tcW w:w="1775" w:type="dxa"/>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sz w:val="18"/>
                        <w:szCs w:val="18"/>
                      </w:rPr>
                      <w:t>上期确认的租赁费</w:t>
                    </w:r>
                  </w:p>
                </w:tc>
              </w:sdtContent>
            </w:sdt>
          </w:tr>
          <w:sdt>
            <w:sdtPr>
              <w:rPr>
                <w:sz w:val="18"/>
                <w:szCs w:val="18"/>
              </w:rPr>
              <w:alias w:val="公司承租情况明细"/>
              <w:tag w:val="_TUP_7213ef1e8f724193b34184a335e47f08"/>
              <w:id w:val="677605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764"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广西柳州钢铁集团有限公司</w:t>
                    </w:r>
                  </w:p>
                </w:tc>
                <w:tc>
                  <w:tcPr>
                    <w:tcW w:w="3369"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柳国用（2002）字第101847、101848、101849、101850、101851、101862号六宗面积合计93.85万平方米土地</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600</w:t>
                    </w:r>
                  </w:p>
                </w:tc>
                <w:tc>
                  <w:tcPr>
                    <w:tcW w:w="177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600</w:t>
                    </w:r>
                  </w:p>
                </w:tc>
              </w:tr>
            </w:sdtContent>
          </w:sdt>
          <w:sdt>
            <w:sdtPr>
              <w:rPr>
                <w:sz w:val="18"/>
                <w:szCs w:val="18"/>
              </w:rPr>
              <w:alias w:val="公司承租情况明细"/>
              <w:tag w:val="_TUP_7213ef1e8f724193b34184a335e47f08"/>
              <w:id w:val="677605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764"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广西柳州钢铁集团有限公司</w:t>
                    </w:r>
                  </w:p>
                </w:tc>
                <w:tc>
                  <w:tcPr>
                    <w:tcW w:w="3369"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柳国用（2004）字第104208号地块其中的面积为65.24万平方米土地</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400</w:t>
                    </w:r>
                  </w:p>
                </w:tc>
                <w:tc>
                  <w:tcPr>
                    <w:tcW w:w="177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400</w:t>
                    </w:r>
                  </w:p>
                </w:tc>
              </w:tr>
            </w:sdtContent>
          </w:sdt>
        </w:tbl>
        <w:p/>
        <w:p>
          <w:pPr>
            <w:rPr>
              <w:szCs w:val="21"/>
            </w:rPr>
          </w:pPr>
          <w:r>
            <w:rPr>
              <w:rFonts w:hint="eastAsia"/>
              <w:szCs w:val="21"/>
            </w:rPr>
            <w:t>关联租赁情况说明</w:t>
          </w:r>
        </w:p>
        <w:sdt>
          <w:sdtPr>
            <w:rPr>
              <w:szCs w:val="21"/>
            </w:rPr>
            <w:alias w:val="是否适用：关联租赁情况说明[双击切换]"/>
            <w:tag w:val="_GBC_f11304240a9e46d8b340976a035205d3"/>
            <w:id w:val="6776056"/>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sdtContent>
    </w:sdt>
    <w:sdt>
      <w:sdtPr>
        <w:rPr>
          <w:rFonts w:hint="eastAsia" w:ascii="宋体" w:hAnsi="宋体" w:cs="Arial"/>
          <w:b w:val="0"/>
          <w:bCs w:val="0"/>
          <w:kern w:val="0"/>
          <w:szCs w:val="21"/>
        </w:rPr>
        <w:alias w:val="模块:关联担保情况"/>
        <w:tag w:val="_SEC_efa05712c0bd499d89e4752caaaebdd6"/>
        <w:id w:val="6776094"/>
        <w:lock w:val="sdtLocked"/>
        <w:placeholder>
          <w:docPart w:val="GBC22222222222222222222222222222"/>
        </w:placeholder>
      </w:sdtPr>
      <w:sdtEndPr>
        <w:rPr>
          <w:rFonts w:hint="default" w:ascii="Cambria" w:hAnsi="Cambria" w:cs="Cambria" w:eastAsiaTheme="minorEastAsia"/>
          <w:b w:val="0"/>
          <w:bCs w:val="0"/>
          <w:kern w:val="0"/>
          <w:sz w:val="20"/>
          <w:szCs w:val="20"/>
        </w:rPr>
      </w:sdtEndPr>
      <w:sdtContent>
        <w:p>
          <w:pPr>
            <w:pStyle w:val="5"/>
            <w:numPr>
              <w:ilvl w:val="0"/>
              <w:numId w:val="103"/>
            </w:numPr>
            <w:tabs>
              <w:tab w:val="left" w:pos="616"/>
            </w:tabs>
            <w:rPr>
              <w:rFonts w:ascii="宋体" w:hAnsi="宋体" w:cs="Arial"/>
              <w:szCs w:val="21"/>
            </w:rPr>
          </w:pPr>
          <w:r>
            <w:rPr>
              <w:rFonts w:hint="eastAsia" w:ascii="宋体" w:hAnsi="宋体" w:cs="Arial"/>
              <w:szCs w:val="21"/>
            </w:rPr>
            <w:t>关联</w:t>
          </w:r>
          <w:r>
            <w:rPr>
              <w:rFonts w:hint="eastAsia"/>
            </w:rPr>
            <w:t>担保</w:t>
          </w:r>
          <w:r>
            <w:rPr>
              <w:rFonts w:hint="eastAsia" w:ascii="宋体" w:hAnsi="宋体" w:cs="Arial"/>
              <w:szCs w:val="21"/>
            </w:rPr>
            <w:t>情况</w:t>
          </w:r>
        </w:p>
        <w:p>
          <w:r>
            <w:rPr>
              <w:rFonts w:hint="eastAsia"/>
            </w:rPr>
            <w:t>本公司作为担保方</w:t>
          </w:r>
        </w:p>
        <w:sdt>
          <w:sdtPr>
            <w:alias w:val="是否适用：本公司作为担保方的担保情况表[双击切换]"/>
            <w:tag w:val="_GBC_4ba390d56c0645788c7893af84ca2773"/>
            <w:id w:val="677605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rFonts w:ascii="Cambria" w:hAnsi="Cambria" w:cs="Cambria"/>
            </w:rPr>
          </w:pPr>
          <w:r>
            <w:rPr>
              <w:rFonts w:hint="eastAsia" w:ascii="Cambria" w:hAnsi="Cambria" w:cs="Cambria"/>
            </w:rPr>
            <w:t>本公司作为被担保方</w:t>
          </w:r>
        </w:p>
        <w:sdt>
          <w:sdtPr>
            <w:rPr>
              <w:rFonts w:ascii="Cambria" w:hAnsi="Cambria" w:cs="Cambria"/>
            </w:rPr>
            <w:alias w:val="是否适用：本公司作为被担保方的担保情况表[双击切换]"/>
            <w:tag w:val="_GBC_24ee28d66e214f089c669dca4a51a3a4"/>
            <w:id w:val="6776059"/>
            <w:lock w:val="sdtContentLocked"/>
            <w:placeholder>
              <w:docPart w:val="GBC22222222222222222222222222222"/>
            </w:placeholder>
          </w:sdtPr>
          <w:sdtEndPr>
            <w:rPr>
              <w:rFonts w:ascii="Cambria" w:hAnsi="Cambria" w:cs="Cambria"/>
            </w:rPr>
          </w:sdtEndPr>
          <w:sdtContent>
            <w:p>
              <w:pPr>
                <w:rPr>
                  <w:rFonts w:ascii="Cambria" w:hAnsi="Cambria"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pPr>
            <w:jc w:val="right"/>
            <w:rPr>
              <w:rFonts w:ascii="Cambria" w:hAnsi="Cambria" w:cs="Cambria"/>
            </w:rPr>
          </w:pPr>
          <w:r>
            <w:rPr>
              <w:rFonts w:hint="eastAsia" w:ascii="Cambria" w:hAnsi="Cambria" w:cs="Cambria"/>
            </w:rPr>
            <w:t>单位：</w:t>
          </w:r>
          <w:sdt>
            <w:sdtPr>
              <w:rPr>
                <w:rFonts w:hint="eastAsia" w:ascii="Cambria" w:hAnsi="Cambria" w:cs="Cambria"/>
              </w:rPr>
              <w:alias w:val="单位：财务附注：本公司作为被担保方"/>
              <w:tag w:val="_GBC_08de61ddd16b467c884ca0edae6aa2be"/>
              <w:id w:val="677606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ascii="Cambria" w:hAnsi="Cambria" w:cs="Cambria"/>
              </w:rPr>
            </w:sdtEndPr>
            <w:sdtContent>
              <w:r>
                <w:rPr>
                  <w:rFonts w:hint="eastAsia" w:ascii="Cambria" w:hAnsi="Cambria" w:cs="Cambria"/>
                </w:rPr>
                <w:t>元</w:t>
              </w:r>
            </w:sdtContent>
          </w:sdt>
          <w:r>
            <w:rPr>
              <w:rFonts w:hint="eastAsia" w:ascii="Cambria" w:hAnsi="Cambria" w:cs="Cambria"/>
            </w:rPr>
            <w:t>币种：</w:t>
          </w:r>
          <w:sdt>
            <w:sdtPr>
              <w:rPr>
                <w:rFonts w:hint="eastAsia" w:ascii="Cambria" w:hAnsi="Cambria" w:cs="Cambria"/>
              </w:rPr>
              <w:alias w:val="币种：财务附注：本公司作为被担保方"/>
              <w:tag w:val="_GBC_42fee4856c844a5db5f4478afdb3c96d"/>
              <w:id w:val="67760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Cambria" w:hAnsi="Cambria" w:cs="Cambria"/>
              </w:rPr>
            </w:sdtEndPr>
            <w:sdtContent>
              <w:r>
                <w:rPr>
                  <w:rFonts w:hint="eastAsia" w:ascii="Cambria" w:hAnsi="Cambria" w:cs="Cambria"/>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582"/>
            <w:gridCol w:w="1842"/>
            <w:gridCol w:w="1418"/>
            <w:gridCol w:w="141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05323f7a96841bb935f95dcfec68e48"/>
                <w:id w:val="6776062"/>
                <w:lock w:val="sdtLocked"/>
              </w:sdtPr>
              <w:sdtContent>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担保方</w:t>
                    </w:r>
                  </w:p>
                </w:tc>
              </w:sdtContent>
            </w:sdt>
            <w:sdt>
              <w:sdtPr>
                <w:tag w:val="_PLD_7721a8a4c1844b24b36caad78c1dee85"/>
                <w:id w:val="6776063"/>
                <w:lock w:val="sdtLocked"/>
              </w:sdtPr>
              <w:sdtContent>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担保金额</w:t>
                    </w:r>
                  </w:p>
                </w:tc>
              </w:sdtContent>
            </w:sdt>
            <w:sdt>
              <w:sdtPr>
                <w:tag w:val="_PLD_cac4c4f152c846eb9313593bf39d4ef9"/>
                <w:id w:val="6776064"/>
                <w:lock w:val="sdtLocked"/>
              </w:sdtPr>
              <w:sdtContent>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担保起始日</w:t>
                    </w:r>
                  </w:p>
                </w:tc>
              </w:sdtContent>
            </w:sdt>
            <w:sdt>
              <w:sdtPr>
                <w:tag w:val="_PLD_c0918f2db0154eb396818afe3e3f0e9d"/>
                <w:id w:val="6776065"/>
                <w:lock w:val="sdtLocked"/>
              </w:sdtPr>
              <w:sdtContent>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担保到期日</w:t>
                    </w:r>
                  </w:p>
                </w:tc>
              </w:sdtContent>
            </w:sdt>
            <w:sdt>
              <w:sdtPr>
                <w:tag w:val="_PLD_f7d47a75b517407d8d11153f5529706f"/>
                <w:id w:val="6776066"/>
                <w:lock w:val="sdtLocked"/>
              </w:sdtPr>
              <w:sdtContent>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担保是否已经履行完毕</w:t>
                    </w:r>
                  </w:p>
                </w:tc>
              </w:sdtContent>
            </w:sdt>
          </w:tr>
          <w:sdt>
            <w:sdtPr>
              <w:rPr>
                <w:rFonts w:cs="Cambria"/>
              </w:rPr>
              <w:alias w:val="本公司作为被担保方的关联担保情况明细"/>
              <w:tag w:val="_TUP_473afba5501d402bbcf25b151e18127b"/>
              <w:id w:val="6776068"/>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w:t>
                    </w:r>
                    <w:r>
                      <w:rPr>
                        <w:rFonts w:hint="eastAsia"/>
                      </w:rPr>
                      <w:t>有限</w:t>
                    </w:r>
                    <w:r>
                      <w:t>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629,500,000.00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2015-6-30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2018-6-30</w:t>
                    </w:r>
                  </w:p>
                </w:tc>
                <w:sdt>
                  <w:sdtPr>
                    <w:rPr>
                      <w:rFonts w:cs="Cambria"/>
                    </w:rPr>
                    <w:alias w:val="本公司作为被担保方的关联担保情况明细-担保是否已经履行完毕"/>
                    <w:tag w:val="_GBC_11b6ef1abc32485687a498df5cd1fbcd"/>
                    <w:id w:val="6776067"/>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70"/>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广西柳州钢铁集团有限公司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200,000,000.00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2017-2-1</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2018-1-23</w:t>
                    </w:r>
                  </w:p>
                </w:tc>
                <w:sdt>
                  <w:sdtPr>
                    <w:rPr>
                      <w:rFonts w:cs="Cambria"/>
                    </w:rPr>
                    <w:alias w:val="本公司作为被担保方的关联担保情况明细-担保是否已经履行完毕"/>
                    <w:tag w:val="_GBC_11b6ef1abc32485687a498df5cd1fbcd"/>
                    <w:id w:val="6776069"/>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72"/>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广西柳州钢铁集团有限公司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100,000,000.00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2017-8-17</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2018-8-16</w:t>
                    </w:r>
                  </w:p>
                </w:tc>
                <w:sdt>
                  <w:sdtPr>
                    <w:rPr>
                      <w:rFonts w:cs="Cambria"/>
                    </w:rPr>
                    <w:alias w:val="本公司作为被担保方的关联担保情况明细-担保是否已经履行完毕"/>
                    <w:tag w:val="_GBC_11b6ef1abc32485687a498df5cd1fbcd"/>
                    <w:id w:val="6776071"/>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74"/>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广西柳州钢铁集团有限公司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140,000,000.00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2017-9-14</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2018-10-30</w:t>
                    </w:r>
                  </w:p>
                </w:tc>
                <w:sdt>
                  <w:sdtPr>
                    <w:rPr>
                      <w:rFonts w:cs="Cambria"/>
                    </w:rPr>
                    <w:alias w:val="本公司作为被担保方的关联担保情况明细-担保是否已经履行完毕"/>
                    <w:tag w:val="_GBC_11b6ef1abc32485687a498df5cd1fbcd"/>
                    <w:id w:val="6776073"/>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76"/>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广西柳州钢铁集团有限公司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170,000,000.00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2017-8-15</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2018-9-5</w:t>
                    </w:r>
                  </w:p>
                </w:tc>
                <w:sdt>
                  <w:sdtPr>
                    <w:rPr>
                      <w:rFonts w:cs="Cambria"/>
                    </w:rPr>
                    <w:alias w:val="本公司作为被担保方的关联担保情况明细-担保是否已经履行完毕"/>
                    <w:tag w:val="_GBC_11b6ef1abc32485687a498df5cd1fbcd"/>
                    <w:id w:val="6776075"/>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78"/>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广西柳州钢铁集团有限公司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287,504,800.00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2016-11-7</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2018-10-27</w:t>
                    </w:r>
                  </w:p>
                </w:tc>
                <w:sdt>
                  <w:sdtPr>
                    <w:rPr>
                      <w:rFonts w:cs="Cambria"/>
                    </w:rPr>
                    <w:alias w:val="本公司作为被担保方的关联担保情况明细-担保是否已经履行完毕"/>
                    <w:tag w:val="_GBC_11b6ef1abc32485687a498df5cd1fbcd"/>
                    <w:id w:val="6776077"/>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80"/>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广西柳州钢铁集团有限公司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405,500,000.00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2017-3-16</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2018-5-15</w:t>
                    </w:r>
                  </w:p>
                </w:tc>
                <w:sdt>
                  <w:sdtPr>
                    <w:rPr>
                      <w:rFonts w:cs="Cambria"/>
                    </w:rPr>
                    <w:alias w:val="本公司作为被担保方的关联担保情况明细-担保是否已经履行完毕"/>
                    <w:tag w:val="_GBC_11b6ef1abc32485687a498df5cd1fbcd"/>
                    <w:id w:val="6776079"/>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82"/>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广西柳州钢铁集团有限公司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450,000,000.00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2016-8-26</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2018-6-28</w:t>
                    </w:r>
                  </w:p>
                </w:tc>
                <w:sdt>
                  <w:sdtPr>
                    <w:rPr>
                      <w:rFonts w:cs="Cambria"/>
                    </w:rPr>
                    <w:alias w:val="本公司作为被担保方的关联担保情况明细-担保是否已经履行完毕"/>
                    <w:tag w:val="_GBC_11b6ef1abc32485687a498df5cd1fbcd"/>
                    <w:id w:val="6776081"/>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84"/>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广西柳州钢铁集团有限公司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1,009,000,000.00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2016-7-26</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2018-9-25</w:t>
                    </w:r>
                  </w:p>
                </w:tc>
                <w:sdt>
                  <w:sdtPr>
                    <w:rPr>
                      <w:rFonts w:cs="Cambria"/>
                    </w:rPr>
                    <w:alias w:val="本公司作为被担保方的关联担保情况明细-担保是否已经履行完毕"/>
                    <w:tag w:val="_GBC_11b6ef1abc32485687a498df5cd1fbcd"/>
                    <w:id w:val="6776083"/>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86"/>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广西柳州钢铁集团有限公司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240,245,475.56</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2017-7-27</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2018-2-23</w:t>
                    </w:r>
                  </w:p>
                </w:tc>
                <w:sdt>
                  <w:sdtPr>
                    <w:rPr>
                      <w:rFonts w:cs="Cambria"/>
                    </w:rPr>
                    <w:alias w:val="本公司作为被担保方的关联担保情况明细-担保是否已经履行完毕"/>
                    <w:tag w:val="_GBC_11b6ef1abc32485687a498df5cd1fbcd"/>
                    <w:id w:val="6776085"/>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88"/>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广西柳州钢铁集团有限公司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1,131,900,000.00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2017-1-5</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2018-11-20</w:t>
                    </w:r>
                  </w:p>
                </w:tc>
                <w:sdt>
                  <w:sdtPr>
                    <w:rPr>
                      <w:rFonts w:cs="Cambria"/>
                    </w:rPr>
                    <w:alias w:val="本公司作为被担保方的关联担保情况明细-担保是否已经履行完毕"/>
                    <w:tag w:val="_GBC_11b6ef1abc32485687a498df5cd1fbcd"/>
                    <w:id w:val="6776087"/>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90"/>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广西柳州钢铁集团有限公司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1,617,410,526.00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2017-9-15</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2018-10-26</w:t>
                    </w:r>
                  </w:p>
                </w:tc>
                <w:sdt>
                  <w:sdtPr>
                    <w:rPr>
                      <w:rFonts w:cs="Cambria"/>
                    </w:rPr>
                    <w:alias w:val="本公司作为被担保方的关联担保情况明细-担保是否已经履行完毕"/>
                    <w:tag w:val="_GBC_11b6ef1abc32485687a498df5cd1fbcd"/>
                    <w:id w:val="6776089"/>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6776092"/>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582"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t>合计</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6,381,060,801.56</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 </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 </w:t>
                    </w:r>
                  </w:p>
                </w:tc>
                <w:sdt>
                  <w:sdtPr>
                    <w:rPr>
                      <w:rFonts w:cs="Cambria"/>
                    </w:rPr>
                    <w:alias w:val="本公司作为被担保方的关联担保情况明细-担保是否已经履行完毕"/>
                    <w:tag w:val="_GBC_11b6ef1abc32485687a498df5cd1fbcd"/>
                    <w:id w:val="6776091"/>
                    <w:lock w:val="sdtLocked"/>
                    <w:comboBox>
                      <w:listItem w:displayText="是" w:value="是"/>
                      <w:listItem w:displayText="否" w:value="否"/>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p>
                    </w:tc>
                  </w:sdtContent>
                </w:sdt>
              </w:tr>
            </w:sdtContent>
          </w:sdt>
        </w:tbl>
        <w:p/>
        <w:p>
          <w:pPr>
            <w:rPr>
              <w:rFonts w:ascii="Cambria" w:hAnsi="Cambria" w:cs="Cambria"/>
            </w:rPr>
          </w:pPr>
          <w:r>
            <w:rPr>
              <w:rFonts w:hint="eastAsia" w:ascii="Cambria" w:hAnsi="Cambria" w:cs="Cambria"/>
            </w:rPr>
            <w:t>关联担保情况说明</w:t>
          </w:r>
        </w:p>
        <w:sdt>
          <w:sdtPr>
            <w:rPr>
              <w:rFonts w:ascii="Cambria" w:hAnsi="Cambria" w:cs="Cambria"/>
            </w:rPr>
            <w:alias w:val="是否适用：关联担保情况说明[双击切换]"/>
            <w:tag w:val="_GBC_455c21d6a2674726afee6a2386be7898"/>
            <w:id w:val="6776093"/>
            <w:lock w:val="sdtContentLocked"/>
            <w:placeholder>
              <w:docPart w:val="GBC22222222222222222222222222222"/>
            </w:placeholder>
          </w:sdtPr>
          <w:sdtEndPr>
            <w:rPr>
              <w:rFonts w:ascii="Cambria" w:hAnsi="Cambria" w:cs="Cambria"/>
            </w:rPr>
          </w:sdtEndPr>
          <w:sdtContent>
            <w:p>
              <w:pPr>
                <w:rPr>
                  <w:rFonts w:ascii="Cambria" w:hAnsi="Cambria"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pPr>
            <w:rPr>
              <w:rFonts w:ascii="Cambria" w:hAnsi="Cambria" w:cs="Cambria"/>
              <w:sz w:val="20"/>
              <w:szCs w:val="20"/>
            </w:rPr>
          </w:pPr>
        </w:p>
      </w:sdtContent>
    </w:sdt>
    <w:sdt>
      <w:sdtPr>
        <w:rPr>
          <w:rFonts w:hint="eastAsia" w:ascii="宋体" w:hAnsi="宋体" w:cs="宋体"/>
          <w:b w:val="0"/>
          <w:bCs w:val="0"/>
          <w:kern w:val="0"/>
          <w:szCs w:val="24"/>
        </w:rPr>
        <w:alias w:val="模块:关联方资金拆借"/>
        <w:tag w:val="_SEC_e662f655e98144708ee022291e4d2c28"/>
        <w:id w:val="6776096"/>
        <w:lock w:val="sdtLocked"/>
        <w:placeholder>
          <w:docPart w:val="GBC22222222222222222222222222222"/>
        </w:placeholder>
      </w:sdtPr>
      <w:sdtEndPr>
        <w:rPr>
          <w:rFonts w:hint="default" w:ascii="宋体" w:hAnsi="宋体" w:cstheme="minorBidi"/>
          <w:b w:val="0"/>
          <w:bCs w:val="0"/>
          <w:kern w:val="0"/>
          <w:szCs w:val="21"/>
        </w:rPr>
      </w:sdtEndPr>
      <w:sdtContent>
        <w:p>
          <w:pPr>
            <w:pStyle w:val="5"/>
            <w:numPr>
              <w:ilvl w:val="0"/>
              <w:numId w:val="103"/>
            </w:numPr>
            <w:tabs>
              <w:tab w:val="left" w:pos="616"/>
            </w:tabs>
            <w:jc w:val="left"/>
          </w:pPr>
          <w:r>
            <w:rPr>
              <w:rFonts w:hint="eastAsia"/>
            </w:rPr>
            <w:t>关联方资金拆借</w:t>
          </w:r>
        </w:p>
        <w:sdt>
          <w:sdtPr>
            <w:alias w:val="是否适用：关联方资金拆借[双击切换]"/>
            <w:tag w:val="_GBC_9b5630a86e1e452494249106e2600b15"/>
            <w:id w:val="6776095"/>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关联方资产转让、债务重组情况"/>
        <w:tag w:val="_SEC_d9d6435f8ac54597b97d51dd0f61d03f"/>
        <w:id w:val="6776098"/>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103"/>
            </w:numPr>
            <w:tabs>
              <w:tab w:val="left" w:pos="616"/>
            </w:tabs>
          </w:pPr>
          <w:r>
            <w:rPr>
              <w:rFonts w:hint="eastAsia"/>
            </w:rPr>
            <w:t>关联方资产转让、债务重组情况</w:t>
          </w:r>
        </w:p>
        <w:p>
          <w:sdt>
            <w:sdtPr>
              <w:alias w:val="是否适用：关联方资产转让、债务重组情况[双击切换]"/>
              <w:tag w:val="_GBC_6f8fce72ce784c23aba8af28c51de336"/>
              <w:id w:val="6776097"/>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cs="宋体"/>
          <w:b w:val="0"/>
          <w:bCs w:val="0"/>
          <w:kern w:val="0"/>
          <w:szCs w:val="24"/>
        </w:rPr>
        <w:alias w:val="模块:关键管理人员报酬"/>
        <w:tag w:val="_SEC_3b5cc9d011f04ea3b064e0de02da00f5"/>
        <w:id w:val="6776106"/>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103"/>
            </w:numPr>
            <w:tabs>
              <w:tab w:val="left" w:pos="616"/>
            </w:tabs>
          </w:pPr>
          <w:r>
            <w:rPr>
              <w:rFonts w:hint="eastAsia"/>
            </w:rPr>
            <w:t>关键管理人员报酬</w:t>
          </w:r>
        </w:p>
        <w:sdt>
          <w:sdtPr>
            <w:alias w:val="是否适用：关键管理人员报酬[双击切换]"/>
            <w:tag w:val="_GBC_4768ccd806f845f4b6f5f0ec038ec747"/>
            <w:id w:val="677609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rFonts w:ascii="Cambria" w:hAnsi="Cambria" w:cs="Cambria"/>
            </w:rPr>
          </w:pPr>
          <w:r>
            <w:rPr>
              <w:rFonts w:hint="eastAsia" w:ascii="Cambria" w:hAnsi="Cambria" w:cs="Cambria"/>
            </w:rPr>
            <w:t>单位：</w:t>
          </w:r>
          <w:sdt>
            <w:sdtPr>
              <w:rPr>
                <w:rFonts w:hint="eastAsia" w:ascii="Cambria" w:hAnsi="Cambria" w:cs="Cambria"/>
              </w:rPr>
              <w:alias w:val="单位：财务附注：关键管理人员报酬"/>
              <w:tag w:val="_GBC_3dcac03c36954e5ab3dab539e6a2f735"/>
              <w:id w:val="677610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ascii="Cambria" w:hAnsi="Cambria" w:cs="Cambria"/>
              </w:rPr>
            </w:sdtEndPr>
            <w:sdtContent>
              <w:r>
                <w:rPr>
                  <w:rFonts w:hint="eastAsia" w:ascii="Cambria" w:hAnsi="Cambria" w:cs="Cambria"/>
                </w:rPr>
                <w:t>万元</w:t>
              </w:r>
            </w:sdtContent>
          </w:sdt>
          <w:r>
            <w:rPr>
              <w:rFonts w:hint="eastAsia" w:ascii="Cambria" w:hAnsi="Cambria" w:cs="Cambria"/>
            </w:rPr>
            <w:t>币种：</w:t>
          </w:r>
          <w:sdt>
            <w:sdtPr>
              <w:rPr>
                <w:rFonts w:hint="eastAsia" w:ascii="Cambria" w:hAnsi="Cambria" w:cs="Cambria"/>
              </w:rPr>
              <w:alias w:val="币种：财务附注：关键管理人员报酬"/>
              <w:tag w:val="_GBC_9bf846a4da0046829fd7baa3fd1fe348"/>
              <w:id w:val="67761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Cambria" w:hAnsi="Cambria" w:cs="Cambria"/>
              </w:rPr>
            </w:sdtEndPr>
            <w:sdtContent>
              <w:r>
                <w:rPr>
                  <w:rFonts w:hint="eastAsia" w:ascii="Cambria" w:hAnsi="Cambria" w:cs="Cambria"/>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3274"/>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d38745be5c64397b1dab92289838da1"/>
                <w:id w:val="6776102"/>
                <w:lock w:val="sdtLocked"/>
              </w:sdtPr>
              <w:sdtContent>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项目</w:t>
                    </w:r>
                  </w:p>
                </w:tc>
              </w:sdtContent>
            </w:sdt>
            <w:sdt>
              <w:sdtPr>
                <w:tag w:val="_PLD_31133ff59dcf4a7b93a7991d1f435b05"/>
                <w:id w:val="6776103"/>
                <w:lock w:val="sdtLocked"/>
              </w:sdtPr>
              <w:sdtContent>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本期发生额</w:t>
                    </w:r>
                  </w:p>
                </w:tc>
              </w:sdtContent>
            </w:sdt>
            <w:sdt>
              <w:sdtPr>
                <w:tag w:val="_PLD_e08658a238f7419ca0d4ce3386ff565e"/>
                <w:id w:val="6776104"/>
                <w:lock w:val="sdtLocked"/>
              </w:sdtPr>
              <w:sdtContent>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51d1928c6ce40d2b5b46143c5f31f00"/>
                <w:id w:val="6776105"/>
                <w:lock w:val="sdtLocked"/>
              </w:sdtPr>
              <w:sdtContent>
                <w:tc>
                  <w:tcPr>
                    <w:tcW w:w="327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关键管理人员报酬</w:t>
                    </w:r>
                  </w:p>
                </w:tc>
              </w:sdtContent>
            </w:sdt>
            <w:tc>
              <w:tcPr>
                <w:tcW w:w="3274"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rPr>
                    <w:szCs w:val="21"/>
                  </w:rPr>
                  <w:t>763.65</w:t>
                </w:r>
              </w:p>
            </w:tc>
            <w:tc>
              <w:tcPr>
                <w:tcW w:w="2501"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r>
                  <w:t>641.16</w:t>
                </w:r>
              </w:p>
            </w:tc>
          </w:tr>
        </w:tbl>
        <w:p/>
      </w:sdtContent>
    </w:sdt>
    <w:p>
      <w:pPr>
        <w:rPr>
          <w:szCs w:val="21"/>
        </w:rPr>
      </w:pPr>
    </w:p>
    <w:sdt>
      <w:sdtPr>
        <w:rPr>
          <w:rFonts w:hint="eastAsia" w:ascii="宋体" w:hAnsi="宋体" w:cs="宋体"/>
          <w:b w:val="0"/>
          <w:bCs w:val="0"/>
          <w:kern w:val="0"/>
          <w:szCs w:val="24"/>
        </w:rPr>
        <w:alias w:val="模块:其他关联交易"/>
        <w:tag w:val="_SEC_3ee0d5867a8b45ac909e0cf39151d6d4"/>
        <w:id w:val="6776109"/>
        <w:lock w:val="sdtLocked"/>
        <w:placeholder>
          <w:docPart w:val="GBC22222222222222222222222222222"/>
        </w:placeholder>
      </w:sdtPr>
      <w:sdtEndPr>
        <w:rPr>
          <w:rFonts w:hint="default" w:asciiTheme="minorHAnsi" w:hAnsiTheme="minorHAnsi" w:eastAsiaTheme="minorEastAsia" w:cstheme="minorBidi"/>
          <w:b w:val="0"/>
          <w:bCs w:val="0"/>
          <w:kern w:val="0"/>
          <w:szCs w:val="21"/>
        </w:rPr>
      </w:sdtEndPr>
      <w:sdtContent>
        <w:p>
          <w:pPr>
            <w:pStyle w:val="5"/>
            <w:numPr>
              <w:ilvl w:val="0"/>
              <w:numId w:val="103"/>
            </w:numPr>
            <w:tabs>
              <w:tab w:val="left" w:pos="616"/>
            </w:tabs>
          </w:pPr>
          <w:r>
            <w:rPr>
              <w:rFonts w:hint="eastAsia"/>
            </w:rPr>
            <w:t>其他关联交易</w:t>
          </w:r>
        </w:p>
        <w:sdt>
          <w:sdtPr>
            <w:rPr>
              <w:rFonts w:hint="eastAsia"/>
              <w:szCs w:val="21"/>
            </w:rPr>
            <w:alias w:val="是否适用：其他关联交易[双击切换]"/>
            <w:tag w:val="_GBC_a1203a07d7684e08bdc2f1959f1cb9ae"/>
            <w:id w:val="6776107"/>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关联交易的情况"/>
            <w:tag w:val="_GBC_568a4950b7f046d3a08a3d8b97923495"/>
            <w:id w:val="6776108"/>
            <w:lock w:val="sdtLocked"/>
          </w:sdtPr>
          <w:sdtEndPr>
            <w:rPr>
              <w:szCs w:val="21"/>
            </w:rPr>
          </w:sdtEndPr>
          <w:sdtContent>
            <w:p>
              <w:pPr>
                <w:rPr>
                  <w:szCs w:val="21"/>
                </w:rPr>
              </w:pPr>
              <w:r>
                <w:rPr>
                  <w:szCs w:val="21"/>
                </w:rPr>
                <w:t>1.生产经营服务：</w:t>
              </w:r>
            </w:p>
            <w:p>
              <w:pPr>
                <w:rPr>
                  <w:szCs w:val="21"/>
                </w:rPr>
              </w:pPr>
              <w:r>
                <w:rPr>
                  <w:szCs w:val="21"/>
                </w:rPr>
                <w:t>2001年11月19日公司与集团公司签订了《生产经营服务协议》，公司按照国家、当地统一定价或市场价格有偿使用集团公司提供的设备维修、运输、环保等生产及辅助性生产方面的服务、设施。协议有效期5年。2007年、2010年及2013年分别对该协议进行了续签，有效期均为5年。</w:t>
              </w:r>
            </w:p>
            <w:p>
              <w:pPr>
                <w:rPr>
                  <w:szCs w:val="21"/>
                </w:rPr>
              </w:pPr>
              <w:r>
                <w:rPr>
                  <w:szCs w:val="21"/>
                </w:rPr>
                <w:t>2017年按协议支付了17,635.21万元。</w:t>
              </w:r>
            </w:p>
            <w:p>
              <w:pPr>
                <w:rPr>
                  <w:szCs w:val="21"/>
                </w:rPr>
              </w:pPr>
              <w:r>
                <w:rPr>
                  <w:szCs w:val="21"/>
                </w:rPr>
                <w:t>2.生活后勤服务：</w:t>
              </w:r>
            </w:p>
            <w:p>
              <w:pPr>
                <w:rPr>
                  <w:szCs w:val="21"/>
                </w:rPr>
              </w:pPr>
              <w:r>
                <w:rPr>
                  <w:szCs w:val="21"/>
                </w:rPr>
                <w:t>2001年11月19日公司与集团公司签订了《生活后勤服务协议》，公司按照国家、当地统一定价或市场价格有偿使用集团公司提供的员工教育、厂区管理、社区管理等服务事项。公司每年向集团公司支付费用1,000万元。协议有效期5年，期满后双方无异议自动顺延。</w:t>
              </w:r>
            </w:p>
            <w:p>
              <w:pPr>
                <w:rPr>
                  <w:szCs w:val="21"/>
                </w:rPr>
              </w:pPr>
              <w:r>
                <w:rPr>
                  <w:szCs w:val="21"/>
                </w:rPr>
                <w:t>2017年按协议支付了1,000万元。</w:t>
              </w:r>
            </w:p>
            <w:p>
              <w:pPr>
                <w:rPr>
                  <w:szCs w:val="21"/>
                </w:rPr>
              </w:pPr>
              <w:r>
                <w:rPr>
                  <w:szCs w:val="21"/>
                </w:rPr>
                <w:t>3.销售代理：</w:t>
              </w:r>
            </w:p>
            <w:p>
              <w:pPr>
                <w:rPr>
                  <w:szCs w:val="21"/>
                </w:rPr>
              </w:pPr>
              <w:r>
                <w:rPr>
                  <w:rFonts w:hint="eastAsia"/>
                  <w:szCs w:val="21"/>
                </w:rPr>
                <w:t>本公司于</w:t>
              </w:r>
              <w:r>
                <w:rPr>
                  <w:szCs w:val="21"/>
                </w:rPr>
                <w:t>2006年8月18日与集团公司签订《销售代理协议》，为将销售市场、客户让渡给公司，集团公司委托本公司代为销售其热轧产品，公司按热轧产品销售量收取代理销售费用。本协议有效期至热轧厂被公司收购之日止。</w:t>
              </w:r>
            </w:p>
            <w:p>
              <w:pPr>
                <w:rPr>
                  <w:szCs w:val="21"/>
                </w:rPr>
              </w:pPr>
              <w:r>
                <w:rPr>
                  <w:szCs w:val="21"/>
                </w:rPr>
                <w:t>2017年公司按协议向集团公司收取销售代理费1,413.44万元。</w:t>
              </w:r>
            </w:p>
            <w:p>
              <w:pPr>
                <w:rPr>
                  <w:szCs w:val="21"/>
                </w:rPr>
              </w:pPr>
            </w:p>
          </w:sdtContent>
        </w:sdt>
        <w:p>
          <w:pPr>
            <w:rPr>
              <w:szCs w:val="21"/>
            </w:rPr>
          </w:pPr>
        </w:p>
      </w:sdtContent>
    </w:sdt>
    <w:p>
      <w:pPr>
        <w:rPr>
          <w:szCs w:val="21"/>
        </w:rPr>
      </w:pPr>
    </w:p>
    <w:p>
      <w:pPr>
        <w:pStyle w:val="4"/>
        <w:numPr>
          <w:ilvl w:val="0"/>
          <w:numId w:val="102"/>
        </w:numPr>
        <w:rPr>
          <w:rFonts w:ascii="宋体" w:hAnsi="宋体" w:cs="Arial"/>
          <w:szCs w:val="21"/>
        </w:rPr>
      </w:pPr>
      <w:r>
        <w:rPr>
          <w:rFonts w:hint="eastAsia" w:ascii="宋体" w:hAnsi="宋体" w:cs="Arial"/>
          <w:szCs w:val="21"/>
        </w:rPr>
        <w:t>关联方应收应付款项</w:t>
      </w:r>
    </w:p>
    <w:sdt>
      <w:sdtPr>
        <w:rPr>
          <w:rFonts w:hint="eastAsia" w:ascii="宋体" w:hAnsi="宋体" w:cs="Arial"/>
          <w:b w:val="0"/>
          <w:bCs w:val="0"/>
          <w:kern w:val="0"/>
          <w:szCs w:val="21"/>
        </w:rPr>
        <w:alias w:val="模块:上市公司应收关联方款项"/>
        <w:tag w:val="_SEC_7fd751377539429292ed4eb39a787549"/>
        <w:id w:val="6776147"/>
        <w:lock w:val="sdtLocked"/>
        <w:placeholder>
          <w:docPart w:val="GBC22222222222222222222222222222"/>
        </w:placeholder>
      </w:sdtPr>
      <w:sdtEndPr>
        <w:rPr>
          <w:rFonts w:hint="eastAsia" w:ascii="仿宋_GB2312" w:eastAsia="仿宋_GB2312" w:hAnsiTheme="minorHAnsi" w:cstheme="minorBidi"/>
          <w:b w:val="0"/>
          <w:bCs w:val="0"/>
          <w:kern w:val="0"/>
          <w:szCs w:val="21"/>
        </w:rPr>
      </w:sdtEndPr>
      <w:sdtContent>
        <w:p>
          <w:pPr>
            <w:pStyle w:val="5"/>
            <w:numPr>
              <w:ilvl w:val="0"/>
              <w:numId w:val="104"/>
            </w:numPr>
            <w:tabs>
              <w:tab w:val="left" w:pos="616"/>
            </w:tabs>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6776110"/>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jc w:val="right"/>
            <w:rPr>
              <w:szCs w:val="21"/>
            </w:rPr>
          </w:pPr>
          <w:r>
            <w:rPr>
              <w:rFonts w:hint="eastAsia"/>
              <w:szCs w:val="21"/>
            </w:rPr>
            <w:t>单位:</w:t>
          </w:r>
          <w:sdt>
            <w:sdtPr>
              <w:rPr>
                <w:rFonts w:hint="eastAsia"/>
                <w:szCs w:val="21"/>
              </w:rPr>
              <w:alias w:val="单位：上市公司应收关联方款项"/>
              <w:tag w:val="_GBC_83968b233566404db428b085bcb695b8"/>
              <w:id w:val="6776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67761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23"/>
            <w:gridCol w:w="3402"/>
            <w:gridCol w:w="1135"/>
            <w:gridCol w:w="992"/>
            <w:gridCol w:w="113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sz w:val="18"/>
                  <w:szCs w:val="18"/>
                </w:rPr>
                <w:tag w:val="_PLD_c0c6dc2d23f94f929199b42c584f57ca"/>
                <w:id w:val="38951425"/>
                <w:lock w:val="sdtLocked"/>
              </w:sdtPr>
              <w:sdtEndPr>
                <w:rPr>
                  <w:sz w:val="18"/>
                  <w:szCs w:val="18"/>
                </w:rPr>
              </w:sdtEndPr>
              <w:sdtContent>
                <w:tc>
                  <w:tcPr>
                    <w:tcW w:w="1023"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项目名称</w:t>
                    </w:r>
                  </w:p>
                </w:tc>
              </w:sdtContent>
            </w:sdt>
            <w:sdt>
              <w:sdtPr>
                <w:rPr>
                  <w:sz w:val="18"/>
                  <w:szCs w:val="18"/>
                </w:rPr>
                <w:tag w:val="_PLD_56aedf077d5c4d3b814d04d193f71af7"/>
                <w:id w:val="587357214"/>
                <w:lock w:val="sdtLocked"/>
              </w:sdtPr>
              <w:sdtEndPr>
                <w:rPr>
                  <w:sz w:val="18"/>
                  <w:szCs w:val="18"/>
                </w:rPr>
              </w:sdtEndPr>
              <w:sdtContent>
                <w:tc>
                  <w:tcPr>
                    <w:tcW w:w="3402"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关联方</w:t>
                    </w:r>
                  </w:p>
                </w:tc>
              </w:sdtContent>
            </w:sdt>
            <w:sdt>
              <w:sdtPr>
                <w:rPr>
                  <w:sz w:val="18"/>
                  <w:szCs w:val="18"/>
                </w:rPr>
                <w:tag w:val="_PLD_e8867e7b52fb42f4b447e445a20beebc"/>
                <w:id w:val="1205907898"/>
                <w:lock w:val="sdtLocked"/>
              </w:sdtPr>
              <w:sdtEndPr>
                <w:rPr>
                  <w:sz w:val="18"/>
                  <w:szCs w:val="18"/>
                </w:rPr>
              </w:sdtEndPr>
              <w:sdtContent>
                <w:tc>
                  <w:tcPr>
                    <w:tcW w:w="212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期末余额</w:t>
                    </w:r>
                  </w:p>
                </w:tc>
              </w:sdtContent>
            </w:sdt>
            <w:sdt>
              <w:sdtPr>
                <w:rPr>
                  <w:sz w:val="18"/>
                  <w:szCs w:val="18"/>
                </w:rPr>
                <w:tag w:val="_PLD_6a4888e558004037a5faac678bea523c"/>
                <w:id w:val="-1616745500"/>
                <w:lock w:val="sdtLocked"/>
              </w:sdtPr>
              <w:sdtEndPr>
                <w:rPr>
                  <w:sz w:val="18"/>
                  <w:szCs w:val="18"/>
                </w:rPr>
              </w:sdtEndPr>
              <w:sdtContent>
                <w:tc>
                  <w:tcPr>
                    <w:tcW w:w="234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3402" w:type="dxa"/>
                <w:vMerge w:val="continue"/>
                <w:tcBorders>
                  <w:left w:val="single" w:color="auto" w:sz="4" w:space="0"/>
                  <w:bottom w:val="single" w:color="auto" w:sz="4" w:space="0"/>
                  <w:right w:val="single" w:color="auto" w:sz="4" w:space="0"/>
                </w:tcBorders>
                <w:vAlign w:val="center"/>
              </w:tcPr>
              <w:p>
                <w:pPr>
                  <w:jc w:val="center"/>
                  <w:rPr>
                    <w:sz w:val="18"/>
                    <w:szCs w:val="18"/>
                  </w:rPr>
                </w:pPr>
              </w:p>
            </w:tc>
            <w:sdt>
              <w:sdtPr>
                <w:rPr>
                  <w:sz w:val="18"/>
                  <w:szCs w:val="18"/>
                </w:rPr>
                <w:tag w:val="_PLD_0545f54235344f978e1e8356e1b05042"/>
                <w:id w:val="1549645406"/>
                <w:lock w:val="sdtLocked"/>
              </w:sdtPr>
              <w:sdtEndPr>
                <w:rPr>
                  <w:sz w:val="18"/>
                  <w:szCs w:val="18"/>
                </w:rPr>
              </w:sdtEndPr>
              <w:sdtContent>
                <w:tc>
                  <w:tcPr>
                    <w:tcW w:w="113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账面余额</w:t>
                    </w:r>
                  </w:p>
                </w:tc>
              </w:sdtContent>
            </w:sdt>
            <w:sdt>
              <w:sdtPr>
                <w:rPr>
                  <w:sz w:val="18"/>
                  <w:szCs w:val="18"/>
                </w:rPr>
                <w:tag w:val="_PLD_9e6982f3b5cd46e9b3be23eda364cd7a"/>
                <w:id w:val="-1666467987"/>
                <w:lock w:val="sdtLocked"/>
              </w:sdtPr>
              <w:sdtEndPr>
                <w:rPr>
                  <w:sz w:val="18"/>
                  <w:szCs w:val="18"/>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坏账准备</w:t>
                    </w:r>
                  </w:p>
                </w:tc>
              </w:sdtContent>
            </w:sdt>
            <w:sdt>
              <w:sdtPr>
                <w:rPr>
                  <w:sz w:val="18"/>
                  <w:szCs w:val="18"/>
                </w:rPr>
                <w:tag w:val="_PLD_5c8e0a4ac99e4539bea932f77317d8de"/>
                <w:id w:val="859177338"/>
                <w:lock w:val="sdtLocked"/>
              </w:sdtPr>
              <w:sdtEndPr>
                <w:rPr>
                  <w:sz w:val="18"/>
                  <w:szCs w:val="18"/>
                </w:rPr>
              </w:sdtEndPr>
              <w:sdtContent>
                <w:tc>
                  <w:tcPr>
                    <w:tcW w:w="113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账面余额</w:t>
                    </w:r>
                  </w:p>
                </w:tc>
              </w:sdtContent>
            </w:sdt>
            <w:sdt>
              <w:sdtPr>
                <w:rPr>
                  <w:sz w:val="18"/>
                  <w:szCs w:val="18"/>
                </w:rPr>
                <w:tag w:val="_PLD_c5afa9908d794831a4bc715802a1061d"/>
                <w:id w:val="-133961991"/>
                <w:lock w:val="sdtLocked"/>
              </w:sdtPr>
              <w:sdtEndPr>
                <w:rPr>
                  <w:sz w:val="18"/>
                  <w:szCs w:val="18"/>
                </w:rPr>
              </w:sdtEndPr>
              <w:sdtContent>
                <w:tc>
                  <w:tcPr>
                    <w:tcW w:w="120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坏账准备</w:t>
                    </w:r>
                  </w:p>
                </w:tc>
              </w:sdtContent>
            </w:sdt>
          </w:tr>
          <w:sdt>
            <w:sdtPr>
              <w:rPr>
                <w:rFonts w:hint="eastAsia" w:asciiTheme="minorHAnsi" w:hAnsiTheme="minorHAnsi" w:eastAsiaTheme="minorEastAsia" w:cstheme="minorBidi"/>
                <w:kern w:val="2"/>
                <w:sz w:val="18"/>
                <w:szCs w:val="18"/>
              </w:rPr>
              <w:alias w:val="上市公司应收关联方款项明细"/>
              <w:tag w:val="_TUP_d4126a8f8e414ce2b32aead159dba06a"/>
              <w:id w:val="1449352775"/>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柳州兴钢建筑安装工程处</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7,717,886.07</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231,536.58</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3,176,288.15</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95,288.64</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541333713"/>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广西柳州钢铁集团有限公司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6,922,037.61</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207,661.13</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5,207,697.24</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156,230.92</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1294409002"/>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柳州市运天运运输有限公司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5,156,677.69</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154,700.33</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123,685.19</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3,710.56</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589817866"/>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柳州市锐</w:t>
                    </w:r>
                    <w:r>
                      <w:rPr>
                        <w:rFonts w:hint="eastAsia"/>
                        <w:sz w:val="18"/>
                        <w:szCs w:val="18"/>
                      </w:rPr>
                      <w:t>立</w:t>
                    </w:r>
                    <w:r>
                      <w:rPr>
                        <w:sz w:val="18"/>
                        <w:szCs w:val="18"/>
                      </w:rPr>
                      <w:t>瑞环保科技股份有限公司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2,563,725.13</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76,911.75</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617810589"/>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柳州市环源利环境资料技术开发有限公司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10,736,121.69</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322,083.65</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1864631389"/>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柳州特久恒机械设备有限公司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5,704,251.58</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570,425.16</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5,704,251.58</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171,127.55</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1665003969"/>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柳州市强实科技有限公司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32,996,998.18</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989,909.95</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16,762,447.70</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502,873.43</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986320212"/>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广西柳钢资产经营管理有限公司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1,579.5</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47.39</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608324970"/>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广西南宁柳钢钢材销售有限公司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4,865,840.09</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145,975.20</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16,675,633.77</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500,269.01</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811835095"/>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柳州市新游化工有限责任公司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41,714,361.06</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1,251,430.83</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28,764,310.06</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862,929.30</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223685345"/>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桂林市刚茂升贸易有限公司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9,594,841.45</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287,845.24</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5,685,859.31</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170,575.78</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658506450"/>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广西柳钢物流有限责任公司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4,859.01</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145.77</w:t>
                    </w: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1928465810"/>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柳州市惕艾惕冶金余热发电有限公司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66,911.42</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2,007.34</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180754304"/>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广西柳钢环保股份有限公司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6,848,361.11</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205,450.83</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683978307"/>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柳州锐源鹏节能环保科技有限公司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1,100.97</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33.03</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205148970"/>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柳州市新和刚电力有限责任公司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64,148.76</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1,924.46</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629172631"/>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广西柳钢国际贸易有限公司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3,057.21</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91.72</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1859345394"/>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柳州市多元贸易有限责任公司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2,349,448.65</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70,483.46</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139548480"/>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广西华锐钢铁工程设计咨询有限责任公司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21,343.60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640.31</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1795830708"/>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预付账款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广西柳钢国际贸易有限公司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122,244,512.49</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3,667,335.37</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691763580"/>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预付账款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广西柳州钢铁集团有限公司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10,236.04</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307.08</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733087621"/>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其他应收款</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柳州市运天运运输有限公司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382,010.47</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11,460.31</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119650792"/>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应收票据</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广西柳州钢铁集团有限公司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4,130,000.00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181,510,000.00</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1616630399"/>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应收票据</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柳州市品成金属材料有限公司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575,000.00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1344847859"/>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应收票据</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柳州兴钢建筑安装工程处</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51,234,000.00</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asciiTheme="minorHAnsi" w:hAnsiTheme="minorHAnsi" w:eastAsiaTheme="minorEastAsia" w:cstheme="minorBidi"/>
                <w:kern w:val="2"/>
                <w:sz w:val="18"/>
                <w:szCs w:val="18"/>
              </w:rPr>
              <w:alias w:val="上市公司应收关联方款项明细"/>
              <w:tag w:val="_TUP_d4126a8f8e414ce2b32aead159dba06a"/>
              <w:id w:val="2085483479"/>
              <w:lock w:val="sdtLocked"/>
            </w:sdtPr>
            <w:sdtEndPr>
              <w:rPr>
                <w:rFonts w:hint="default" w:ascii="Arial Narrow" w:hAnsi="Arial Narrow" w:eastAsiaTheme="minorEastAsia" w:cstheme="minorBidi"/>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应收票据</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柳州市运天运运输有限公司</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70,151,889.95</w:t>
                    </w:r>
                  </w:p>
                </w:tc>
                <w:tc>
                  <w:tcPr>
                    <w:tcW w:w="1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tbl>
        <w:p/>
        <w:p>
          <w:pPr>
            <w:rPr>
              <w:rFonts w:ascii="仿宋_GB2312" w:eastAsia="仿宋_GB2312"/>
              <w:szCs w:val="21"/>
            </w:rPr>
          </w:pPr>
        </w:p>
      </w:sdtContent>
    </w:sdt>
    <w:sdt>
      <w:sdtPr>
        <w:rPr>
          <w:rFonts w:hint="eastAsia" w:ascii="宋体" w:hAnsi="宋体" w:cs="宋体"/>
          <w:b w:val="0"/>
          <w:bCs w:val="0"/>
          <w:kern w:val="0"/>
          <w:szCs w:val="24"/>
        </w:rPr>
        <w:alias w:val="模块:上市公司应付关联方款项"/>
        <w:tag w:val="_SEC_84b9cc5f716e4a019a46df88b355093c"/>
        <w:id w:val="6776201"/>
        <w:lock w:val="sdtLocked"/>
        <w:placeholder>
          <w:docPart w:val="GBC22222222222222222222222222222"/>
        </w:placeholder>
      </w:sdtPr>
      <w:sdtEndPr>
        <w:rPr>
          <w:rFonts w:hint="eastAsia" w:ascii="仿宋_GB2312" w:eastAsia="仿宋_GB2312" w:hAnsiTheme="minorHAnsi" w:cstheme="minorBidi"/>
          <w:b w:val="0"/>
          <w:bCs w:val="0"/>
          <w:kern w:val="0"/>
          <w:szCs w:val="21"/>
        </w:rPr>
      </w:sdtEndPr>
      <w:sdtContent>
        <w:p>
          <w:pPr>
            <w:pStyle w:val="5"/>
            <w:numPr>
              <w:ilvl w:val="0"/>
              <w:numId w:val="104"/>
            </w:numPr>
            <w:tabs>
              <w:tab w:val="left" w:pos="616"/>
            </w:tabs>
          </w:pPr>
          <w:r>
            <w:rPr>
              <w:rFonts w:hint="eastAsia"/>
            </w:rPr>
            <w:t>应付项目</w:t>
          </w:r>
        </w:p>
        <w:sdt>
          <w:sdtPr>
            <w:rPr>
              <w:rFonts w:hint="eastAsia"/>
              <w:szCs w:val="21"/>
            </w:rPr>
            <w:alias w:val="是否适用：应付项目[双击切换]"/>
            <w:tag w:val="_GBC_41bc31a1fefb4e25918c1ece7c27be62"/>
            <w:id w:val="6776148"/>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jc w:val="right"/>
            <w:rPr>
              <w:szCs w:val="21"/>
            </w:rPr>
          </w:pPr>
          <w:r>
            <w:rPr>
              <w:rFonts w:hint="eastAsia"/>
              <w:szCs w:val="21"/>
            </w:rPr>
            <w:t>单位:</w:t>
          </w:r>
          <w:sdt>
            <w:sdtPr>
              <w:rPr>
                <w:rFonts w:hint="eastAsia"/>
                <w:szCs w:val="21"/>
              </w:rPr>
              <w:alias w:val="单位：上市公司应付关联方款项"/>
              <w:tag w:val="_GBC_dda5edeadff34e4f829b49a813d869a1"/>
              <w:id w:val="67761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67761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127"/>
            <w:gridCol w:w="3858"/>
            <w:gridCol w:w="1418"/>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sz w:val="18"/>
                  <w:szCs w:val="18"/>
                </w:rPr>
                <w:tag w:val="_PLD_e606617d378f48ec942565c9488249ee"/>
                <w:id w:val="6776151"/>
                <w:lock w:val="sdtLocked"/>
              </w:sdtPr>
              <w:sdtEndPr>
                <w:rPr>
                  <w:sz w:val="18"/>
                  <w:szCs w:val="18"/>
                </w:rPr>
              </w:sdtEndPr>
              <w:sdtContent>
                <w:tc>
                  <w:tcPr>
                    <w:tcW w:w="2127" w:type="dxa"/>
                    <w:tcBorders>
                      <w:top w:val="single" w:color="auto" w:sz="4" w:space="0"/>
                      <w:left w:val="single" w:color="auto" w:sz="4" w:space="0"/>
                      <w:right w:val="single" w:color="auto" w:sz="4" w:space="0"/>
                    </w:tcBorders>
                  </w:tcPr>
                  <w:p>
                    <w:pPr>
                      <w:jc w:val="center"/>
                      <w:rPr>
                        <w:sz w:val="18"/>
                        <w:szCs w:val="18"/>
                      </w:rPr>
                    </w:pPr>
                    <w:r>
                      <w:rPr>
                        <w:rFonts w:hint="eastAsia"/>
                        <w:sz w:val="18"/>
                        <w:szCs w:val="18"/>
                      </w:rPr>
                      <w:t>项目名称</w:t>
                    </w:r>
                  </w:p>
                </w:tc>
              </w:sdtContent>
            </w:sdt>
            <w:sdt>
              <w:sdtPr>
                <w:rPr>
                  <w:sz w:val="18"/>
                  <w:szCs w:val="18"/>
                </w:rPr>
                <w:tag w:val="_PLD_8c0f65fb9987497db9d8cb750665f14a"/>
                <w:id w:val="6776152"/>
                <w:lock w:val="sdtLocked"/>
              </w:sdtPr>
              <w:sdtEndPr>
                <w:rPr>
                  <w:sz w:val="18"/>
                  <w:szCs w:val="18"/>
                </w:rPr>
              </w:sdtEndPr>
              <w:sdtContent>
                <w:tc>
                  <w:tcPr>
                    <w:tcW w:w="3858" w:type="dxa"/>
                    <w:tcBorders>
                      <w:top w:val="single" w:color="auto" w:sz="4" w:space="0"/>
                      <w:left w:val="single" w:color="auto" w:sz="4" w:space="0"/>
                      <w:right w:val="single" w:color="auto" w:sz="4" w:space="0"/>
                    </w:tcBorders>
                  </w:tcPr>
                  <w:p>
                    <w:pPr>
                      <w:jc w:val="center"/>
                      <w:rPr>
                        <w:sz w:val="18"/>
                        <w:szCs w:val="18"/>
                      </w:rPr>
                    </w:pPr>
                    <w:r>
                      <w:rPr>
                        <w:rFonts w:hint="eastAsia"/>
                        <w:sz w:val="18"/>
                        <w:szCs w:val="18"/>
                      </w:rPr>
                      <w:t>关联方</w:t>
                    </w:r>
                  </w:p>
                </w:tc>
              </w:sdtContent>
            </w:sdt>
            <w:sdt>
              <w:sdtPr>
                <w:rPr>
                  <w:sz w:val="18"/>
                  <w:szCs w:val="18"/>
                </w:rPr>
                <w:tag w:val="_PLD_6abb3a201708442494b9fede0eddf518"/>
                <w:id w:val="6776153"/>
                <w:lock w:val="sdtLocked"/>
              </w:sdtPr>
              <w:sdtEndPr>
                <w:rPr>
                  <w:sz w:val="18"/>
                  <w:szCs w:val="18"/>
                </w:rPr>
              </w:sdtEndPr>
              <w:sdtContent>
                <w:tc>
                  <w:tcPr>
                    <w:tcW w:w="1418"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期末账面余额</w:t>
                    </w:r>
                  </w:p>
                </w:tc>
              </w:sdtContent>
            </w:sdt>
            <w:sdt>
              <w:sdtPr>
                <w:rPr>
                  <w:sz w:val="18"/>
                  <w:szCs w:val="18"/>
                </w:rPr>
                <w:tag w:val="_PLD_55efe2bab54445818fecaf16ed9366f9"/>
                <w:id w:val="6776154"/>
                <w:lock w:val="sdtLocked"/>
              </w:sdtPr>
              <w:sdtEndPr>
                <w:rPr>
                  <w:sz w:val="18"/>
                  <w:szCs w:val="18"/>
                </w:rPr>
              </w:sdtEndPr>
              <w:sdtContent>
                <w:tc>
                  <w:tcPr>
                    <w:tcW w:w="1490"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期初账面余额</w:t>
                    </w:r>
                  </w:p>
                </w:tc>
              </w:sdtContent>
            </w:sdt>
          </w:tr>
          <w:sdt>
            <w:sdtPr>
              <w:rPr>
                <w:rFonts w:hint="eastAsia"/>
                <w:sz w:val="18"/>
                <w:szCs w:val="18"/>
              </w:rPr>
              <w:alias w:val="上市公司应付关联方款项明细"/>
              <w:tag w:val="_TUP_f8595985c4a74e809f3ab4e90cbed7c1"/>
              <w:id w:val="677615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广西柳州钢铁集团有限公司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24,134,526.98</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9,710,876.19</w:t>
                    </w:r>
                  </w:p>
                </w:tc>
              </w:tr>
            </w:sdtContent>
          </w:sdt>
          <w:sdt>
            <w:sdtPr>
              <w:rPr>
                <w:rFonts w:hint="eastAsia"/>
                <w:sz w:val="18"/>
                <w:szCs w:val="18"/>
              </w:rPr>
              <w:alias w:val="上市公司应付关联方款项明细"/>
              <w:tag w:val="_TUP_f8595985c4a74e809f3ab4e90cbed7c1"/>
              <w:id w:val="6776156"/>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柳州兴钢建筑安装工程处</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20,807,815.64</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15,554,705.76</w:t>
                    </w:r>
                  </w:p>
                </w:tc>
              </w:tr>
            </w:sdtContent>
          </w:sdt>
          <w:sdt>
            <w:sdtPr>
              <w:rPr>
                <w:rFonts w:hint="eastAsia"/>
                <w:sz w:val="18"/>
                <w:szCs w:val="18"/>
              </w:rPr>
              <w:alias w:val="上市公司应付关联方款项明细"/>
              <w:tag w:val="_TUP_f8595985c4a74e809f3ab4e90cbed7c1"/>
              <w:id w:val="6776157"/>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柳州市运天运运输有限公司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16,067,019.16</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20,570,748.19</w:t>
                    </w:r>
                  </w:p>
                </w:tc>
              </w:tr>
            </w:sdtContent>
          </w:sdt>
          <w:sdt>
            <w:sdtPr>
              <w:rPr>
                <w:rFonts w:hint="eastAsia"/>
                <w:sz w:val="18"/>
                <w:szCs w:val="18"/>
              </w:rPr>
              <w:alias w:val="上市公司应付关联方款项明细"/>
              <w:tag w:val="_TUP_f8595985c4a74e809f3ab4e90cbed7c1"/>
              <w:id w:val="6776158"/>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柳州市强实科技有限公司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752,547.29</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557,955.15</w:t>
                    </w:r>
                  </w:p>
                </w:tc>
              </w:tr>
            </w:sdtContent>
          </w:sdt>
          <w:sdt>
            <w:sdtPr>
              <w:rPr>
                <w:rFonts w:hint="eastAsia"/>
                <w:sz w:val="18"/>
                <w:szCs w:val="18"/>
              </w:rPr>
              <w:alias w:val="上市公司应付关联方款项明细"/>
              <w:tag w:val="_TUP_f8595985c4a74e809f3ab4e90cbed7c1"/>
              <w:id w:val="6776159"/>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广西柳州锐钢捷冶金机械制造有限责任公司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180,416.57</w:t>
                    </w:r>
                  </w:p>
                </w:tc>
              </w:tr>
            </w:sdtContent>
          </w:sdt>
          <w:sdt>
            <w:sdtPr>
              <w:rPr>
                <w:rFonts w:hint="eastAsia"/>
                <w:sz w:val="18"/>
                <w:szCs w:val="18"/>
              </w:rPr>
              <w:alias w:val="上市公司应付关联方款项明细"/>
              <w:tag w:val="_TUP_f8595985c4a74e809f3ab4e90cbed7c1"/>
              <w:id w:val="6776160"/>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广西柳州新锐文化传媒有限责任公司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344,234.08</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140,711.63</w:t>
                    </w:r>
                  </w:p>
                </w:tc>
              </w:tr>
            </w:sdtContent>
          </w:sdt>
          <w:sdt>
            <w:sdtPr>
              <w:rPr>
                <w:rFonts w:hint="eastAsia"/>
                <w:sz w:val="18"/>
                <w:szCs w:val="18"/>
              </w:rPr>
              <w:alias w:val="上市公司应付关联方款项明细"/>
              <w:tag w:val="_TUP_f8595985c4a74e809f3ab4e90cbed7c1"/>
              <w:id w:val="6776161"/>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柳州锐源鹏节能环保科技有限公司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6.01</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195,136.32</w:t>
                    </w:r>
                  </w:p>
                </w:tc>
              </w:tr>
            </w:sdtContent>
          </w:sdt>
          <w:sdt>
            <w:sdtPr>
              <w:rPr>
                <w:rFonts w:hint="eastAsia"/>
                <w:sz w:val="18"/>
                <w:szCs w:val="18"/>
              </w:rPr>
              <w:alias w:val="上市公司应付关联方款项明细"/>
              <w:tag w:val="_TUP_f8595985c4a74e809f3ab4e90cbed7c1"/>
              <w:id w:val="6776162"/>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柳州市多元贸易有限责任公司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2,323,959.77</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3,650,955.58</w:t>
                    </w:r>
                  </w:p>
                </w:tc>
              </w:tr>
            </w:sdtContent>
          </w:sdt>
          <w:sdt>
            <w:sdtPr>
              <w:rPr>
                <w:rFonts w:hint="eastAsia"/>
                <w:sz w:val="18"/>
                <w:szCs w:val="18"/>
              </w:rPr>
              <w:alias w:val="上市公司应付关联方款项明细"/>
              <w:tag w:val="_TUP_f8595985c4a74e809f3ab4e90cbed7c1"/>
              <w:id w:val="6776163"/>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柳州市环源利环境资料技术开发有限公司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9,503,454.59</w:t>
                    </w:r>
                  </w:p>
                </w:tc>
              </w:tr>
            </w:sdtContent>
          </w:sdt>
          <w:sdt>
            <w:sdtPr>
              <w:rPr>
                <w:rFonts w:hint="eastAsia"/>
                <w:sz w:val="18"/>
                <w:szCs w:val="18"/>
              </w:rPr>
              <w:alias w:val="上市公司应付关联方款项明细"/>
              <w:tag w:val="_TUP_f8595985c4a74e809f3ab4e90cbed7c1"/>
              <w:id w:val="6776164"/>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柳州市曼凯亚科技有限责任公司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356,457.38</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134,451.18</w:t>
                    </w:r>
                  </w:p>
                </w:tc>
              </w:tr>
            </w:sdtContent>
          </w:sdt>
          <w:sdt>
            <w:sdtPr>
              <w:rPr>
                <w:rFonts w:hint="eastAsia"/>
                <w:sz w:val="18"/>
                <w:szCs w:val="18"/>
              </w:rPr>
              <w:alias w:val="上市公司应付关联方款项明细"/>
              <w:tag w:val="_TUP_f8595985c4a74e809f3ab4e90cbed7c1"/>
              <w:id w:val="677616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柳州市盛鹏源环保科技有限公司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900,267.65</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4,896,786.53</w:t>
                    </w:r>
                  </w:p>
                </w:tc>
              </w:tr>
            </w:sdtContent>
          </w:sdt>
          <w:sdt>
            <w:sdtPr>
              <w:rPr>
                <w:rFonts w:hint="eastAsia"/>
                <w:sz w:val="18"/>
                <w:szCs w:val="18"/>
              </w:rPr>
              <w:alias w:val="上市公司应付关联方款项明细"/>
              <w:tag w:val="_TUP_f8595985c4a74e809f3ab4e90cbed7c1"/>
              <w:id w:val="6776166"/>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柳州兴远劳务有限公司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1,291,658.40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6,689,101.68</w:t>
                    </w:r>
                  </w:p>
                </w:tc>
              </w:tr>
            </w:sdtContent>
          </w:sdt>
          <w:sdt>
            <w:sdtPr>
              <w:rPr>
                <w:rFonts w:hint="eastAsia"/>
                <w:sz w:val="18"/>
                <w:szCs w:val="18"/>
              </w:rPr>
              <w:alias w:val="上市公司应付关联方款项明细"/>
              <w:tag w:val="_TUP_f8595985c4a74e809f3ab4e90cbed7c1"/>
              <w:id w:val="6776167"/>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广西柳钢物流有限责任公司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68"/>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柳州市惕艾惕冶金余热发电有限公司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35,524.24</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136,828.37</w:t>
                    </w:r>
                  </w:p>
                </w:tc>
              </w:tr>
            </w:sdtContent>
          </w:sdt>
          <w:sdt>
            <w:sdtPr>
              <w:rPr>
                <w:rFonts w:hint="eastAsia"/>
                <w:sz w:val="18"/>
                <w:szCs w:val="18"/>
              </w:rPr>
              <w:alias w:val="上市公司应付关联方款项明细"/>
              <w:tag w:val="_TUP_f8595985c4a74e809f3ab4e90cbed7c1"/>
              <w:id w:val="6776169"/>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柳州特久恒机械设备有限公司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13,888.01</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463,888.01</w:t>
                    </w:r>
                  </w:p>
                </w:tc>
              </w:tr>
            </w:sdtContent>
          </w:sdt>
          <w:sdt>
            <w:sdtPr>
              <w:rPr>
                <w:rFonts w:hint="eastAsia"/>
                <w:sz w:val="18"/>
                <w:szCs w:val="18"/>
              </w:rPr>
              <w:alias w:val="上市公司应付关联方款项明细"/>
              <w:tag w:val="_TUP_f8595985c4a74e809f3ab4e90cbed7c1"/>
              <w:id w:val="6776170"/>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广西柳钢国际贸易有限公司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34,880,110.94</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12,891,550.21</w:t>
                    </w:r>
                  </w:p>
                </w:tc>
              </w:tr>
            </w:sdtContent>
          </w:sdt>
          <w:sdt>
            <w:sdtPr>
              <w:rPr>
                <w:rFonts w:hint="eastAsia"/>
                <w:sz w:val="18"/>
                <w:szCs w:val="18"/>
              </w:rPr>
              <w:alias w:val="上市公司应付关联方款项明细"/>
              <w:tag w:val="_TUP_f8595985c4a74e809f3ab4e90cbed7c1"/>
              <w:id w:val="6776171"/>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广西柳钢资产经营管理有限公司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20,002,677.45</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72"/>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广西华锐钢铁工程设计咨询有限责任公司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3,209,800.00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73"/>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柳州市红星园艺场</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221,783.00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74"/>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广西华锐钢铁工程设计咨询有限责任公司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53,700.00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7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广西柳钢环保股份有限公司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14,673,143.71</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76"/>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十一冶建设集团有限责任公司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37,860.00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230,000.00</w:t>
                    </w:r>
                  </w:p>
                </w:tc>
              </w:tr>
            </w:sdtContent>
          </w:sdt>
          <w:sdt>
            <w:sdtPr>
              <w:rPr>
                <w:rFonts w:hint="eastAsia"/>
                <w:sz w:val="18"/>
                <w:szCs w:val="18"/>
              </w:rPr>
              <w:alias w:val="上市公司应付关联方款项明细"/>
              <w:tag w:val="_TUP_f8595985c4a74e809f3ab4e90cbed7c1"/>
              <w:id w:val="6776177"/>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预收账款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广西柳州钢铁集团有限公司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8,899.77</w:t>
                    </w:r>
                  </w:p>
                </w:tc>
              </w:tr>
            </w:sdtContent>
          </w:sdt>
          <w:sdt>
            <w:sdtPr>
              <w:rPr>
                <w:rFonts w:hint="eastAsia"/>
                <w:sz w:val="18"/>
                <w:szCs w:val="18"/>
              </w:rPr>
              <w:alias w:val="上市公司应付关联方款项明细"/>
              <w:tag w:val="_TUP_f8595985c4a74e809f3ab4e90cbed7c1"/>
              <w:id w:val="6776178"/>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预收账款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柳州市固强钢材有限公司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150,683.59</w:t>
                    </w:r>
                  </w:p>
                </w:tc>
              </w:tr>
            </w:sdtContent>
          </w:sdt>
          <w:sdt>
            <w:sdtPr>
              <w:rPr>
                <w:rFonts w:hint="eastAsia"/>
                <w:sz w:val="18"/>
                <w:szCs w:val="18"/>
              </w:rPr>
              <w:alias w:val="上市公司应付关联方款项明细"/>
              <w:tag w:val="_TUP_f8595985c4a74e809f3ab4e90cbed7c1"/>
              <w:id w:val="6776179"/>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预收账款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柳州市环源利环境资料技术开发有限公司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3,829.36</w:t>
                    </w:r>
                  </w:p>
                </w:tc>
              </w:tr>
            </w:sdtContent>
          </w:sdt>
          <w:sdt>
            <w:sdtPr>
              <w:rPr>
                <w:rFonts w:hint="eastAsia"/>
                <w:sz w:val="18"/>
                <w:szCs w:val="18"/>
              </w:rPr>
              <w:alias w:val="上市公司应付关联方款项明细"/>
              <w:tag w:val="_TUP_f8595985c4a74e809f3ab4e90cbed7c1"/>
              <w:id w:val="6776180"/>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预收账款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广西柳钢资产经营管理有限公司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700.00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81"/>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预收账款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广西柳钢国际贸易有限公司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1,000.00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82"/>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预收账款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柳州市强实科技有限公司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900.00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83"/>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预收账款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柳州市瑞中运钢材储运有限公司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1,261,023.04</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84"/>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预收账款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十一冶建设集团有限责任公司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330,966.05</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330,966.05</w:t>
                    </w:r>
                  </w:p>
                </w:tc>
              </w:tr>
            </w:sdtContent>
          </w:sdt>
          <w:sdt>
            <w:sdtPr>
              <w:rPr>
                <w:rFonts w:hint="eastAsia"/>
                <w:sz w:val="18"/>
                <w:szCs w:val="18"/>
              </w:rPr>
              <w:alias w:val="上市公司应付关联方款项明细"/>
              <w:tag w:val="_TUP_f8595985c4a74e809f3ab4e90cbed7c1"/>
              <w:id w:val="677618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广西柳州钢铁集团有限公司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7,000.00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47,915.00</w:t>
                    </w:r>
                  </w:p>
                </w:tc>
              </w:tr>
            </w:sdtContent>
          </w:sdt>
          <w:sdt>
            <w:sdtPr>
              <w:rPr>
                <w:rFonts w:hint="eastAsia"/>
                <w:sz w:val="18"/>
                <w:szCs w:val="18"/>
              </w:rPr>
              <w:alias w:val="上市公司应付关联方款项明细"/>
              <w:tag w:val="_TUP_f8595985c4a74e809f3ab4e90cbed7c1"/>
              <w:id w:val="6776186"/>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柳州兴钢建筑安装工程处</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960,030.00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746,372.45</w:t>
                    </w:r>
                  </w:p>
                </w:tc>
              </w:tr>
            </w:sdtContent>
          </w:sdt>
          <w:sdt>
            <w:sdtPr>
              <w:rPr>
                <w:rFonts w:hint="eastAsia"/>
                <w:sz w:val="18"/>
                <w:szCs w:val="18"/>
              </w:rPr>
              <w:alias w:val="上市公司应付关联方款项明细"/>
              <w:tag w:val="_TUP_f8595985c4a74e809f3ab4e90cbed7c1"/>
              <w:id w:val="6776187"/>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柳州锐源鹏节能环保科技有限公司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50,000.00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50,000.00</w:t>
                    </w:r>
                  </w:p>
                </w:tc>
              </w:tr>
            </w:sdtContent>
          </w:sdt>
          <w:sdt>
            <w:sdtPr>
              <w:rPr>
                <w:rFonts w:hint="eastAsia"/>
                <w:sz w:val="18"/>
                <w:szCs w:val="18"/>
              </w:rPr>
              <w:alias w:val="上市公司应付关联方款项明细"/>
              <w:tag w:val="_TUP_f8595985c4a74e809f3ab4e90cbed7c1"/>
              <w:id w:val="6776188"/>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柳州市畅通运货运服务有限公司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10,156,141.78</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10,156,141.78</w:t>
                    </w:r>
                  </w:p>
                </w:tc>
              </w:tr>
            </w:sdtContent>
          </w:sdt>
          <w:sdt>
            <w:sdtPr>
              <w:rPr>
                <w:rFonts w:hint="eastAsia"/>
                <w:sz w:val="18"/>
                <w:szCs w:val="18"/>
              </w:rPr>
              <w:alias w:val="上市公司应付关联方款项明细"/>
              <w:tag w:val="_TUP_f8595985c4a74e809f3ab4e90cbed7c1"/>
              <w:id w:val="6776189"/>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柳州市曼凯亚科技有限责任公司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10,000.00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10,000.00</w:t>
                    </w:r>
                  </w:p>
                </w:tc>
              </w:tr>
            </w:sdtContent>
          </w:sdt>
          <w:sdt>
            <w:sdtPr>
              <w:rPr>
                <w:rFonts w:hint="eastAsia"/>
                <w:sz w:val="18"/>
                <w:szCs w:val="18"/>
              </w:rPr>
              <w:alias w:val="上市公司应付关联方款项明细"/>
              <w:tag w:val="_TUP_f8595985c4a74e809f3ab4e90cbed7c1"/>
              <w:id w:val="6776190"/>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柳州市盛鹏源环保科技有限公司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528,000.00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528,000.00</w:t>
                    </w:r>
                  </w:p>
                </w:tc>
              </w:tr>
            </w:sdtContent>
          </w:sdt>
          <w:sdt>
            <w:sdtPr>
              <w:rPr>
                <w:rFonts w:hint="eastAsia"/>
                <w:sz w:val="18"/>
                <w:szCs w:val="18"/>
              </w:rPr>
              <w:alias w:val="上市公司应付关联方款项明细"/>
              <w:tag w:val="_TUP_f8595985c4a74e809f3ab4e90cbed7c1"/>
              <w:id w:val="6776191"/>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柳州市新游化工有限责任公司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3,000.00</w:t>
                    </w:r>
                  </w:p>
                </w:tc>
              </w:tr>
            </w:sdtContent>
          </w:sdt>
          <w:sdt>
            <w:sdtPr>
              <w:rPr>
                <w:rFonts w:hint="eastAsia"/>
                <w:sz w:val="18"/>
                <w:szCs w:val="18"/>
              </w:rPr>
              <w:alias w:val="上市公司应付关联方款项明细"/>
              <w:tag w:val="_TUP_f8595985c4a74e809f3ab4e90cbed7c1"/>
              <w:id w:val="6776192"/>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广西柳钢国际贸易有限公司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1,587,000.00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27,500.00</w:t>
                    </w:r>
                  </w:p>
                </w:tc>
              </w:tr>
            </w:sdtContent>
          </w:sdt>
          <w:sdt>
            <w:sdtPr>
              <w:rPr>
                <w:rFonts w:hint="eastAsia"/>
                <w:sz w:val="18"/>
                <w:szCs w:val="18"/>
              </w:rPr>
              <w:alias w:val="上市公司应付关联方款项明细"/>
              <w:tag w:val="_TUP_f8595985c4a74e809f3ab4e90cbed7c1"/>
              <w:id w:val="6776193"/>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广西柳州新锐文化传媒有限责任公司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21,532.50</w:t>
                    </w:r>
                  </w:p>
                </w:tc>
              </w:tr>
            </w:sdtContent>
          </w:sdt>
          <w:sdt>
            <w:sdtPr>
              <w:rPr>
                <w:rFonts w:hint="eastAsia"/>
                <w:sz w:val="18"/>
                <w:szCs w:val="18"/>
              </w:rPr>
              <w:alias w:val="上市公司应付关联方款项明细"/>
              <w:tag w:val="_TUP_f8595985c4a74e809f3ab4e90cbed7c1"/>
              <w:id w:val="6776194"/>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柳州市运天运运输有限公司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39,000.00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39,000.00</w:t>
                    </w:r>
                  </w:p>
                </w:tc>
              </w:tr>
            </w:sdtContent>
          </w:sdt>
          <w:sdt>
            <w:sdtPr>
              <w:rPr>
                <w:rFonts w:hint="eastAsia"/>
                <w:sz w:val="18"/>
                <w:szCs w:val="18"/>
              </w:rPr>
              <w:alias w:val="上市公司应付关联方款项明细"/>
              <w:tag w:val="_TUP_f8595985c4a74e809f3ab4e90cbed7c1"/>
              <w:id w:val="677619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广西柳钢资产经营管理有限公司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1,000,000.00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96"/>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柳州兴远劳务有限公司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2,534.30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97"/>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柳州市红星园艺场</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181,000.00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98"/>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桂林市柳钢刚茂升贸易有限公司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500,000.00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付关联方款项明细"/>
              <w:tag w:val="_TUP_f8595985c4a74e809f3ab4e90cbed7c1"/>
              <w:id w:val="6776199"/>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其他应付款</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十一冶建设集团有限责任公司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338,112.64</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68,647.92</w:t>
                    </w:r>
                  </w:p>
                </w:tc>
              </w:tr>
            </w:sdtContent>
          </w:sdt>
          <w:sdt>
            <w:sdtPr>
              <w:rPr>
                <w:rFonts w:hint="eastAsia"/>
                <w:sz w:val="18"/>
                <w:szCs w:val="18"/>
              </w:rPr>
              <w:alias w:val="上市公司应付关联方款项明细"/>
              <w:tag w:val="_TUP_f8595985c4a74e809f3ab4e90cbed7c1"/>
              <w:id w:val="6776200"/>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 w:val="18"/>
                        <w:szCs w:val="18"/>
                      </w:rPr>
                    </w:pPr>
                    <w:r>
                      <w:rPr>
                        <w:sz w:val="18"/>
                        <w:szCs w:val="18"/>
                      </w:rPr>
                      <w:t>应付票据</w:t>
                    </w:r>
                  </w:p>
                </w:tc>
                <w:tc>
                  <w:tcPr>
                    <w:tcW w:w="3858"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18"/>
                        <w:szCs w:val="18"/>
                      </w:rPr>
                    </w:pPr>
                    <w:r>
                      <w:rPr>
                        <w:sz w:val="18"/>
                        <w:szCs w:val="18"/>
                      </w:rPr>
                      <w:t>广西柳州钢铁集团有限公司</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382,850,000.00</w:t>
                    </w:r>
                  </w:p>
                </w:tc>
                <w:tc>
                  <w:tcPr>
                    <w:tcW w:w="14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right"/>
                      <w:rPr>
                        <w:rFonts w:ascii="Arial Narrow" w:hAnsi="Arial Narrow"/>
                        <w:sz w:val="18"/>
                        <w:szCs w:val="18"/>
                      </w:rPr>
                    </w:pPr>
                    <w:r>
                      <w:rPr>
                        <w:rFonts w:ascii="Arial Narrow" w:hAnsi="Arial Narrow"/>
                        <w:sz w:val="18"/>
                        <w:szCs w:val="18"/>
                      </w:rPr>
                      <w:t>390,969,238.95</w:t>
                    </w:r>
                  </w:p>
                </w:tc>
              </w:tr>
            </w:sdtContent>
          </w:sdt>
        </w:tbl>
        <w:p>
          <w:pPr>
            <w:rPr>
              <w:rFonts w:ascii="仿宋_GB2312" w:eastAsia="仿宋_GB2312"/>
              <w:szCs w:val="21"/>
            </w:rPr>
          </w:pPr>
        </w:p>
      </w:sdtContent>
    </w:sdt>
    <w:sdt>
      <w:sdtPr>
        <w:rPr>
          <w:rFonts w:hint="eastAsia" w:ascii="宋体" w:hAnsi="宋体" w:cs="宋体"/>
          <w:b w:val="0"/>
          <w:bCs w:val="0"/>
          <w:kern w:val="0"/>
          <w:szCs w:val="24"/>
        </w:rPr>
        <w:alias w:val="模块:关联方承诺"/>
        <w:tag w:val="_SEC_af8d9e9e43fe4f6c94313043ab032c00"/>
        <w:id w:val="6776204"/>
        <w:lock w:val="sdtLocked"/>
        <w:placeholder>
          <w:docPart w:val="GBC22222222222222222222222222222"/>
        </w:placeholder>
      </w:sdtPr>
      <w:sdtEndPr>
        <w:rPr>
          <w:rFonts w:hint="eastAsia" w:ascii="Cambria" w:hAnsi="Cambria" w:cs="Cambria" w:eastAsiaTheme="minorEastAsia"/>
          <w:b w:val="0"/>
          <w:bCs w:val="0"/>
          <w:kern w:val="0"/>
          <w:sz w:val="20"/>
          <w:szCs w:val="20"/>
        </w:rPr>
      </w:sdtEndPr>
      <w:sdtContent>
        <w:p>
          <w:pPr>
            <w:pStyle w:val="4"/>
            <w:numPr>
              <w:ilvl w:val="0"/>
              <w:numId w:val="102"/>
            </w:numPr>
          </w:pPr>
          <w:r>
            <w:rPr>
              <w:rFonts w:hint="eastAsia"/>
            </w:rPr>
            <w:t>关联方</w:t>
          </w:r>
          <w:r>
            <w:rPr>
              <w:rFonts w:hint="eastAsia" w:ascii="宋体" w:hAnsi="宋体" w:cs="Arial"/>
              <w:szCs w:val="21"/>
            </w:rPr>
            <w:t>承诺</w:t>
          </w:r>
        </w:p>
        <w:sdt>
          <w:sdtPr>
            <w:rPr>
              <w:rFonts w:hint="eastAsia"/>
              <w:szCs w:val="21"/>
            </w:rPr>
            <w:alias w:val="是否适用：关联方承诺[双击切换]"/>
            <w:tag w:val="_GBC_cf52a7b0760b4670b5fc5ea8d7363a6c"/>
            <w:id w:val="677620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关联方相关承诺"/>
            <w:tag w:val="_GBC_df70b8e1996646148a5cf3439a4f4327"/>
            <w:id w:val="6776203"/>
            <w:lock w:val="sdtLocked"/>
            <w:placeholder>
              <w:docPart w:val="GBC22222222222222222222222222222"/>
            </w:placeholder>
          </w:sdtPr>
          <w:sdtEndPr>
            <w:rPr>
              <w:szCs w:val="21"/>
            </w:rPr>
          </w:sdtEndPr>
          <w:sdtContent>
            <w:p>
              <w:pPr>
                <w:rPr>
                  <w:szCs w:val="21"/>
                </w:rPr>
              </w:pPr>
              <w:r>
                <w:rPr>
                  <w:rFonts w:hint="eastAsia"/>
                  <w:szCs w:val="21"/>
                </w:rPr>
                <w:t>关于避免同业竞争的承诺：</w:t>
              </w:r>
            </w:p>
            <w:p>
              <w:pPr>
                <w:rPr>
                  <w:szCs w:val="21"/>
                </w:rPr>
              </w:pPr>
              <w:r>
                <w:rPr>
                  <w:rFonts w:hint="eastAsia"/>
                  <w:szCs w:val="21"/>
                </w:rPr>
                <w:t>（</w:t>
              </w:r>
              <w:r>
                <w:rPr>
                  <w:szCs w:val="21"/>
                </w:rPr>
                <w:t>1）本公司控股股东广西柳州钢铁</w:t>
              </w:r>
              <w:r>
                <w:rPr>
                  <w:rFonts w:hint="eastAsia"/>
                  <w:szCs w:val="21"/>
                </w:rPr>
                <w:t>集团有限</w:t>
              </w:r>
              <w:r>
                <w:rPr>
                  <w:szCs w:val="21"/>
                </w:rPr>
                <w:t>公司（以下简称“集团公司”）在本公司首发《招股说明书》中承诺：“在经营业务中将不会利用集团公司在柳钢股份的控股地位从事任何损害柳钢股份及其他众多小股东利益的行为，并且，今后不以任何方式参与或进行与柳钢股份相竞争的任何业务活动；如果集团公司违反了上述任何一项声明与承诺，集团公司愿承担相应的法律责任。”该承诺在本公司存续期间有效，自2007年2月27日起履行。</w:t>
              </w:r>
            </w:p>
            <w:p>
              <w:pPr>
                <w:rPr>
                  <w:szCs w:val="21"/>
                </w:rPr>
              </w:pPr>
              <w:r>
                <w:rPr>
                  <w:rFonts w:hint="eastAsia"/>
                  <w:szCs w:val="21"/>
                </w:rPr>
                <w:t>（</w:t>
              </w:r>
              <w:r>
                <w:rPr>
                  <w:szCs w:val="21"/>
                </w:rPr>
                <w:t>2）集团公司在本公司《公开发行公司债券募集说明书》中承诺：“如果集团公司及其下属全资、控股或控制的公司/企业/单位存在与柳钢股份钢铁主业构成或可能构成同业竞争的资产和业务，在柳钢股份提出收购要求时，集团公司及其下属全资、控股或控制的公司/企业/单位将以合理的价格及条件按照法律规定的程序优先转让给柳钢股份。”</w:t>
              </w:r>
            </w:p>
            <w:p>
              <w:pPr>
                <w:rPr>
                  <w:szCs w:val="21"/>
                </w:rPr>
              </w:pPr>
            </w:p>
          </w:sdtContent>
        </w:sdt>
        <w:p>
          <w:pPr>
            <w:tabs>
              <w:tab w:val="left" w:pos="1134"/>
            </w:tabs>
            <w:rPr>
              <w:rFonts w:ascii="Cambria" w:hAnsi="Cambria" w:cs="Cambria" w:eastAsiaTheme="minorEastAsia"/>
              <w:sz w:val="20"/>
              <w:szCs w:val="20"/>
            </w:rPr>
          </w:pPr>
        </w:p>
      </w:sdtContent>
    </w:sdt>
    <w:sdt>
      <w:sdtPr>
        <w:rPr>
          <w:rFonts w:hint="eastAsia" w:ascii="宋体" w:hAnsi="宋体" w:cs="Arial"/>
          <w:b w:val="0"/>
          <w:bCs w:val="0"/>
          <w:kern w:val="0"/>
          <w:szCs w:val="21"/>
        </w:rPr>
        <w:alias w:val="模块:关联方及关联情况的其他说明"/>
        <w:tag w:val="_SEC_a11f8a68634b4b4a8cc63a6200f2d79c"/>
        <w:id w:val="6776206"/>
        <w:lock w:val="sdtLocked"/>
        <w:placeholder>
          <w:docPart w:val="GBC22222222222222222222222222222"/>
        </w:placeholder>
      </w:sdtPr>
      <w:sdtEndPr>
        <w:rPr>
          <w:rFonts w:hint="eastAsia" w:ascii="Cambria" w:hAnsi="Cambria" w:cs="Cambria" w:eastAsiaTheme="minorEastAsia"/>
          <w:b w:val="0"/>
          <w:bCs w:val="0"/>
          <w:kern w:val="0"/>
          <w:sz w:val="20"/>
          <w:szCs w:val="20"/>
        </w:rPr>
      </w:sdtEndPr>
      <w:sdtContent>
        <w:p>
          <w:pPr>
            <w:pStyle w:val="4"/>
            <w:numPr>
              <w:ilvl w:val="0"/>
              <w:numId w:val="102"/>
            </w:numPr>
            <w:rPr>
              <w:rFonts w:ascii="Cambria" w:hAnsi="Cambria" w:cs="Cambria" w:eastAsiaTheme="minorEastAsia"/>
              <w:sz w:val="20"/>
              <w:szCs w:val="20"/>
            </w:rPr>
          </w:pPr>
          <w:r>
            <w:rPr>
              <w:rFonts w:hint="eastAsia" w:ascii="宋体" w:hAnsi="宋体" w:cs="Arial"/>
              <w:szCs w:val="21"/>
            </w:rPr>
            <w:t>其他</w:t>
          </w:r>
        </w:p>
        <w:sdt>
          <w:sdtPr>
            <w:rPr>
              <w:rFonts w:hint="eastAsia"/>
            </w:rPr>
            <w:alias w:val="是否适用：关联方及关联情况的其他说明[双击切换]"/>
            <w:tag w:val="_GBC_0fbd096440c645128adaffccb05f4e2f"/>
            <w:id w:val="6776205"/>
            <w:lock w:val="sdtContentLocked"/>
            <w:placeholder>
              <w:docPart w:val="GBC22222222222222222222222222222"/>
            </w:placeholder>
          </w:sdtPr>
          <w:sdtEndPr>
            <w:rPr>
              <w:rFonts w:hint="eastAsia"/>
            </w:rPr>
          </w:sdtEndPr>
          <w:sdtContent>
            <w:p>
              <w:pPr>
                <w:tabs>
                  <w:tab w:val="left" w:pos="1134"/>
                </w:tabs>
                <w:rPr>
                  <w:rFonts w:ascii="Cambria" w:hAnsi="Cambria" w:cs="Cambria"/>
                  <w:b/>
                  <w:sz w:val="20"/>
                  <w:szCs w:val="2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tabs>
          <w:tab w:val="left" w:pos="1134"/>
        </w:tabs>
        <w:rPr>
          <w:rFonts w:cs="Cambria"/>
          <w:szCs w:val="21"/>
        </w:rPr>
      </w:pPr>
    </w:p>
    <w:p>
      <w:pPr>
        <w:pStyle w:val="3"/>
        <w:numPr>
          <w:ilvl w:val="0"/>
          <w:numId w:val="54"/>
        </w:numPr>
      </w:pPr>
      <w:r>
        <w:rPr>
          <w:rFonts w:hint="eastAsia"/>
        </w:rPr>
        <w:t>股份支付</w:t>
      </w:r>
    </w:p>
    <w:sdt>
      <w:sdtPr>
        <w:rPr>
          <w:rFonts w:hint="eastAsia" w:ascii="宋体" w:hAnsi="宋体" w:cs="宋体"/>
          <w:b w:val="0"/>
          <w:bCs w:val="0"/>
          <w:kern w:val="0"/>
          <w:szCs w:val="24"/>
        </w:rPr>
        <w:alias w:val="模块:股份支付总体情况"/>
        <w:tag w:val="_GBC_07972b1f6b5c4904b730c6b344e432ee"/>
        <w:id w:val="6776208"/>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4"/>
            <w:numPr>
              <w:ilvl w:val="0"/>
              <w:numId w:val="105"/>
            </w:numPr>
          </w:pPr>
          <w:r>
            <w:rPr>
              <w:rFonts w:hint="eastAsia"/>
            </w:rPr>
            <w:t>股份支付总体情况</w:t>
          </w:r>
        </w:p>
        <w:sdt>
          <w:sdtPr>
            <w:alias w:val="是否适用：股份支付总体情况[双击切换]"/>
            <w:tag w:val="_GBC_7d36569622d040fb870ad46d99420cd2"/>
            <w:id w:val="677620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sdt>
      <w:sdtPr>
        <w:rPr>
          <w:rFonts w:hint="eastAsia" w:ascii="宋体" w:hAnsi="宋体" w:cs="宋体"/>
          <w:b w:val="0"/>
          <w:bCs w:val="0"/>
          <w:kern w:val="0"/>
          <w:szCs w:val="24"/>
        </w:rPr>
        <w:alias w:val="模块:以权益结算的股份支付情况"/>
        <w:tag w:val="_GBC_a6f090c303de426580c058a0a463c95f"/>
        <w:id w:val="6776210"/>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4"/>
            <w:numPr>
              <w:ilvl w:val="0"/>
              <w:numId w:val="105"/>
            </w:numPr>
          </w:pPr>
          <w:r>
            <w:rPr>
              <w:rFonts w:hint="eastAsia"/>
            </w:rPr>
            <w:t>以权益结算的股份支付情况</w:t>
          </w:r>
        </w:p>
        <w:sdt>
          <w:sdtPr>
            <w:alias w:val="是否适用：以权益结算的股份支付情况[双击切换]"/>
            <w:tag w:val="_GBC_5d901e3b36be4331aac030c8e4b9b1a5"/>
            <w:id w:val="677620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p>
      <w:pPr>
        <w:rPr>
          <w:szCs w:val="21"/>
        </w:rPr>
      </w:pPr>
    </w:p>
    <w:sdt>
      <w:sdtPr>
        <w:rPr>
          <w:rFonts w:hint="eastAsia" w:ascii="宋体" w:hAnsi="宋体" w:cs="宋体"/>
          <w:b w:val="0"/>
          <w:bCs w:val="0"/>
          <w:kern w:val="0"/>
          <w:szCs w:val="24"/>
        </w:rPr>
        <w:alias w:val="模块:以现金结算的股份支付情况"/>
        <w:tag w:val="_GBC_e8a0c7296300463994744e877be96129"/>
        <w:id w:val="6776212"/>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4"/>
            <w:numPr>
              <w:ilvl w:val="0"/>
              <w:numId w:val="105"/>
            </w:numPr>
          </w:pPr>
          <w:r>
            <w:rPr>
              <w:rFonts w:hint="eastAsia"/>
            </w:rPr>
            <w:t>以现金结算的股份支付情况</w:t>
          </w:r>
        </w:p>
        <w:sdt>
          <w:sdtPr>
            <w:alias w:val="是否适用：以现金结算的股份支付情况[双击切换]"/>
            <w:tag w:val="_GBC_aa134f611909486bb3a2d6258058f88d"/>
            <w:id w:val="677621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sdtContent>
    </w:sdt>
    <w:p>
      <w:pPr>
        <w:rPr>
          <w:szCs w:val="21"/>
        </w:rPr>
      </w:pPr>
    </w:p>
    <w:sdt>
      <w:sdtPr>
        <w:rPr>
          <w:rFonts w:hint="eastAsia" w:ascii="宋体" w:hAnsi="宋体" w:cs="宋体"/>
          <w:b w:val="0"/>
          <w:bCs w:val="0"/>
          <w:kern w:val="0"/>
          <w:szCs w:val="24"/>
        </w:rPr>
        <w:alias w:val="模块:股份支付的修改、终止情况"/>
        <w:tag w:val="_GBC_ae153862caea4ff5a57470b6f594f167"/>
        <w:id w:val="6776214"/>
        <w:lock w:val="sdtLocked"/>
        <w:placeholder>
          <w:docPart w:val="GBC22222222222222222222222222222"/>
        </w:placeholder>
      </w:sdtPr>
      <w:sdtEndPr>
        <w:rPr>
          <w:rFonts w:hint="default" w:asciiTheme="minorHAnsi" w:hAnsiTheme="minorHAnsi" w:eastAsiaTheme="minorEastAsia" w:cstheme="minorBidi"/>
          <w:b w:val="0"/>
          <w:bCs w:val="0"/>
          <w:kern w:val="0"/>
          <w:szCs w:val="21"/>
        </w:rPr>
      </w:sdtEndPr>
      <w:sdtContent>
        <w:p>
          <w:pPr>
            <w:pStyle w:val="4"/>
            <w:numPr>
              <w:ilvl w:val="0"/>
              <w:numId w:val="105"/>
            </w:numPr>
          </w:pPr>
          <w:r>
            <w:rPr>
              <w:rFonts w:hint="eastAsia"/>
            </w:rPr>
            <w:t>股份支付的修改、终止情况</w:t>
          </w:r>
        </w:p>
        <w:sdt>
          <w:sdtPr>
            <w:rPr>
              <w:rFonts w:hint="eastAsia"/>
              <w:szCs w:val="21"/>
            </w:rPr>
            <w:alias w:val="是否适用：股份支付的修改、终止情况[双击切换]"/>
            <w:tag w:val="_GBC_6da986e9834d42b9bb7548673f325962"/>
            <w:id w:val="6776213"/>
            <w:lock w:val="sdtContentLocked"/>
            <w:placeholder>
              <w:docPart w:val="GBC22222222222222222222222222222"/>
            </w:placeholder>
          </w:sdtPr>
          <w:sdtEndPr>
            <w:rPr>
              <w:rFonts w:hint="eastAsia"/>
              <w:szCs w:val="21"/>
            </w:rPr>
          </w:sdtEndPr>
          <w:sdtContent>
            <w:p>
              <w:pPr>
                <w:rPr>
                  <w:rFonts w:asciiTheme="minorHAnsi" w:hAnsiTheme="minorHAnsi" w:eastAsiaTheme="minorEastAsia" w:cstheme="minorBidi"/>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ind w:firstLine="210" w:firstLineChars="100"/>
        <w:rPr>
          <w:szCs w:val="21"/>
        </w:rPr>
      </w:pPr>
    </w:p>
    <w:sdt>
      <w:sdtPr>
        <w:rPr>
          <w:rFonts w:ascii="宋体" w:hAnsi="宋体" w:cs="宋体"/>
          <w:b w:val="0"/>
          <w:bCs w:val="0"/>
          <w:kern w:val="0"/>
          <w:szCs w:val="21"/>
        </w:rPr>
        <w:alias w:val="模块:股份支付的其他情况说明"/>
        <w:tag w:val="_GBC_d9554f13d811474eab6fe8ab0c5c8811"/>
        <w:id w:val="6776216"/>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105"/>
            </w:numPr>
            <w:rPr>
              <w:szCs w:val="21"/>
            </w:rPr>
          </w:pPr>
          <w:r>
            <w:rPr>
              <w:rFonts w:hint="eastAsia"/>
              <w:szCs w:val="21"/>
            </w:rPr>
            <w:t>其他</w:t>
          </w:r>
        </w:p>
        <w:sdt>
          <w:sdtPr>
            <w:rPr>
              <w:rFonts w:hint="eastAsia"/>
              <w:szCs w:val="21"/>
            </w:rPr>
            <w:alias w:val="是否适用：股份支付的其他情况说明[双击切换]"/>
            <w:tag w:val="_GBC_d03d26e0d4844b798c3d4b87d2578ece"/>
            <w:id w:val="6776215"/>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pStyle w:val="3"/>
        <w:numPr>
          <w:ilvl w:val="0"/>
          <w:numId w:val="54"/>
        </w:numPr>
      </w:pPr>
      <w:r>
        <w:rPr>
          <w:rFonts w:hint="eastAsia"/>
        </w:rPr>
        <w:t>承诺及或有事项</w:t>
      </w:r>
    </w:p>
    <w:p>
      <w:pPr>
        <w:pStyle w:val="4"/>
        <w:numPr>
          <w:ilvl w:val="0"/>
          <w:numId w:val="106"/>
        </w:numPr>
        <w:rPr>
          <w:rFonts w:ascii="宋体" w:hAnsi="宋体"/>
        </w:rPr>
      </w:pPr>
      <w:r>
        <w:rPr>
          <w:rFonts w:hint="eastAsia" w:ascii="宋体" w:hAnsi="宋体"/>
        </w:rPr>
        <w:t>重要承诺事项</w:t>
      </w:r>
    </w:p>
    <w:sdt>
      <w:sdtPr>
        <w:alias w:val="是否适用：重要承诺事项[双击切换]"/>
        <w:tag w:val="_GBC_568be9a6805040a8b9fbd5c5d07b45dd"/>
        <w:id w:val="677621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
      <w:pPr>
        <w:pStyle w:val="4"/>
        <w:numPr>
          <w:ilvl w:val="0"/>
          <w:numId w:val="106"/>
        </w:numPr>
      </w:pPr>
      <w:r>
        <w:rPr>
          <w:rFonts w:hint="eastAsia"/>
        </w:rPr>
        <w:t>或有事项</w:t>
      </w:r>
    </w:p>
    <w:sdt>
      <w:sdtPr>
        <w:rPr>
          <w:rFonts w:hint="eastAsia" w:ascii="宋体" w:hAnsi="宋体" w:cs="宋体"/>
          <w:b w:val="0"/>
          <w:bCs w:val="0"/>
          <w:kern w:val="0"/>
          <w:szCs w:val="24"/>
        </w:rPr>
        <w:alias w:val="模块:资产负债表日存在的或有事项"/>
        <w:tag w:val="_SEC_6da34404b73540309fc9634730ac0066"/>
        <w:id w:val="6776220"/>
        <w:lock w:val="sdtLocked"/>
        <w:placeholder>
          <w:docPart w:val="GBC22222222222222222222222222222"/>
        </w:placeholder>
      </w:sdtPr>
      <w:sdtEndPr>
        <w:rPr>
          <w:rFonts w:hint="eastAsia" w:asciiTheme="minorHAnsi" w:hAnsiTheme="minorHAnsi" w:cstheme="minorBidi"/>
          <w:b w:val="0"/>
          <w:bCs w:val="0"/>
          <w:kern w:val="0"/>
          <w:szCs w:val="24"/>
        </w:rPr>
      </w:sdtEndPr>
      <w:sdtContent>
        <w:p>
          <w:pPr>
            <w:pStyle w:val="5"/>
            <w:numPr>
              <w:ilvl w:val="0"/>
              <w:numId w:val="107"/>
            </w:numPr>
            <w:tabs>
              <w:tab w:val="left" w:pos="616"/>
            </w:tabs>
          </w:pPr>
          <w:r>
            <w:rPr>
              <w:rFonts w:hint="eastAsia"/>
            </w:rPr>
            <w:t>资产负债表日存在的重要或有事项</w:t>
          </w:r>
        </w:p>
        <w:sdt>
          <w:sdtPr>
            <w:rPr>
              <w:rFonts w:hint="eastAsia"/>
            </w:rPr>
            <w:alias w:val="是否适用：资产负债表日存在的重要或有事项[双击切换]"/>
            <w:tag w:val="_GBC_d987504ad98e408986b4fc6f62089ffe"/>
            <w:id w:val="6776218"/>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资产负债表日存在的重要或有事项"/>
            <w:tag w:val="_GBC_44fe1af4de6e4875a4861efb466efdca"/>
            <w:id w:val="6776219"/>
            <w:lock w:val="sdtLocked"/>
            <w:placeholder>
              <w:docPart w:val="GBC22222222222222222222222222222"/>
            </w:placeholder>
          </w:sdtPr>
          <w:sdtContent>
            <w:p>
              <w:r>
                <w:rPr>
                  <w:rFonts w:hint="eastAsia"/>
                </w:rPr>
                <w:t>（</w:t>
              </w:r>
              <w:r>
                <w:t>1）柳钢股份与华夏银行股份有限公司南宁青秀支行、广西利澳贸易有限公司票据合同纠纷案</w:t>
              </w:r>
            </w:p>
            <w:p>
              <w:r>
                <w:rPr>
                  <w:rFonts w:hint="eastAsia"/>
                </w:rPr>
                <w:t>柳钢股份诉华夏银行股份有限公司南宁青秀支行、广西利澳贸易有限公司票据纠纷案，</w:t>
              </w:r>
              <w:r>
                <w:t>2017年6月16日南宁市青秀区人民法院一审判决驳回柳钢股份所有诉请，2017年7月，柳钢股份不服一审判决，已向南宁中院提起上诉，</w:t>
              </w:r>
              <w:r>
                <w:rPr>
                  <w:rFonts w:hint="eastAsia"/>
                </w:rPr>
                <w:t>2018年2月收到法院传票等待开庭。</w:t>
              </w:r>
            </w:p>
            <w:p/>
            <w:p>
              <w:r>
                <w:rPr>
                  <w:rFonts w:hint="eastAsia"/>
                </w:rPr>
                <w:t>（</w:t>
              </w:r>
              <w:r>
                <w:t>2）柳钢股份与广西南宁信用社、广西恒赢公司、广西天佑公司、广西盛钢公司、吴璘等金融借款合同纠纷案</w:t>
              </w:r>
            </w:p>
            <w:p>
              <w:r>
                <w:rPr>
                  <w:rFonts w:hint="eastAsia"/>
                </w:rPr>
                <w:t>广西南宁信用社诉称广西恒赢等公司将其在柳钢股份公司应收账款质押给南宁信用社融资，融资到期，广西恒赢等公司无法还款，南宁信用社要求柳钢股份支付应收账款，涉及金额</w:t>
              </w:r>
              <w:r>
                <w:t>8933.3万元。案件在南宁中院、南宁青秀区法院已裁决，认为本案有经济犯罪嫌疑，驳回南宁信用社的起诉</w:t>
              </w:r>
              <w:r>
                <w:rPr>
                  <w:rFonts w:hint="eastAsia"/>
                </w:rPr>
                <w:t>，移送公安机关处理。</w:t>
              </w:r>
            </w:p>
            <w:p/>
            <w:p>
              <w:r>
                <w:rPr>
                  <w:rFonts w:hint="eastAsia"/>
                </w:rPr>
                <w:t>（</w:t>
              </w:r>
              <w:r>
                <w:t>3）柳钢股份与工商银行衡阳分行、湖南衡阳泽丰园公司金融借款合同纠纷案</w:t>
              </w:r>
            </w:p>
            <w:p>
              <w:r>
                <w:rPr>
                  <w:rFonts w:hint="eastAsia"/>
                </w:rPr>
                <w:t>工商银行衡阳分行诉请泽丰园公司偿还贷款本金及利息共计金额</w:t>
              </w:r>
              <w:r>
                <w:t>2762.8万元，同时请求柳钢股份公司及柳州瑞昱国贸公司将不低于上述金额的应付账款支付到泽丰园公司在工商银行衡阳分行的账户，用以偿还贷款本息。</w:t>
              </w:r>
              <w:r>
                <w:rPr>
                  <w:rFonts w:hint="eastAsia"/>
                </w:rPr>
                <w:t>2017年12月湖南省衡阳县法院一审判决，认定柳钢股份、瑞昱公司非泽丰园公司借款担保人，驳回工商银行衡阳分行要求柳钢股份支付应付账款的请求。</w:t>
              </w:r>
            </w:p>
          </w:sdtContent>
        </w:sdt>
        <w:p/>
      </w:sdtContent>
    </w:sdt>
    <w:sdt>
      <w:sdtPr>
        <w:rPr>
          <w:rFonts w:hint="eastAsia" w:ascii="宋体" w:hAnsi="宋体" w:cs="宋体"/>
          <w:b w:val="0"/>
          <w:bCs w:val="0"/>
          <w:kern w:val="0"/>
          <w:szCs w:val="24"/>
        </w:rPr>
        <w:alias w:val="模块:公司没有需要披露的或有事项，也应予以说明"/>
        <w:tag w:val="_SEC_07f5db79000646bfa85b73f1179896b8"/>
        <w:id w:val="6776222"/>
        <w:lock w:val="sdtLocked"/>
        <w:placeholder>
          <w:docPart w:val="GBC22222222222222222222222222222"/>
        </w:placeholder>
      </w:sdtPr>
      <w:sdtEndPr>
        <w:rPr>
          <w:rFonts w:hint="eastAsia" w:asciiTheme="minorHAnsi" w:hAnsiTheme="minorHAnsi" w:cstheme="minorBidi"/>
          <w:b w:val="0"/>
          <w:bCs w:val="0"/>
          <w:kern w:val="0"/>
          <w:szCs w:val="24"/>
        </w:rPr>
      </w:sdtEndPr>
      <w:sdtContent>
        <w:p>
          <w:pPr>
            <w:pStyle w:val="5"/>
            <w:numPr>
              <w:ilvl w:val="0"/>
              <w:numId w:val="107"/>
            </w:numPr>
            <w:tabs>
              <w:tab w:val="left" w:pos="616"/>
            </w:tabs>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6776221"/>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SEC_95ab34fb3b4a4254a4373a5a29c6b84d"/>
        <w:id w:val="6776224"/>
        <w:lock w:val="sdtLocked"/>
        <w:placeholder>
          <w:docPart w:val="GBC22222222222222222222222222222"/>
        </w:placeholder>
      </w:sdtPr>
      <w:sdtEndPr>
        <w:rPr>
          <w:rFonts w:ascii="宋体" w:hAnsi="宋体" w:cs="宋体"/>
          <w:b w:val="0"/>
          <w:bCs w:val="0"/>
          <w:kern w:val="0"/>
          <w:szCs w:val="24"/>
        </w:rPr>
      </w:sdtEndPr>
      <w:sdtContent>
        <w:p>
          <w:pPr>
            <w:pStyle w:val="4"/>
            <w:numPr>
              <w:ilvl w:val="0"/>
              <w:numId w:val="106"/>
            </w:numPr>
          </w:pPr>
          <w:r>
            <w:rPr>
              <w:rFonts w:hint="eastAsia"/>
            </w:rPr>
            <w:t>其他</w:t>
          </w:r>
        </w:p>
        <w:sdt>
          <w:sdtPr>
            <w:rPr>
              <w:rFonts w:hint="eastAsia"/>
            </w:rPr>
            <w:alias w:val="是否适用：承诺及或有事项的其他情况说明[双击切换]"/>
            <w:tag w:val="_GBC_cf5b3c02da904b4ea27843983d9a6248"/>
            <w:id w:val="6776223"/>
            <w:lock w:val="sdtContentLocked"/>
            <w:placeholder>
              <w:docPart w:val="GBC22222222222222222222222222222"/>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p>
      <w:pPr>
        <w:pStyle w:val="3"/>
        <w:numPr>
          <w:ilvl w:val="0"/>
          <w:numId w:val="54"/>
        </w:numPr>
      </w:pPr>
      <w:r>
        <w:rPr>
          <w:rFonts w:hint="eastAsia"/>
        </w:rPr>
        <w:t>资产负债表日后事项</w:t>
      </w:r>
    </w:p>
    <w:sdt>
      <w:sdtPr>
        <w:rPr>
          <w:rFonts w:hint="eastAsia" w:ascii="宋体" w:hAnsi="宋体" w:cs="宋体"/>
          <w:b w:val="0"/>
          <w:bCs w:val="0"/>
          <w:kern w:val="0"/>
          <w:szCs w:val="24"/>
        </w:rPr>
        <w:alias w:val="模块:重要的非调整事项"/>
        <w:tag w:val="_SEC_3654dcc239a241d4891042df05a6f256"/>
        <w:id w:val="6776226"/>
        <w:lock w:val="sdtLocked"/>
        <w:placeholder>
          <w:docPart w:val="GBC22222222222222222222222222222"/>
        </w:placeholder>
      </w:sdtPr>
      <w:sdtEndPr>
        <w:rPr>
          <w:rFonts w:hint="eastAsia" w:asciiTheme="minorHAnsi" w:hAnsiTheme="minorHAnsi" w:eastAsiaTheme="minorEastAsia" w:cstheme="minorBidi"/>
          <w:b w:val="0"/>
          <w:bCs w:val="0"/>
          <w:kern w:val="0"/>
          <w:szCs w:val="22"/>
        </w:rPr>
      </w:sdtEndPr>
      <w:sdtContent>
        <w:p>
          <w:pPr>
            <w:pStyle w:val="4"/>
            <w:numPr>
              <w:ilvl w:val="0"/>
              <w:numId w:val="108"/>
            </w:numPr>
          </w:pPr>
          <w:r>
            <w:rPr>
              <w:rFonts w:hint="eastAsia"/>
            </w:rPr>
            <w:t>重要的非调整事项</w:t>
          </w:r>
        </w:p>
        <w:sdt>
          <w:sdtPr>
            <w:alias w:val="是否适用：重要的非调整事项[双击切换]"/>
            <w:tag w:val="_GBC_5d94a9ce52454687be716014c1894fef"/>
            <w:id w:val="6776225"/>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资产负债表日后利润分配情况说明"/>
        <w:tag w:val="_SEC_a0182471338a435e9bfa33dc5b5d68ed"/>
        <w:id w:val="6776232"/>
        <w:lock w:val="sdtLocked"/>
        <w:placeholder>
          <w:docPart w:val="GBC22222222222222222222222222222"/>
        </w:placeholder>
      </w:sdtPr>
      <w:sdtEndPr>
        <w:rPr>
          <w:rFonts w:hint="default" w:asciiTheme="minorHAnsi" w:hAnsiTheme="minorHAnsi" w:eastAsiaTheme="minorEastAsia" w:cstheme="minorBidi"/>
          <w:b w:val="0"/>
          <w:bCs w:val="0"/>
          <w:kern w:val="0"/>
          <w:szCs w:val="21"/>
        </w:rPr>
      </w:sdtEndPr>
      <w:sdtContent>
        <w:p>
          <w:pPr>
            <w:pStyle w:val="4"/>
            <w:numPr>
              <w:ilvl w:val="0"/>
              <w:numId w:val="108"/>
            </w:numPr>
          </w:pPr>
          <w:r>
            <w:rPr>
              <w:rFonts w:hint="eastAsia"/>
            </w:rPr>
            <w:t>利润分配情况</w:t>
          </w:r>
        </w:p>
        <w:sdt>
          <w:sdtPr>
            <w:alias w:val="是否适用：利润分配情况[双击切换]"/>
            <w:tag w:val="_GBC_9a91fb54a6c146e5b9ee1ecff3141237"/>
            <w:id w:val="6776227"/>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67762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6776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3"/>
            <w:gridCol w:w="5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262968d8f642798440b0d07b3a1dda"/>
                <w:id w:val="6776230"/>
                <w:lock w:val="sdtLocked"/>
              </w:sdtPr>
              <w:sdtContent>
                <w:tc>
                  <w:tcPr>
                    <w:tcW w:w="3723"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拟分配的利润或股利</w:t>
                    </w:r>
                  </w:p>
                </w:tc>
              </w:sdtContent>
            </w:sdt>
            <w:tc>
              <w:tcPr>
                <w:tcW w:w="5326" w:type="dxa"/>
                <w:tcBorders>
                  <w:top w:val="single" w:color="auto" w:sz="4" w:space="0"/>
                  <w:left w:val="single" w:color="auto" w:sz="4" w:space="0"/>
                  <w:bottom w:val="single" w:color="auto" w:sz="4" w:space="0"/>
                  <w:right w:val="single" w:color="auto" w:sz="4" w:space="0"/>
                </w:tcBorders>
              </w:tcPr>
              <w:p>
                <w:pPr>
                  <w:jc w:val="right"/>
                  <w:rPr>
                    <w:szCs w:val="21"/>
                  </w:rPr>
                </w:pPr>
                <w:r>
                  <w:rPr>
                    <w:szCs w:val="21"/>
                  </w:rPr>
                  <w:t>1,281,396,600</w:t>
                </w:r>
                <w:r>
                  <w:rPr>
                    <w:rFonts w:hint="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700532321ff4d58acce19d491336488"/>
                <w:id w:val="6776231"/>
                <w:lock w:val="sdtLocked"/>
              </w:sdtPr>
              <w:sdtContent>
                <w:tc>
                  <w:tcPr>
                    <w:tcW w:w="3723"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经审议批准宣告发放的利润或股利</w:t>
                    </w:r>
                  </w:p>
                </w:tc>
              </w:sdtContent>
            </w:sdt>
            <w:tc>
              <w:tcPr>
                <w:tcW w:w="5326" w:type="dxa"/>
                <w:tcBorders>
                  <w:top w:val="single" w:color="auto" w:sz="4" w:space="0"/>
                  <w:left w:val="single" w:color="auto" w:sz="4" w:space="0"/>
                  <w:bottom w:val="single" w:color="auto" w:sz="4" w:space="0"/>
                  <w:right w:val="single" w:color="auto" w:sz="4" w:space="0"/>
                </w:tcBorders>
              </w:tcPr>
              <w:p>
                <w:pPr>
                  <w:jc w:val="right"/>
                  <w:rPr>
                    <w:szCs w:val="21"/>
                  </w:rPr>
                </w:pPr>
                <w:r>
                  <w:rPr>
                    <w:rFonts w:hint="eastAsia"/>
                    <w:szCs w:val="21"/>
                  </w:rPr>
                  <w:t>/</w:t>
                </w:r>
              </w:p>
            </w:tc>
          </w:tr>
        </w:tbl>
      </w:sdtContent>
    </w:sdt>
    <w:p>
      <w:pPr>
        <w:rPr>
          <w:szCs w:val="21"/>
        </w:rPr>
      </w:pPr>
    </w:p>
    <w:sdt>
      <w:sdtPr>
        <w:rPr>
          <w:rFonts w:ascii="宋体" w:hAnsi="宋体" w:cs="宋体"/>
          <w:b w:val="0"/>
          <w:bCs w:val="0"/>
          <w:kern w:val="0"/>
          <w:szCs w:val="21"/>
        </w:rPr>
        <w:alias w:val="模块:资产负债表日后事项-销售退回说明"/>
        <w:tag w:val="_SEC_6346fe8809f74901abff74c752033e25"/>
        <w:id w:val="6776234"/>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108"/>
            </w:numPr>
          </w:pPr>
          <w:r>
            <w:rPr>
              <w:rFonts w:hint="eastAsia"/>
              <w:szCs w:val="21"/>
            </w:rPr>
            <w:t>销售</w:t>
          </w:r>
          <w:r>
            <w:rPr>
              <w:rFonts w:hint="eastAsia"/>
            </w:rPr>
            <w:t>退回</w:t>
          </w:r>
        </w:p>
        <w:sdt>
          <w:sdtPr>
            <w:alias w:val="是否适用：销售退回[双击切换]"/>
            <w:tag w:val="_GBC_7fb2ecaa1ffb494486f4a8b2e94240d2"/>
            <w:id w:val="6776233"/>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sdt>
      <w:sdtPr>
        <w:rPr>
          <w:rFonts w:hint="eastAsia" w:ascii="宋体" w:hAnsi="宋体" w:cs="宋体"/>
          <w:b w:val="0"/>
          <w:bCs w:val="0"/>
          <w:kern w:val="0"/>
          <w:szCs w:val="24"/>
        </w:rPr>
        <w:alias w:val="模块:其他资产负债表日后事项说明"/>
        <w:tag w:val="_SEC_776c6ddc183543f7a3beb6d8a088d64e"/>
        <w:id w:val="6776237"/>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108"/>
            </w:numPr>
          </w:pPr>
          <w:r>
            <w:rPr>
              <w:rFonts w:hint="eastAsia"/>
            </w:rPr>
            <w:t>其他资产负债表日后事项说明</w:t>
          </w:r>
        </w:p>
        <w:sdt>
          <w:sdtPr>
            <w:rPr>
              <w:rFonts w:hint="eastAsia"/>
            </w:rPr>
            <w:alias w:val="是否适用：其他资产负债表日后事项说明[双击切换]"/>
            <w:tag w:val="_GBC_4fc0f824aaea4ed096cae3b9f97ff314"/>
            <w:id w:val="6776235"/>
            <w:lock w:val="sdtContentLocked"/>
            <w:placeholder>
              <w:docPart w:val="GBC22222222222222222222222222222"/>
            </w:placeholder>
          </w:sdtPr>
          <w:sdtEndPr>
            <w:rPr>
              <w:rFonts w:hint="eastAsia"/>
            </w:rPr>
          </w:sdtEnd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p>
      <w:pPr>
        <w:pStyle w:val="3"/>
        <w:numPr>
          <w:ilvl w:val="0"/>
          <w:numId w:val="54"/>
        </w:numPr>
      </w:pPr>
      <w:r>
        <w:rPr>
          <w:rFonts w:hint="eastAsia"/>
        </w:rPr>
        <w:t>其他重要事项</w:t>
      </w:r>
    </w:p>
    <w:p>
      <w:pPr>
        <w:pStyle w:val="4"/>
        <w:numPr>
          <w:ilvl w:val="0"/>
          <w:numId w:val="109"/>
        </w:numPr>
      </w:pPr>
      <w:r>
        <w:rPr>
          <w:rFonts w:hint="eastAsia"/>
        </w:rPr>
        <w:t>前期会计差错更正</w:t>
      </w:r>
    </w:p>
    <w:sdt>
      <w:sdtPr>
        <w:rPr>
          <w:rFonts w:hint="eastAsia" w:ascii="宋体" w:hAnsi="宋体" w:cs="宋体"/>
          <w:b w:val="0"/>
          <w:bCs w:val="0"/>
          <w:kern w:val="0"/>
          <w:szCs w:val="21"/>
        </w:rPr>
        <w:alias w:val="模块:会计差错更正(追溯重述)"/>
        <w:tag w:val="_SEC_4c087918288648c6a9deb057067a9fc5"/>
        <w:id w:val="6776239"/>
        <w:lock w:val="sdtLocked"/>
        <w:placeholder>
          <w:docPart w:val="GBC22222222222222222222222222222"/>
        </w:placeholder>
      </w:sdtPr>
      <w:sdtEndPr>
        <w:rPr>
          <w:rFonts w:hint="eastAsia" w:ascii="宋体" w:hAnsi="宋体" w:cs="宋体"/>
          <w:b w:val="0"/>
          <w:bCs w:val="0"/>
          <w:kern w:val="0"/>
          <w:sz w:val="20"/>
          <w:szCs w:val="21"/>
        </w:rPr>
      </w:sdtEndPr>
      <w:sdtContent>
        <w:p>
          <w:pPr>
            <w:pStyle w:val="5"/>
            <w:numPr>
              <w:ilvl w:val="0"/>
              <w:numId w:val="110"/>
            </w:numPr>
            <w:tabs>
              <w:tab w:val="left" w:pos="602"/>
            </w:tabs>
          </w:pPr>
          <w:r>
            <w:rPr>
              <w:rFonts w:hint="eastAsia"/>
            </w:rPr>
            <w:t>追溯重述法</w:t>
          </w:r>
        </w:p>
        <w:p>
          <w:pPr>
            <w:rPr>
              <w:szCs w:val="21"/>
            </w:rPr>
          </w:pPr>
          <w:sdt>
            <w:sdtPr>
              <w:rPr>
                <w:rFonts w:hint="eastAsia"/>
                <w:szCs w:val="21"/>
              </w:rPr>
              <w:alias w:val="是否适用：追溯重述法[双击切换]"/>
              <w:tag w:val="_GBC_19d462bfe01047cd87b083dddf885193"/>
              <w:id w:val="6776238"/>
              <w:lock w:val="sdtContentLocked"/>
              <w:placeholder>
                <w:docPart w:val="GBC22222222222222222222222222222"/>
              </w:placeholder>
            </w:sdtPr>
            <w:sdtEndPr>
              <w:rPr>
                <w:rFonts w:hint="eastAsia"/>
                <w:szCs w:val="21"/>
              </w:rPr>
            </w:sdtEnd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Content>
    </w:sdt>
    <w:sdt>
      <w:sdtPr>
        <w:rPr>
          <w:rFonts w:hint="eastAsia" w:ascii="宋体" w:hAnsi="宋体" w:cs="宋体"/>
          <w:b w:val="0"/>
          <w:bCs w:val="0"/>
          <w:kern w:val="0"/>
          <w:szCs w:val="24"/>
        </w:rPr>
        <w:alias w:val="模块:未来适用法本报告期是否发现采用未来适用法的前期会计差错：（..."/>
        <w:tag w:val="_SEC_77642b56d283484890d54c9ec194b354"/>
        <w:id w:val="6776241"/>
        <w:lock w:val="sdtLocked"/>
        <w:placeholder>
          <w:docPart w:val="GBC22222222222222222222222222222"/>
        </w:placeholder>
      </w:sdtPr>
      <w:sdtEndPr>
        <w:rPr>
          <w:rFonts w:hint="default" w:ascii="宋体" w:hAnsi="宋体" w:cs="宋体"/>
          <w:b w:val="0"/>
          <w:bCs w:val="0"/>
          <w:kern w:val="0"/>
          <w:szCs w:val="24"/>
        </w:rPr>
      </w:sdtEndPr>
      <w:sdtContent>
        <w:p>
          <w:pPr>
            <w:pStyle w:val="5"/>
            <w:numPr>
              <w:ilvl w:val="0"/>
              <w:numId w:val="110"/>
            </w:numPr>
            <w:tabs>
              <w:tab w:val="left" w:pos="602"/>
            </w:tabs>
            <w:rPr>
              <w:rFonts w:cs="Cambria"/>
              <w:bCs w:val="0"/>
            </w:rPr>
          </w:pPr>
          <w:r>
            <w:rPr>
              <w:rFonts w:hint="eastAsia"/>
            </w:rPr>
            <w:t>未来</w:t>
          </w:r>
          <w:r>
            <w:rPr>
              <w:rFonts w:hint="eastAsia" w:cs="Cambria"/>
              <w:bCs w:val="0"/>
            </w:rPr>
            <w:t>适用法</w:t>
          </w:r>
        </w:p>
        <w:sdt>
          <w:sdtPr>
            <w:alias w:val="是否适用：未来适用法[双击切换]"/>
            <w:tag w:val="_GBC_6fd6421ddf524335aa8fac02bc322e70"/>
            <w:id w:val="6776240"/>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债务重组"/>
        <w:tag w:val="_SEC_010853a024e74ff2955558ced7301626"/>
        <w:id w:val="6776243"/>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4"/>
            <w:numPr>
              <w:ilvl w:val="0"/>
              <w:numId w:val="109"/>
            </w:numPr>
          </w:pPr>
          <w:r>
            <w:rPr>
              <w:rFonts w:hint="eastAsia"/>
            </w:rPr>
            <w:t>债务重组</w:t>
          </w:r>
        </w:p>
        <w:sdt>
          <w:sdtPr>
            <w:alias w:val="是否适用：债务重组[双击切换]"/>
            <w:tag w:val="_GBC_1697accce6f645f7a5b19e8e900eb26c"/>
            <w:id w:val="6776242"/>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p>
      <w:pPr>
        <w:pStyle w:val="4"/>
        <w:numPr>
          <w:ilvl w:val="0"/>
          <w:numId w:val="109"/>
        </w:numPr>
      </w:pPr>
      <w:r>
        <w:rPr>
          <w:rFonts w:hint="eastAsia"/>
        </w:rPr>
        <w:t>资产置换</w:t>
      </w:r>
    </w:p>
    <w:sdt>
      <w:sdtPr>
        <w:rPr>
          <w:rFonts w:hint="eastAsia" w:ascii="宋体" w:hAnsi="宋体" w:cs="宋体"/>
          <w:b w:val="0"/>
          <w:bCs w:val="0"/>
          <w:kern w:val="0"/>
          <w:szCs w:val="24"/>
        </w:rPr>
        <w:alias w:val="模块:非货币性资产交换"/>
        <w:tag w:val="_SEC_a959a47edc2446e5acfd29b49364046c"/>
        <w:id w:val="6776245"/>
        <w:lock w:val="sdtLocked"/>
        <w:placeholder>
          <w:docPart w:val="GBC22222222222222222222222222222"/>
        </w:placeholder>
      </w:sdtPr>
      <w:sdtEndPr>
        <w:rPr>
          <w:rFonts w:hint="eastAsia" w:asciiTheme="minorHAnsi" w:hAnsiTheme="minorHAnsi" w:cstheme="minorBidi"/>
          <w:b w:val="0"/>
          <w:bCs w:val="0"/>
          <w:kern w:val="0"/>
          <w:szCs w:val="21"/>
        </w:rPr>
      </w:sdtEndPr>
      <w:sdtContent>
        <w:p>
          <w:pPr>
            <w:pStyle w:val="5"/>
            <w:numPr>
              <w:ilvl w:val="0"/>
              <w:numId w:val="111"/>
            </w:numPr>
            <w:tabs>
              <w:tab w:val="left" w:pos="644"/>
            </w:tabs>
          </w:pPr>
          <w:r>
            <w:rPr>
              <w:rFonts w:hint="eastAsia"/>
            </w:rPr>
            <w:t>非货币性资产交换</w:t>
          </w:r>
        </w:p>
        <w:sdt>
          <w:sdtPr>
            <w:rPr>
              <w:rFonts w:hint="eastAsia"/>
              <w:szCs w:val="21"/>
            </w:rPr>
            <w:alias w:val="是否适用：非货币性资产交换[双击切换]"/>
            <w:tag w:val="_GBC_480975ada702478dae8a1468d6e0c3cd"/>
            <w:id w:val="6776244"/>
            <w:lock w:val="sdtContentLocked"/>
            <w:placeholder>
              <w:docPart w:val="GBC22222222222222222222222222222"/>
            </w:placeholder>
          </w:sdtPr>
          <w:sdtEndPr>
            <w:rPr>
              <w:rFonts w:hint="eastAsia"/>
              <w:szCs w:val="21"/>
            </w:rPr>
          </w:sdtEndPr>
          <w:sdtContent>
            <w:p>
              <w:pPr>
                <w:spacing w:line="360" w:lineRule="exact"/>
                <w:ind w:right="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4"/>
        </w:rPr>
        <w:alias w:val="模块:其他资产置换资产说明"/>
        <w:tag w:val="_SEC_1d69b9d18d514fd19619562c4673a46d"/>
        <w:id w:val="6776247"/>
        <w:lock w:val="sdtLocked"/>
        <w:placeholder>
          <w:docPart w:val="GBC22222222222222222222222222222"/>
        </w:placeholder>
      </w:sdtPr>
      <w:sdtEndPr>
        <w:rPr>
          <w:rFonts w:hint="eastAsia" w:asciiTheme="minorHAnsi" w:hAnsiTheme="minorHAnsi" w:cstheme="minorBidi"/>
          <w:b w:val="0"/>
          <w:bCs w:val="0"/>
          <w:kern w:val="0"/>
          <w:szCs w:val="24"/>
        </w:rPr>
      </w:sdtEndPr>
      <w:sdtContent>
        <w:p>
          <w:pPr>
            <w:pStyle w:val="5"/>
            <w:numPr>
              <w:ilvl w:val="0"/>
              <w:numId w:val="111"/>
            </w:numPr>
            <w:tabs>
              <w:tab w:val="left" w:pos="644"/>
            </w:tabs>
          </w:pPr>
          <w:r>
            <w:rPr>
              <w:rFonts w:hint="eastAsia"/>
            </w:rPr>
            <w:t>其他资产置换</w:t>
          </w:r>
        </w:p>
        <w:sdt>
          <w:sdtPr>
            <w:rPr>
              <w:rFonts w:hint="eastAsia"/>
              <w:szCs w:val="21"/>
            </w:rPr>
            <w:alias w:val="是否适用：其他资产置换[双击切换]"/>
            <w:tag w:val="_GBC_d4d75cf02549483681739e6eb10910ff"/>
            <w:id w:val="677624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sdtContent>
    </w:sdt>
    <w:sdt>
      <w:sdtPr>
        <w:rPr>
          <w:rFonts w:hint="eastAsia" w:ascii="宋体" w:hAnsi="宋体" w:cs="宋体"/>
          <w:b w:val="0"/>
          <w:bCs w:val="0"/>
          <w:kern w:val="0"/>
          <w:szCs w:val="24"/>
        </w:rPr>
        <w:alias w:val="模块:年金计划主要内容及重大变化"/>
        <w:tag w:val="_SEC_e99af52cf73147c3943e3f4044942350"/>
        <w:id w:val="6776249"/>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4"/>
            <w:numPr>
              <w:ilvl w:val="0"/>
              <w:numId w:val="109"/>
            </w:numPr>
          </w:pPr>
          <w:r>
            <w:rPr>
              <w:rFonts w:hint="eastAsia"/>
            </w:rPr>
            <w:t>年金计划</w:t>
          </w:r>
        </w:p>
        <w:sdt>
          <w:sdtPr>
            <w:alias w:val="是否适用：年金计划[双击切换]"/>
            <w:tag w:val="_GBC_7abcd6901bc848d8b58391e0ddd63034"/>
            <w:id w:val="6776248"/>
            <w:lock w:val="sdtContentLocked"/>
            <w:placeholder>
              <w:docPart w:val="GBC22222222222222222222222222222"/>
            </w:placeholder>
          </w:sdtPr>
          <w:sdtContent>
            <w:p>
              <w:pPr>
                <w:rPr>
                  <w:rFonts w:asciiTheme="minorHAnsi" w:hAnsiTheme="minorHAnsi" w:eastAsiaTheme="minorEastAsia" w:cstheme="minorBidi"/>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szCs w:val="21"/>
        </w:rPr>
      </w:pPr>
    </w:p>
    <w:sdt>
      <w:sdtPr>
        <w:rPr>
          <w:rFonts w:hint="eastAsia" w:ascii="宋体" w:hAnsi="宋体" w:cs="宋体"/>
          <w:b w:val="0"/>
          <w:bCs w:val="0"/>
          <w:kern w:val="0"/>
          <w:szCs w:val="21"/>
        </w:rPr>
        <w:alias w:val="模块:终止经营"/>
        <w:tag w:val="_SEC_83c382ff9499445b86fea4e0e1e5715d"/>
        <w:id w:val="6776251"/>
        <w:lock w:val="sdtLocked"/>
        <w:placeholder>
          <w:docPart w:val="GBC22222222222222222222222222222"/>
        </w:placeholder>
      </w:sdtPr>
      <w:sdtEndPr>
        <w:rPr>
          <w:rFonts w:hint="eastAsia" w:ascii="宋体" w:hAnsi="宋体" w:cstheme="minorBidi"/>
          <w:b w:val="0"/>
          <w:bCs w:val="0"/>
          <w:kern w:val="2"/>
          <w:szCs w:val="21"/>
        </w:rPr>
      </w:sdtEndPr>
      <w:sdtContent>
        <w:p>
          <w:pPr>
            <w:pStyle w:val="4"/>
            <w:numPr>
              <w:ilvl w:val="0"/>
              <w:numId w:val="109"/>
            </w:numPr>
            <w:rPr>
              <w:rFonts w:ascii="宋体" w:hAnsi="宋体"/>
              <w:szCs w:val="21"/>
            </w:rPr>
          </w:pPr>
          <w:r>
            <w:rPr>
              <w:rFonts w:hint="eastAsia" w:ascii="宋体" w:hAnsi="宋体"/>
              <w:szCs w:val="21"/>
            </w:rPr>
            <w:t>终止经营</w:t>
          </w:r>
        </w:p>
        <w:p>
          <w:sdt>
            <w:sdtPr>
              <w:alias w:val="是否适用：终止经营[双击切换]"/>
              <w:tag w:val="_GBC_667e81a5639a48488e957a55e45c7763"/>
              <w:id w:val="677625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rPr>
              <w:rFonts w:cstheme="minorBidi"/>
              <w:kern w:val="2"/>
              <w:szCs w:val="21"/>
            </w:rPr>
          </w:pPr>
        </w:p>
      </w:sdtContent>
    </w:sdt>
    <w:p>
      <w:pPr>
        <w:rPr>
          <w:szCs w:val="21"/>
        </w:rPr>
      </w:pPr>
    </w:p>
    <w:p>
      <w:pPr>
        <w:pStyle w:val="4"/>
        <w:numPr>
          <w:ilvl w:val="0"/>
          <w:numId w:val="109"/>
        </w:numPr>
        <w:rPr>
          <w:rFonts w:ascii="宋体" w:hAnsi="宋体"/>
          <w:szCs w:val="21"/>
        </w:rPr>
      </w:pPr>
      <w:r>
        <w:rPr>
          <w:rFonts w:hint="eastAsia" w:ascii="宋体" w:hAnsi="宋体"/>
          <w:szCs w:val="21"/>
        </w:rPr>
        <w:t>分部信息</w:t>
      </w:r>
    </w:p>
    <w:sdt>
      <w:sdtPr>
        <w:rPr>
          <w:rFonts w:hint="eastAsia" w:ascii="宋体" w:hAnsi="宋体" w:cs="宋体"/>
          <w:b w:val="0"/>
          <w:bCs w:val="0"/>
          <w:kern w:val="0"/>
          <w:szCs w:val="21"/>
        </w:rPr>
        <w:alias w:val="模块:分部信息报告分部的确定依据与会计政策"/>
        <w:tag w:val="_SEC_dfc3b46bd4f54afdb4c7d8f4cdf9baf2"/>
        <w:id w:val="6776253"/>
        <w:lock w:val="sdtLocked"/>
        <w:placeholder>
          <w:docPart w:val="GBC22222222222222222222222222222"/>
        </w:placeholder>
      </w:sdtPr>
      <w:sdtEndPr>
        <w:rPr>
          <w:rFonts w:hint="default" w:ascii="宋体" w:hAnsi="宋体" w:cs="宋体"/>
          <w:b w:val="0"/>
          <w:bCs w:val="0"/>
          <w:kern w:val="0"/>
          <w:szCs w:val="21"/>
        </w:rPr>
      </w:sdtEndPr>
      <w:sdtContent>
        <w:p>
          <w:pPr>
            <w:pStyle w:val="5"/>
            <w:numPr>
              <w:ilvl w:val="1"/>
              <w:numId w:val="6"/>
            </w:numPr>
            <w:tabs>
              <w:tab w:val="left" w:pos="644"/>
            </w:tabs>
            <w:ind w:left="420"/>
            <w:rPr>
              <w:rFonts w:ascii="宋体" w:hAnsi="宋体"/>
              <w:szCs w:val="21"/>
            </w:rPr>
          </w:pPr>
          <w:r>
            <w:rPr>
              <w:rFonts w:hint="eastAsia" w:ascii="宋体" w:hAnsi="宋体"/>
              <w:szCs w:val="21"/>
            </w:rPr>
            <w:t>报告分部的确定依据与会计政策：</w:t>
          </w:r>
        </w:p>
        <w:sdt>
          <w:sdtPr>
            <w:rPr>
              <w:rFonts w:hint="eastAsia"/>
              <w:szCs w:val="21"/>
            </w:rPr>
            <w:alias w:val="是否适用：报告分部的确定依据与会计政策[双击切换]"/>
            <w:tag w:val="_GBC_b3cac5485321452cadb6e7ec2be5d907"/>
            <w:id w:val="6776252"/>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hint="eastAsia" w:ascii="宋体" w:hAnsi="宋体" w:cs="宋体"/>
          <w:b w:val="0"/>
          <w:bCs w:val="0"/>
          <w:kern w:val="0"/>
          <w:szCs w:val="24"/>
        </w:rPr>
        <w:alias w:val="模块:报告分部的财务信息"/>
        <w:tag w:val="_SEC_c88228a13efc40bf8facbaa3643e4cb3"/>
        <w:id w:val="6776255"/>
        <w:lock w:val="sdtLocked"/>
        <w:placeholder>
          <w:docPart w:val="GBC22222222222222222222222222222"/>
        </w:placeholder>
      </w:sdtPr>
      <w:sdtEndPr>
        <w:rPr>
          <w:rFonts w:hint="default" w:ascii="Calibri" w:hAnsi="Calibri" w:cs="Times New Roman"/>
          <w:b w:val="0"/>
          <w:bCs w:val="0"/>
          <w:kern w:val="2"/>
          <w:szCs w:val="21"/>
        </w:rPr>
      </w:sdtEndPr>
      <w:sdtContent>
        <w:p>
          <w:pPr>
            <w:pStyle w:val="5"/>
            <w:numPr>
              <w:ilvl w:val="1"/>
              <w:numId w:val="6"/>
            </w:numPr>
            <w:tabs>
              <w:tab w:val="left" w:pos="644"/>
            </w:tabs>
            <w:ind w:left="420"/>
          </w:pPr>
          <w:r>
            <w:rPr>
              <w:rFonts w:hint="eastAsia"/>
            </w:rPr>
            <w:t>报告分部的财务信息</w:t>
          </w:r>
        </w:p>
        <w:sdt>
          <w:sdtPr>
            <w:rPr>
              <w:rFonts w:hint="eastAsia" w:ascii="宋体" w:hAnsi="宋体"/>
              <w:szCs w:val="21"/>
            </w:rPr>
            <w:alias w:val="是否适用：报告分部的财务信息[双击切换]"/>
            <w:tag w:val="_GBC_560c7b592f324714b8c87339e43684af"/>
            <w:id w:val="6776254"/>
            <w:lock w:val="sdtContentLocked"/>
            <w:placeholder>
              <w:docPart w:val="GBC22222222222222222222222222222"/>
            </w:placeholder>
          </w:sdtPr>
          <w:sdtEndPr>
            <w:rPr>
              <w:rFonts w:hint="eastAsia" w:ascii="宋体" w:hAnsi="宋体"/>
              <w:szCs w:val="21"/>
            </w:rPr>
          </w:sdtEndPr>
          <w:sdtContent>
            <w:p>
              <w:pPr>
                <w:pStyle w:val="53"/>
                <w:ind w:firstLine="0" w:firstLineChars="0"/>
                <w:jc w:val="left"/>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sdtContent>
    </w:sdt>
    <w:sdt>
      <w:sdtPr>
        <w:rPr>
          <w:rFonts w:hint="eastAsia" w:ascii="宋体" w:hAnsi="宋体" w:cs="宋体"/>
          <w:b w:val="0"/>
          <w:bCs w:val="0"/>
          <w:kern w:val="0"/>
          <w:szCs w:val="21"/>
        </w:rPr>
        <w:alias w:val="模块:公司无报告分部的，或者不能披露各报告分部的资产总额和负债总额的，应说明原因"/>
        <w:tag w:val="_SEC_3849a00c602340b897b4e927f6a3c0d9"/>
        <w:id w:val="6776257"/>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1"/>
              <w:numId w:val="6"/>
            </w:numPr>
            <w:tabs>
              <w:tab w:val="left" w:pos="644"/>
            </w:tabs>
            <w:ind w:left="420"/>
            <w:rPr>
              <w:szCs w:val="21"/>
            </w:rPr>
          </w:pPr>
          <w:r>
            <w:rPr>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6776256"/>
            <w:lock w:val="sdtContentLocked"/>
            <w:placeholder>
              <w:docPart w:val="GBC22222222222222222222222222222"/>
            </w:placeholder>
          </w:sdtPr>
          <w:sdtEndPr>
            <w:rPr>
              <w:rFonts w:hint="eastAsia"/>
              <w:szCs w:val="21"/>
            </w:rPr>
          </w:sdtEndPr>
          <w:sdtContent>
            <w:p>
              <w:pPr>
                <w:jc w:val="both"/>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1"/>
        </w:rPr>
        <w:alias w:val="模块:分部信息其他说明"/>
        <w:tag w:val="_SEC_83dbb92e05854ff09d00691d7141ac0b"/>
        <w:id w:val="6776259"/>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1"/>
              <w:numId w:val="6"/>
            </w:numPr>
            <w:tabs>
              <w:tab w:val="left" w:pos="644"/>
            </w:tabs>
            <w:ind w:left="420"/>
            <w:rPr>
              <w:szCs w:val="21"/>
            </w:rPr>
          </w:pPr>
          <w:r>
            <w:rPr>
              <w:rFonts w:hint="eastAsia"/>
              <w:szCs w:val="21"/>
            </w:rPr>
            <w:t>其他</w:t>
          </w:r>
          <w:r>
            <w:rPr>
              <w:rFonts w:hint="eastAsia"/>
            </w:rPr>
            <w:t>说明</w:t>
          </w:r>
          <w:r>
            <w:rPr>
              <w:rFonts w:hint="eastAsia"/>
              <w:szCs w:val="21"/>
            </w:rPr>
            <w:t>：</w:t>
          </w:r>
        </w:p>
        <w:sdt>
          <w:sdtPr>
            <w:rPr>
              <w:rFonts w:hint="eastAsia"/>
              <w:szCs w:val="21"/>
            </w:rPr>
            <w:alias w:val="是否适用：分部信息的其他说明[双击切换]"/>
            <w:tag w:val="_GBC_a7173613038248df8d31b8ffe91e1e27"/>
            <w:id w:val="6776258"/>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rFonts w:hint="eastAsia" w:ascii="宋体" w:hAnsi="宋体" w:cs="宋体"/>
          <w:b w:val="0"/>
          <w:bCs w:val="0"/>
          <w:kern w:val="0"/>
          <w:szCs w:val="21"/>
        </w:rPr>
        <w:alias w:val="模块:其他重要事项说明"/>
        <w:tag w:val="_SEC_ba4247a6c1994dc98e0b1c339dfe0f23"/>
        <w:id w:val="6776262"/>
        <w:lock w:val="sdtLocked"/>
        <w:placeholder>
          <w:docPart w:val="GBC22222222222222222222222222222"/>
        </w:placeholder>
      </w:sdtPr>
      <w:sdtEndPr>
        <w:rPr>
          <w:rFonts w:hint="eastAsia" w:ascii="宋体" w:hAnsi="宋体" w:cstheme="minorBidi"/>
          <w:b w:val="0"/>
          <w:bCs w:val="0"/>
          <w:kern w:val="2"/>
          <w:szCs w:val="21"/>
        </w:rPr>
      </w:sdtEndPr>
      <w:sdtContent>
        <w:p>
          <w:pPr>
            <w:pStyle w:val="4"/>
            <w:numPr>
              <w:ilvl w:val="0"/>
              <w:numId w:val="109"/>
            </w:numPr>
          </w:pPr>
          <w:r>
            <w:rPr>
              <w:rFonts w:hint="eastAsia" w:ascii="宋体" w:hAnsi="宋体" w:cs="宋体"/>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6776260"/>
            <w:lock w:val="sdtContentLocked"/>
            <w:placeholder>
              <w:docPart w:val="GBC22222222222222222222222222222"/>
            </w:placeholder>
          </w:sdtPr>
          <w:sdtEndPr>
            <w:rPr>
              <w:rFonts w:hint="eastAsia"/>
              <w:szCs w:val="21"/>
            </w:rPr>
          </w:sdtEndPr>
          <w:sdtContent>
            <w:p>
              <w:pPr>
                <w:spacing w:line="360" w:lineRule="exac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对投资者决策有影响的重要交易和事项"/>
            <w:tag w:val="_GBC_69eeed05491b4fe9ac2195bc1f33422c"/>
            <w:id w:val="6776261"/>
            <w:lock w:val="sdtLocked"/>
            <w:placeholder>
              <w:docPart w:val="GBC22222222222222222222222222222"/>
            </w:placeholder>
          </w:sdtPr>
          <w:sdtEndPr>
            <w:rPr>
              <w:szCs w:val="21"/>
            </w:rPr>
          </w:sdtEndPr>
          <w:sdtContent>
            <w:p>
              <w:pPr>
                <w:spacing w:line="360" w:lineRule="exact"/>
                <w:ind w:firstLine="420" w:firstLineChars="200"/>
                <w:rPr>
                  <w:szCs w:val="21"/>
                </w:rPr>
              </w:pPr>
              <w:r>
                <w:rPr>
                  <w:rFonts w:hint="eastAsia"/>
                  <w:szCs w:val="21"/>
                </w:rPr>
                <w:t>(1)</w:t>
              </w:r>
              <w:r>
                <w:rPr>
                  <w:szCs w:val="21"/>
                </w:rPr>
                <w:t>2017年11月29日—30日，公司召开第6届董事会第18次会议，审议通过关于减量搬迁沿海项目产能置换的方案：为贯彻落实国家发改委下发的《关于做好2017年钢铁煤炭行业化解过剩产能实现脱困发展工作的意见》文件精神，按照2017年钢铁去产能实施方案中“鼓励引导广西柳钢等具备相关条件的企业，抓紧落实上述要求，适时向沿海地区实施减量搬迁”的要求，推进广西冶金产业二次创业，优化广西钢铁产业布局，结合自身未来发展需求，公司拟向沿海临港地区实施减量搬迁，打造广西沿海钢铁精品基地。（详见公司第6届董事会第18次会议决议公</w:t>
              </w:r>
              <w:r>
                <w:rPr>
                  <w:rFonts w:hint="eastAsia"/>
                  <w:szCs w:val="21"/>
                </w:rPr>
                <w:t>告，公告编号</w:t>
              </w:r>
              <w:r>
                <w:rPr>
                  <w:szCs w:val="21"/>
                </w:rPr>
                <w:t>2017-039）。</w:t>
              </w:r>
            </w:p>
            <w:p>
              <w:pPr>
                <w:spacing w:line="360" w:lineRule="exact"/>
                <w:ind w:firstLine="420" w:firstLineChars="200"/>
                <w:rPr>
                  <w:szCs w:val="21"/>
                </w:rPr>
              </w:pPr>
              <w:r>
                <w:rPr>
                  <w:rFonts w:hint="eastAsia"/>
                  <w:szCs w:val="21"/>
                </w:rPr>
                <w:t>关于产能置换的后续实施进展，公司将根据相关规定履行决策程序和信息披露义务。</w:t>
              </w:r>
            </w:p>
            <w:p>
              <w:pPr>
                <w:spacing w:line="360" w:lineRule="exact"/>
                <w:rPr>
                  <w:szCs w:val="21"/>
                </w:rPr>
              </w:pPr>
            </w:p>
            <w:p>
              <w:pPr>
                <w:spacing w:line="360" w:lineRule="exact"/>
                <w:ind w:firstLine="420" w:firstLineChars="200"/>
                <w:rPr>
                  <w:szCs w:val="21"/>
                </w:rPr>
              </w:pPr>
              <w:r>
                <w:rPr>
                  <w:rFonts w:hint="eastAsia"/>
                  <w:szCs w:val="21"/>
                </w:rPr>
                <w:t>（</w:t>
              </w:r>
              <w:r>
                <w:rPr>
                  <w:szCs w:val="21"/>
                </w:rPr>
                <w:t>2）</w:t>
              </w:r>
              <w:r>
                <w:rPr>
                  <w:rFonts w:hint="eastAsia"/>
                  <w:szCs w:val="21"/>
                </w:rPr>
                <w:t>为完善公司业务布局，优化产品结构，公司拟发行股份购买资产，于</w:t>
              </w:r>
              <w:r>
                <w:rPr>
                  <w:szCs w:val="21"/>
                </w:rPr>
                <w:t>2017年10月17日向上海证券交易所申请股票停牌，标的涉及广西中金金属科技股份有限公司的100%股权，该标的公司主要业务为不锈钢的生产，其实际控制人为王文辉及李娟。在交易推进过程中，虽经交易双方多次努力，公司与交易对方最终未能就本次交易股票发行价格的定价原则、业绩对赌条款、股票锁定期等条款达成一致。经交易双方协商一致，决定终止交易。在召开关于终止重大资产重组事项的投资者说明会后，经向上海证券交易所申请，公司股票于2018年1月18日复牌。</w:t>
              </w:r>
            </w:p>
            <w:p>
              <w:pPr>
                <w:spacing w:line="360" w:lineRule="exact"/>
                <w:ind w:firstLine="420" w:firstLineChars="200"/>
                <w:rPr>
                  <w:szCs w:val="21"/>
                </w:rPr>
              </w:pPr>
              <w:r>
                <w:rPr>
                  <w:szCs w:val="21"/>
                </w:rPr>
                <w:t>具体事项</w:t>
              </w:r>
              <w:r>
                <w:rPr>
                  <w:rFonts w:hint="eastAsia"/>
                  <w:szCs w:val="21"/>
                </w:rPr>
                <w:t>详见公司在指定信息披露媒体上披露的相关公告。</w:t>
              </w:r>
            </w:p>
          </w:sdtContent>
        </w:sdt>
      </w:sdtContent>
    </w:sdt>
    <w:p>
      <w:pPr>
        <w:rPr>
          <w:szCs w:val="21"/>
        </w:rPr>
      </w:pPr>
    </w:p>
    <w:sdt>
      <w:sdtPr>
        <w:rPr>
          <w:rFonts w:hint="eastAsia" w:ascii="宋体" w:hAnsi="宋体" w:cs="宋体"/>
          <w:b w:val="0"/>
          <w:bCs w:val="0"/>
          <w:kern w:val="0"/>
          <w:szCs w:val="21"/>
        </w:rPr>
        <w:alias w:val="模块:其他"/>
        <w:tag w:val="_SEC_626a705e9bde404ab67dae61d8e62116"/>
        <w:id w:val="6776264"/>
        <w:lock w:val="sdtLocked"/>
        <w:placeholder>
          <w:docPart w:val="GBC22222222222222222222222222222"/>
        </w:placeholder>
      </w:sdtPr>
      <w:sdtEndPr>
        <w:rPr>
          <w:rFonts w:hint="default" w:ascii="宋体" w:hAnsi="宋体" w:cs="宋体"/>
          <w:b w:val="0"/>
          <w:bCs w:val="0"/>
          <w:kern w:val="0"/>
          <w:szCs w:val="21"/>
        </w:rPr>
      </w:sdtEndPr>
      <w:sdtContent>
        <w:p>
          <w:pPr>
            <w:pStyle w:val="4"/>
            <w:numPr>
              <w:ilvl w:val="0"/>
              <w:numId w:val="109"/>
            </w:numPr>
            <w:rPr>
              <w:szCs w:val="21"/>
            </w:rPr>
          </w:pPr>
          <w:r>
            <w:rPr>
              <w:rFonts w:hint="eastAsia" w:ascii="宋体" w:hAnsi="宋体"/>
              <w:szCs w:val="21"/>
            </w:rPr>
            <w:t>其他</w:t>
          </w:r>
        </w:p>
        <w:sdt>
          <w:sdtPr>
            <w:rPr>
              <w:rFonts w:hint="eastAsia"/>
              <w:szCs w:val="21"/>
            </w:rPr>
            <w:alias w:val="是否适用：其他重要事项的说明[双击切换]"/>
            <w:tag w:val="_GBC_fb43f52ac5bc49a4b33e34d6b1758f09"/>
            <w:id w:val="677626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pStyle w:val="3"/>
        <w:numPr>
          <w:ilvl w:val="0"/>
          <w:numId w:val="54"/>
        </w:numPr>
        <w:rPr>
          <w:rFonts w:ascii="宋体" w:hAnsi="宋体"/>
        </w:rPr>
      </w:pPr>
      <w:r>
        <w:rPr>
          <w:rFonts w:hint="eastAsia" w:ascii="宋体" w:hAnsi="宋体"/>
        </w:rPr>
        <w:t>母公司财务报表主要项目注释</w:t>
      </w:r>
    </w:p>
    <w:p>
      <w:pPr>
        <w:pStyle w:val="4"/>
        <w:numPr>
          <w:ilvl w:val="0"/>
          <w:numId w:val="112"/>
        </w:numPr>
        <w:rPr>
          <w:rFonts w:ascii="宋体" w:hAnsi="宋体"/>
          <w:szCs w:val="21"/>
        </w:rPr>
      </w:pPr>
      <w:r>
        <w:rPr>
          <w:rFonts w:hint="eastAsia" w:ascii="宋体" w:hAnsi="宋体"/>
          <w:szCs w:val="21"/>
        </w:rPr>
        <w:t>应收账款</w:t>
      </w:r>
    </w:p>
    <w:sdt>
      <w:sdtPr>
        <w:rPr>
          <w:rFonts w:ascii="宋体" w:hAnsi="宋体" w:cs="宋体"/>
          <w:b w:val="0"/>
          <w:bCs w:val="0"/>
          <w:kern w:val="0"/>
          <w:szCs w:val="21"/>
        </w:rPr>
        <w:alias w:val="模块:应收账款分类披露"/>
        <w:tag w:val="_GBC_b7030f280c0c47f4835cb57286097a50"/>
        <w:id w:val="6776266"/>
        <w:lock w:val="sdtLocked"/>
        <w:placeholder>
          <w:docPart w:val="GBC22222222222222222222222222222"/>
        </w:placeholder>
      </w:sdtPr>
      <w:sdtEndPr>
        <w:rPr>
          <w:rFonts w:ascii="宋体" w:hAnsi="宋体" w:cs="宋体"/>
          <w:b w:val="0"/>
          <w:bCs w:val="0"/>
          <w:kern w:val="0"/>
          <w:szCs w:val="21"/>
        </w:rPr>
      </w:sdtEndPr>
      <w:sdtContent>
        <w:p>
          <w:pPr>
            <w:pStyle w:val="5"/>
            <w:numPr>
              <w:ilvl w:val="0"/>
              <w:numId w:val="113"/>
            </w:numPr>
            <w:tabs>
              <w:tab w:val="left" w:pos="630"/>
            </w:tabs>
            <w:rPr>
              <w:rFonts w:ascii="宋体" w:hAnsi="宋体"/>
              <w:kern w:val="0"/>
              <w:szCs w:val="21"/>
            </w:rPr>
          </w:pPr>
          <w:r>
            <w:rPr>
              <w:rFonts w:ascii="宋体" w:hAnsi="宋体"/>
              <w:szCs w:val="21"/>
            </w:rPr>
            <w:t>应收账款</w:t>
          </w:r>
          <w:r>
            <w:rPr>
              <w:rFonts w:hint="eastAsia" w:ascii="宋体" w:hAnsi="宋体"/>
              <w:szCs w:val="21"/>
            </w:rPr>
            <w:t>分</w:t>
          </w:r>
          <w:r>
            <w:rPr>
              <w:rFonts w:ascii="宋体" w:hAnsi="宋体"/>
              <w:szCs w:val="21"/>
            </w:rPr>
            <w:t>类</w:t>
          </w:r>
          <w:r>
            <w:rPr>
              <w:rFonts w:hint="eastAsia" w:ascii="宋体" w:hAnsi="宋体"/>
              <w:szCs w:val="21"/>
            </w:rPr>
            <w:t>披露：</w:t>
          </w:r>
        </w:p>
        <w:sdt>
          <w:sdtPr>
            <w:rPr>
              <w:rFonts w:hint="eastAsia"/>
              <w:szCs w:val="21"/>
            </w:rPr>
            <w:alias w:val="是否适用：母公司应收账款分类披露[双击切换]"/>
            <w:tag w:val="_GBC_900790c89e5c4416b8352e128ae028ab"/>
            <w:id w:val="6776265"/>
            <w:lock w:val="sdtContentLocked"/>
            <w:placeholder>
              <w:docPart w:val="GBC22222222222222222222222222222"/>
            </w:placeholder>
          </w:sdtPr>
          <w:sdtEndPr>
            <w:rPr>
              <w:rFonts w:hint="eastAsia"/>
              <w:szCs w:val="21"/>
            </w:rPr>
          </w:sdtEndPr>
          <w:sdtContent>
            <w:p>
              <w:pPr>
                <w:autoSpaceDE w:val="0"/>
                <w:autoSpaceDN w:val="0"/>
                <w:adjustRightInd w:val="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期末单项金额重大并单项计提坏账准备的应收账款"/>
        <w:tag w:val="_GBC_fc699e47282143dd8c7617426c36d7b0"/>
        <w:id w:val="6776268"/>
        <w:lock w:val="sdtLocked"/>
        <w:placeholder>
          <w:docPart w:val="GBC22222222222222222222222222222"/>
        </w:placeholder>
      </w:sdtPr>
      <w:sdtEndPr>
        <w:rPr>
          <w:rFonts w:hint="eastAsia"/>
          <w:szCs w:val="21"/>
        </w:rPr>
      </w:sdtEndPr>
      <w:sdtContent>
        <w:p>
          <w:pPr>
            <w:spacing w:before="60" w:after="60"/>
            <w:rPr>
              <w:szCs w:val="21"/>
            </w:rPr>
          </w:pPr>
          <w:r>
            <w:rPr>
              <w:szCs w:val="21"/>
            </w:rPr>
            <w:t>期末单项金额</w:t>
          </w:r>
          <w:r>
            <w:rPr>
              <w:rFonts w:hint="eastAsia"/>
              <w:szCs w:val="21"/>
            </w:rPr>
            <w:t>重大并单项计提坏账准备</w:t>
          </w:r>
          <w:r>
            <w:rPr>
              <w:szCs w:val="21"/>
            </w:rPr>
            <w:t>的应收账款</w:t>
          </w:r>
          <w:r>
            <w:rPr>
              <w:rFonts w:hint="eastAsia"/>
              <w:szCs w:val="21"/>
            </w:rPr>
            <w:t>：</w:t>
          </w:r>
        </w:p>
        <w:sdt>
          <w:sdtPr>
            <w:rPr>
              <w:rFonts w:hint="eastAsia"/>
              <w:szCs w:val="21"/>
            </w:rPr>
            <w:alias w:val="是否适用：母公司单项金额重大并单项计提坏账准备的应收账款[双击切换]"/>
            <w:tag w:val="_GBC_837177d1f6e94831b535a82e693d45d3"/>
            <w:id w:val="6776267"/>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MACROBUTTON  SnrToggleCheckbox √不适用</w:instrText>
              </w:r>
              <w:r>
                <w:rPr>
                  <w:szCs w:val="21"/>
                </w:rPr>
                <w:fldChar w:fldCharType="end"/>
              </w:r>
            </w:p>
          </w:sdtContent>
        </w:sdt>
      </w:sdtContent>
    </w:sdt>
    <w:sdt>
      <w:sdtPr>
        <w:rPr>
          <w:rFonts w:hint="eastAsia"/>
          <w:szCs w:val="21"/>
        </w:rPr>
        <w:alias w:val="模块:组合中，按账龄分析法计提坏账准备的应收账款"/>
        <w:tag w:val="_GBC_f44cec1af5094a96a29dd8e92ee27b70"/>
        <w:id w:val="6776270"/>
        <w:lock w:val="sdtLocked"/>
        <w:placeholder>
          <w:docPart w:val="GBC22222222222222222222222222222"/>
        </w:placeholder>
      </w:sdtPr>
      <w:sdtEndPr>
        <w:rPr>
          <w:rFonts w:hint="default"/>
          <w:szCs w:val="21"/>
        </w:rPr>
      </w:sdtEndPr>
      <w:sdtContent>
        <w:p>
          <w:pPr>
            <w:spacing w:before="60" w:after="60"/>
            <w:rPr>
              <w:szCs w:val="21"/>
            </w:rPr>
          </w:pPr>
          <w:r>
            <w:rPr>
              <w:rFonts w:hint="eastAsia"/>
              <w:szCs w:val="21"/>
            </w:rPr>
            <w:t>组合中，按账龄分析法计提坏账准备的应收账款：</w:t>
          </w:r>
        </w:p>
        <w:sdt>
          <w:sdtPr>
            <w:rPr>
              <w:szCs w:val="21"/>
            </w:rPr>
            <w:alias w:val="是否适用：母公司组合中，按账龄分析法计提坏账准备的应收账款[双击切换]"/>
            <w:tag w:val="_GBC_0a11a3bd15dd4fa882e7b9f16b5e3b07"/>
            <w:id w:val="6776269"/>
            <w:lock w:val="sdtContentLocked"/>
            <w:placeholder>
              <w:docPart w:val="GBC22222222222222222222222222222"/>
            </w:placeholder>
          </w:sdtPr>
          <w:sdtEndPr>
            <w:rPr>
              <w:szCs w:val="21"/>
            </w:rPr>
          </w:sdtEndPr>
          <w:sdtContent>
            <w:p>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autoSpaceDE w:val="0"/>
            <w:autoSpaceDN w:val="0"/>
            <w:adjustRightInd w:val="0"/>
            <w:rPr>
              <w:szCs w:val="21"/>
            </w:rPr>
          </w:pPr>
        </w:p>
      </w:sdtContent>
    </w:sdt>
    <w:p>
      <w:pPr>
        <w:snapToGrid w:val="0"/>
        <w:spacing w:line="240" w:lineRule="atLeast"/>
        <w:rPr>
          <w:szCs w:val="21"/>
        </w:rPr>
      </w:pPr>
    </w:p>
    <w:sdt>
      <w:sdtPr>
        <w:rPr>
          <w:rFonts w:hint="eastAsia"/>
          <w:szCs w:val="21"/>
        </w:rPr>
        <w:alias w:val="模块:组合中，采用余额百分比法计提坏账准备的应收账款"/>
        <w:tag w:val="_GBC_58c6b137334b4fceabab328538b47f7a"/>
        <w:id w:val="6776272"/>
        <w:lock w:val="sdtLocked"/>
        <w:placeholder>
          <w:docPart w:val="GBC22222222222222222222222222222"/>
        </w:placeholder>
      </w:sdtPr>
      <w:sdtEndPr>
        <w:rPr>
          <w:rFonts w:hint="default"/>
          <w:szCs w:val="21"/>
        </w:rPr>
      </w:sdtEndPr>
      <w:sdtContent>
        <w:p>
          <w:pPr>
            <w:spacing w:before="60" w:after="60"/>
            <w:rPr>
              <w:szCs w:val="21"/>
            </w:rPr>
          </w:pPr>
          <w:r>
            <w:rPr>
              <w:rFonts w:hint="eastAsia"/>
              <w:szCs w:val="21"/>
            </w:rPr>
            <w:t>组合中，采用余额百分比法计提坏账准备的应收账款：</w:t>
          </w:r>
        </w:p>
        <w:sdt>
          <w:sdtPr>
            <w:rPr>
              <w:szCs w:val="21"/>
            </w:rPr>
            <w:alias w:val="是否适用：母公司组合中，采用余额百分比法计提坏账准备的应收账款[双击切换]"/>
            <w:tag w:val="_GBC_4f0de04d0ae64a7da5d2e7d03c2bbbc9"/>
            <w:id w:val="6776271"/>
            <w:lock w:val="sdtContentLocked"/>
            <w:placeholder>
              <w:docPart w:val="GBC22222222222222222222222222222"/>
            </w:placeholder>
          </w:sdtPr>
          <w:sdtEndPr>
            <w:rPr>
              <w:szCs w:val="21"/>
            </w:rPr>
          </w:sdtEndPr>
          <w:sdtContent>
            <w:p>
              <w:pPr>
                <w:tabs>
                  <w:tab w:val="left" w:pos="9720"/>
                </w:tabs>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p>
      <w:pPr>
        <w:rPr>
          <w:szCs w:val="21"/>
        </w:rPr>
      </w:pPr>
    </w:p>
    <w:sdt>
      <w:sdtPr>
        <w:rPr>
          <w:rFonts w:hint="eastAsia"/>
          <w:szCs w:val="21"/>
        </w:rPr>
        <w:alias w:val="模块:组合中，采用其他方法计提坏账准备的应收账款"/>
        <w:tag w:val="_GBC_cbcaac7ffb204fbba40a134988cfd7c3"/>
        <w:id w:val="6776274"/>
        <w:lock w:val="sdtLocked"/>
        <w:placeholder>
          <w:docPart w:val="GBC22222222222222222222222222222"/>
        </w:placeholder>
      </w:sdtPr>
      <w:sdtEndPr>
        <w:rPr>
          <w:rFonts w:hint="default"/>
          <w:szCs w:val="21"/>
        </w:rPr>
      </w:sdtEndPr>
      <w:sdtContent>
        <w:p>
          <w:pPr>
            <w:spacing w:before="60" w:after="60"/>
            <w:rPr>
              <w:szCs w:val="21"/>
            </w:rPr>
          </w:pPr>
          <w:r>
            <w:rPr>
              <w:rFonts w:hint="eastAsia"/>
              <w:szCs w:val="21"/>
            </w:rPr>
            <w:t>组合中，采用其他方法计提坏账准备的应收账款：</w:t>
          </w:r>
        </w:p>
        <w:sdt>
          <w:sdtPr>
            <w:rPr>
              <w:szCs w:val="21"/>
            </w:rPr>
            <w:alias w:val="是否适用：母公司采用其他方法计提坏账准备的应收账款说明[双击切换]"/>
            <w:tag w:val="_GBC_1b15e2019e0a401ca50f1f8c4ff4b935"/>
            <w:id w:val="6776273"/>
            <w:lock w:val="sdtContentLocked"/>
            <w:placeholder>
              <w:docPart w:val="GBC22222222222222222222222222222"/>
            </w:placeholder>
          </w:sdtPr>
          <w:sdtEndPr>
            <w:rPr>
              <w:szCs w:val="21"/>
            </w:rPr>
          </w:sdtEndPr>
          <w:sdtContent>
            <w:p>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宋体" w:hAnsi="宋体" w:cs="宋体"/>
          <w:b w:val="0"/>
          <w:bCs w:val="0"/>
          <w:kern w:val="0"/>
          <w:szCs w:val="21"/>
        </w:rPr>
        <w:alias w:val="模块:本期计提、收回或转回的坏账准备情况："/>
        <w:tag w:val="_GBC_8fa92faa63844ae7a3080f8591c6ff70"/>
        <w:id w:val="6776277"/>
        <w:lock w:val="sdtLocked"/>
        <w:placeholder>
          <w:docPart w:val="GBC22222222222222222222222222222"/>
        </w:placeholder>
      </w:sdtPr>
      <w:sdtEndPr>
        <w:rPr>
          <w:rFonts w:hint="eastAsia" w:ascii="宋体" w:hAnsi="宋体" w:cs="宋体"/>
          <w:b w:val="0"/>
          <w:bCs w:val="0"/>
          <w:kern w:val="0"/>
          <w:szCs w:val="21"/>
        </w:rPr>
      </w:sdtEndPr>
      <w:sdtContent>
        <w:p>
          <w:pPr>
            <w:pStyle w:val="5"/>
            <w:numPr>
              <w:ilvl w:val="0"/>
              <w:numId w:val="113"/>
            </w:numPr>
            <w:tabs>
              <w:tab w:val="left" w:pos="630"/>
            </w:tabs>
            <w:rPr>
              <w:szCs w:val="21"/>
            </w:rPr>
          </w:pPr>
          <w:r>
            <w:rPr>
              <w:rFonts w:hint="eastAsia"/>
              <w:szCs w:val="21"/>
            </w:rPr>
            <w:t>本期计提、收回或转回的坏账准备情况：</w:t>
          </w:r>
        </w:p>
      </w:sdtContent>
    </w:sdt>
    <w:sdt>
      <w:sdtPr>
        <w:rPr>
          <w:rFonts w:asciiTheme="minorHAnsi" w:hAnsiTheme="minorHAnsi"/>
          <w:b/>
          <w:bCs/>
          <w:szCs w:val="22"/>
        </w:rPr>
        <w:alias w:val="模块:本期转回或收回情况"/>
        <w:tag w:val="_GBC_4659654dc3bf4a4eba447daf2829f609"/>
        <w:id w:val="6776279"/>
        <w:lock w:val="sdtLocked"/>
        <w:placeholder>
          <w:docPart w:val="GBC22222222222222222222222222222"/>
        </w:placeholder>
      </w:sdtPr>
      <w:sdtEndPr>
        <w:rPr>
          <w:rFonts w:ascii="Times New Roman" w:hAnsi="Times New Roman" w:cs="Times New Roman"/>
          <w:b w:val="0"/>
          <w:bCs w:val="0"/>
          <w:kern w:val="2"/>
          <w:szCs w:val="24"/>
        </w:rPr>
      </w:sdtEndPr>
      <w:sdtContent>
        <w:p>
          <w:r>
            <w:rPr>
              <w:rFonts w:hint="eastAsia"/>
            </w:rPr>
            <w:t>其中本期坏账准备收回或转回金额重要的：</w:t>
          </w:r>
        </w:p>
        <w:sdt>
          <w:sdtPr>
            <w:alias w:val="是否适用：母公司其中本期坏账准备收回或转回金额重要的[双击切换]"/>
            <w:tag w:val="_GBC_5f9ff028d97f4757bc779516f257bedd"/>
            <w:id w:val="677627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ind w:right="-1594" w:rightChars="-759"/>
          </w:pPr>
        </w:p>
      </w:sdtContent>
    </w:sdt>
    <w:p/>
    <w:sdt>
      <w:sdtPr>
        <w:rPr>
          <w:rFonts w:hint="eastAsia" w:ascii="Times New Roman" w:hAnsi="Times New Roman" w:cs="宋体"/>
          <w:b w:val="0"/>
          <w:bCs w:val="0"/>
          <w:kern w:val="0"/>
          <w:szCs w:val="24"/>
        </w:rPr>
        <w:alias w:val="模块:本报告期实际核销的应收账款情况"/>
        <w:tag w:val="_GBC_72fe1bcd09e2470f910107f1e159af49"/>
        <w:id w:val="6776282"/>
        <w:lock w:val="sdtLocked"/>
        <w:placeholder>
          <w:docPart w:val="GBC22222222222222222222222222222"/>
        </w:placeholder>
      </w:sdtPr>
      <w:sdtEndPr>
        <w:rPr>
          <w:rFonts w:hint="default" w:ascii="宋体" w:hAnsi="宋体" w:cs="宋体"/>
          <w:b w:val="0"/>
          <w:bCs w:val="0"/>
          <w:kern w:val="0"/>
          <w:szCs w:val="24"/>
        </w:rPr>
      </w:sdtEndPr>
      <w:sdtContent>
        <w:p>
          <w:pPr>
            <w:pStyle w:val="5"/>
            <w:numPr>
              <w:ilvl w:val="0"/>
              <w:numId w:val="113"/>
            </w:numPr>
            <w:tabs>
              <w:tab w:val="left" w:pos="630"/>
            </w:tabs>
          </w:pPr>
          <w:r>
            <w:t>本期实际核销的应收</w:t>
          </w:r>
          <w:r>
            <w:rPr>
              <w:rFonts w:hint="eastAsia"/>
            </w:rPr>
            <w:t>账款</w:t>
          </w:r>
          <w:r>
            <w:t>情况</w:t>
          </w:r>
        </w:p>
        <w:sdt>
          <w:sdtPr>
            <w:alias w:val="是否适用：母公司本期实际核销的应收账款情况[双击切换]"/>
            <w:tag w:val="_GBC_a30d476ac6184bc98f9b334fa55067ac"/>
            <w:id w:val="6776280"/>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6776281"/>
            <w:lock w:val="sdtContentLocked"/>
            <w:placeholder>
              <w:docPart w:val="GBC22222222222222222222222222222"/>
            </w:placeholder>
          </w:sdtPr>
          <w:sdtEndPr>
            <w:rPr>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snapToGrid w:val="0"/>
            <w:spacing w:line="240" w:lineRule="atLeast"/>
            <w:rPr>
              <w:szCs w:val="21"/>
            </w:rPr>
          </w:pPr>
        </w:p>
        <w:p/>
      </w:sdtContent>
    </w:sdt>
    <w:sdt>
      <w:sdtPr>
        <w:rPr>
          <w:rFonts w:hint="eastAsia" w:ascii="宋体" w:hAnsi="宋体" w:cs="宋体"/>
          <w:b w:val="0"/>
          <w:bCs w:val="0"/>
          <w:kern w:val="0"/>
          <w:szCs w:val="24"/>
        </w:rPr>
        <w:alias w:val="模块:按欠款方归集的期末余额前五名的应收账款情况"/>
        <w:tag w:val="_GBC_60192a235b1d4a9bb5f69fafe3ab6f87"/>
        <w:id w:val="6776284"/>
        <w:lock w:val="sdtLocked"/>
        <w:placeholder>
          <w:docPart w:val="GBC22222222222222222222222222222"/>
        </w:placeholder>
      </w:sdtPr>
      <w:sdtEndPr>
        <w:rPr>
          <w:rFonts w:hint="default" w:ascii="宋体" w:hAnsi="宋体" w:cs="宋体"/>
          <w:b w:val="0"/>
          <w:bCs w:val="0"/>
          <w:kern w:val="0"/>
          <w:szCs w:val="21"/>
        </w:rPr>
      </w:sdtEndPr>
      <w:sdtContent>
        <w:p>
          <w:pPr>
            <w:pStyle w:val="5"/>
            <w:numPr>
              <w:ilvl w:val="0"/>
              <w:numId w:val="113"/>
            </w:numPr>
            <w:tabs>
              <w:tab w:val="left" w:pos="630"/>
            </w:tabs>
          </w:pPr>
          <w:r>
            <w:rPr>
              <w:rFonts w:hint="eastAsia"/>
            </w:rPr>
            <w:t>按欠款方归集的期末余额前五名的应收账款情况：</w:t>
          </w:r>
        </w:p>
        <w:sdt>
          <w:sdtPr>
            <w:rPr>
              <w:rFonts w:hint="eastAsia"/>
              <w:szCs w:val="21"/>
            </w:rPr>
            <w:alias w:val="是否适用：母公司按欠款方归集的期末余额前五名的应收账款情况[双击切换]"/>
            <w:tag w:val="_GBC_cbabb95d8e1348419e781d8896cafe32"/>
            <w:id w:val="6776283"/>
            <w:lock w:val="sdtContentLocked"/>
            <w:placeholder>
              <w:docPart w:val="GBC22222222222222222222222222222"/>
            </w:placeholder>
          </w:sdtPr>
          <w:sdtEndPr>
            <w:rPr>
              <w:rFonts w:hint="eastAsia"/>
              <w:szCs w:val="21"/>
            </w:rPr>
          </w:sdtEndPr>
          <w:sdtContent>
            <w:p>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ascii="Times New Roman" w:hAnsi="Times New Roman" w:cs="宋体"/>
          <w:b w:val="0"/>
          <w:bCs w:val="0"/>
          <w:kern w:val="0"/>
          <w:szCs w:val="24"/>
        </w:rPr>
        <w:alias w:val="模块:因金融资产转移而终止确认的应收账款"/>
        <w:tag w:val="_GBC_ab73666b561d47cbb383aa21715b406f"/>
        <w:id w:val="6776286"/>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0"/>
              <w:numId w:val="113"/>
            </w:numPr>
            <w:tabs>
              <w:tab w:val="left" w:pos="630"/>
            </w:tabs>
            <w:rPr>
              <w:kern w:val="0"/>
            </w:rPr>
          </w:pPr>
          <w:r>
            <w:rPr>
              <w:rFonts w:hint="eastAsia"/>
              <w:kern w:val="0"/>
            </w:rPr>
            <w:t>因</w:t>
          </w:r>
          <w:r>
            <w:rPr>
              <w:rFonts w:hint="eastAsia"/>
            </w:rPr>
            <w:t>金融资产转移</w:t>
          </w:r>
          <w:r>
            <w:rPr>
              <w:rFonts w:hint="eastAsia"/>
              <w:kern w:val="0"/>
            </w:rPr>
            <w:t>而终止确认的应收账款：</w:t>
          </w:r>
        </w:p>
        <w:sdt>
          <w:sdtPr>
            <w:rPr>
              <w:rFonts w:hint="eastAsia"/>
              <w:szCs w:val="21"/>
            </w:rPr>
            <w:alias w:val="是否适用：母公司因金融资产转移而终止确认的应收账款[双击切换]"/>
            <w:tag w:val="_GBC_99837dd63e6b487092e9bee163f867d0"/>
            <w:id w:val="6776285"/>
            <w:lock w:val="sdtContentLocked"/>
            <w:placeholder>
              <w:docPart w:val="GBC22222222222222222222222222222"/>
            </w:placeholder>
          </w:sdtPr>
          <w:sdtEndPr>
            <w:rPr>
              <w:rFonts w:hint="eastAsia"/>
              <w:szCs w:val="21"/>
            </w:rPr>
          </w:sdtEndPr>
          <w:sdtContent>
            <w:p>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snapToGrid w:val="0"/>
            <w:spacing w:line="240" w:lineRule="atLeast"/>
            <w:rPr>
              <w:rFonts w:ascii="Times New Roman" w:hAnsi="Times New Roman"/>
            </w:rPr>
          </w:pPr>
        </w:p>
      </w:sdtContent>
    </w:sdt>
    <w:sdt>
      <w:sdtPr>
        <w:rPr>
          <w:rFonts w:hint="eastAsia" w:ascii="Times New Roman" w:hAnsi="Times New Roman" w:cs="宋体"/>
          <w:b w:val="0"/>
          <w:bCs w:val="0"/>
          <w:kern w:val="0"/>
          <w:szCs w:val="24"/>
        </w:rPr>
        <w:alias w:val="模块:转移应收账款且继续涉入的，分项列示继续涉入形成的资产、负债的金额"/>
        <w:tag w:val="_GBC_0fefb2630375419f8e496c310f6ec9ee"/>
        <w:id w:val="6776288"/>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0"/>
              <w:numId w:val="113"/>
            </w:numPr>
            <w:tabs>
              <w:tab w:val="left" w:pos="630"/>
            </w:tabs>
            <w:rPr>
              <w:rFonts w:ascii="宋体" w:hAnsi="宋体"/>
            </w:rPr>
          </w:pPr>
          <w:r>
            <w:rPr>
              <w:rFonts w:hint="eastAsia" w:ascii="宋体" w:hAnsi="宋体"/>
              <w:kern w:val="0"/>
              <w:szCs w:val="21"/>
            </w:rPr>
            <w:t>转移应收账款且</w:t>
          </w:r>
          <w:r>
            <w:rPr>
              <w:rFonts w:hint="eastAsia" w:ascii="宋体" w:hAnsi="宋体"/>
            </w:rPr>
            <w:t>继续</w:t>
          </w:r>
          <w:r>
            <w:rPr>
              <w:rFonts w:hint="eastAsia" w:ascii="宋体" w:hAnsi="宋体"/>
              <w:kern w:val="0"/>
              <w:szCs w:val="21"/>
            </w:rPr>
            <w:t>涉入形成的资产、负债金额</w:t>
          </w:r>
          <w:r>
            <w:rPr>
              <w:rFonts w:hint="eastAsia" w:ascii="宋体" w:hAnsi="宋体"/>
              <w:szCs w:val="21"/>
            </w:rPr>
            <w:t>：</w:t>
          </w:r>
        </w:p>
        <w:sdt>
          <w:sdtPr>
            <w:rPr>
              <w:rFonts w:hint="eastAsia"/>
            </w:rPr>
            <w:alias w:val="是否适用：母公司转移应收账款且继续涉入形成的资产、负债金额[双击切换]"/>
            <w:tag w:val="_GBC_b5cedca581884fa7882254e959e44358"/>
            <w:id w:val="6776287"/>
            <w:lock w:val="sdtContentLocked"/>
            <w:placeholder>
              <w:docPart w:val="GBC22222222222222222222222222222"/>
            </w:placeholder>
          </w:sdtPr>
          <w:sdtEndPr>
            <w:rPr>
              <w:rFonts w:hint="eastAsia"/>
            </w:rPr>
          </w:sdtEndPr>
          <w:sdtContent>
            <w:p>
              <w:pPr>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snapToGrid w:val="0"/>
        <w:spacing w:line="240" w:lineRule="atLeast"/>
        <w:ind w:left="-105" w:leftChars="-50"/>
        <w:rPr>
          <w:rFonts w:ascii="Times New Roman" w:hAnsi="Times New Roman"/>
        </w:rPr>
      </w:pPr>
    </w:p>
    <w:sdt>
      <w:sdtPr>
        <w:rPr>
          <w:rFonts w:hint="eastAsia" w:ascii="Times New Roman" w:hAnsi="Times New Roman"/>
          <w:b/>
          <w:bCs/>
        </w:rPr>
        <w:alias w:val="模块:其他说明："/>
        <w:tag w:val="_GBC_eac4abdf299a4312a10e680c5fc79ef9"/>
        <w:id w:val="6776290"/>
        <w:lock w:val="sdtLocked"/>
        <w:placeholder>
          <w:docPart w:val="GBC22222222222222222222222222222"/>
        </w:placeholder>
      </w:sdtPr>
      <w:sdtEndPr>
        <w:rPr>
          <w:rFonts w:hint="default" w:ascii="Times New Roman" w:hAnsi="Times New Roman"/>
          <w:b w:val="0"/>
          <w:bCs w:val="0"/>
        </w:rPr>
      </w:sdtEndPr>
      <w:sdtContent>
        <w:p>
          <w:r>
            <w:rPr>
              <w:rFonts w:hint="eastAsia"/>
            </w:rPr>
            <w:t>其他</w:t>
          </w:r>
          <w:r>
            <w:t>说明：</w:t>
          </w:r>
        </w:p>
        <w:sdt>
          <w:sdtPr>
            <w:alias w:val="是否适用：母公司应收账款其他说明[双击切换]"/>
            <w:tag w:val="_GBC_4765684a53b9474f898fa6c2bd313427"/>
            <w:id w:val="6776289"/>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4"/>
        <w:numPr>
          <w:ilvl w:val="0"/>
          <w:numId w:val="112"/>
        </w:numPr>
        <w:rPr>
          <w:rFonts w:ascii="宋体" w:hAnsi="宋体"/>
          <w:szCs w:val="21"/>
        </w:rPr>
      </w:pPr>
      <w:r>
        <w:rPr>
          <w:rFonts w:hint="eastAsia" w:ascii="宋体" w:hAnsi="宋体"/>
          <w:szCs w:val="21"/>
        </w:rPr>
        <w:t>其他应收款</w:t>
      </w:r>
    </w:p>
    <w:sdt>
      <w:sdtPr>
        <w:rPr>
          <w:rFonts w:ascii="宋体" w:hAnsi="宋体" w:cstheme="minorBidi"/>
          <w:b w:val="0"/>
          <w:bCs w:val="0"/>
          <w:kern w:val="0"/>
          <w:szCs w:val="21"/>
        </w:rPr>
        <w:alias w:val="模块:其他应收款分类披露"/>
        <w:tag w:val="_GBC_5eba58c6d1994af2bc8a413fdb6fbf2c"/>
        <w:id w:val="6776292"/>
        <w:lock w:val="sdtLocked"/>
        <w:placeholder>
          <w:docPart w:val="GBC22222222222222222222222222222"/>
        </w:placeholder>
      </w:sdtPr>
      <w:sdtEndPr>
        <w:rPr>
          <w:rFonts w:ascii="宋体" w:hAnsi="宋体" w:cstheme="minorBidi"/>
          <w:b w:val="0"/>
          <w:bCs w:val="0"/>
          <w:kern w:val="0"/>
          <w:szCs w:val="21"/>
        </w:rPr>
      </w:sdtEndPr>
      <w:sdtContent>
        <w:p>
          <w:pPr>
            <w:pStyle w:val="5"/>
            <w:numPr>
              <w:ilvl w:val="0"/>
              <w:numId w:val="114"/>
            </w:numPr>
            <w:rPr>
              <w:rFonts w:ascii="宋体" w:hAnsi="宋体"/>
              <w:szCs w:val="21"/>
            </w:rPr>
          </w:pPr>
          <w:r>
            <w:rPr>
              <w:rFonts w:ascii="宋体" w:hAnsi="宋体"/>
              <w:szCs w:val="21"/>
            </w:rPr>
            <w:t>其他应收款</w:t>
          </w:r>
          <w:r>
            <w:rPr>
              <w:rFonts w:hint="eastAsia" w:ascii="宋体" w:hAnsi="宋体"/>
              <w:szCs w:val="21"/>
            </w:rPr>
            <w:t>分</w:t>
          </w:r>
          <w:r>
            <w:rPr>
              <w:rFonts w:ascii="宋体" w:hAnsi="宋体"/>
              <w:szCs w:val="21"/>
            </w:rPr>
            <w:t>类</w:t>
          </w:r>
          <w:r>
            <w:rPr>
              <w:rFonts w:hint="eastAsia" w:ascii="宋体" w:hAnsi="宋体"/>
              <w:szCs w:val="21"/>
            </w:rPr>
            <w:t>披露</w:t>
          </w:r>
          <w:r>
            <w:rPr>
              <w:rFonts w:ascii="宋体" w:hAnsi="宋体"/>
              <w:szCs w:val="21"/>
            </w:rPr>
            <w:t>：</w:t>
          </w:r>
        </w:p>
        <w:sdt>
          <w:sdtPr>
            <w:rPr>
              <w:rFonts w:hint="eastAsia"/>
            </w:rPr>
            <w:alias w:val="是否适用：母公司其他应收款分类披露[双击切换]"/>
            <w:tag w:val="_GBC_6cddf42260de4e05bcb32deac12733ef"/>
            <w:id w:val="6776291"/>
            <w:lock w:val="sdtContentLocked"/>
            <w:placeholder>
              <w:docPart w:val="GBC22222222222222222222222222222"/>
            </w:placeholder>
          </w:sdtPr>
          <w:sdtEndPr>
            <w:rPr>
              <w:rFonts w:hint="eastAsia"/>
            </w:rPr>
          </w:sdtEndPr>
          <w:sdtContent>
            <w:p>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szCs w:val="21"/>
        </w:rPr>
        <w:alias w:val="模块:期末单项金额重大并单项计提坏账准备的其他应收款"/>
        <w:tag w:val="_GBC_caea0b13e636429d96ab6e2bffd5aeb0"/>
        <w:id w:val="6776294"/>
        <w:lock w:val="sdtLocked"/>
        <w:placeholder>
          <w:docPart w:val="GBC22222222222222222222222222222"/>
        </w:placeholder>
      </w:sdtPr>
      <w:sdtEndPr>
        <w:rPr>
          <w:szCs w:val="21"/>
        </w:rPr>
      </w:sdtEndPr>
      <w:sdtContent>
        <w:p>
          <w:pPr>
            <w:spacing w:before="60" w:after="60"/>
            <w:rPr>
              <w:szCs w:val="21"/>
            </w:rPr>
          </w:pPr>
          <w:r>
            <w:rPr>
              <w:szCs w:val="21"/>
            </w:rPr>
            <w:t>期末单项金额</w:t>
          </w:r>
          <w:r>
            <w:rPr>
              <w:rFonts w:hint="eastAsia"/>
              <w:szCs w:val="21"/>
            </w:rPr>
            <w:t>重大并单项计提坏账准备</w:t>
          </w:r>
          <w:r>
            <w:rPr>
              <w:szCs w:val="21"/>
            </w:rPr>
            <w:t>的其他应收款</w:t>
          </w:r>
          <w:r>
            <w:rPr>
              <w:rFonts w:hint="eastAsia"/>
              <w:szCs w:val="21"/>
            </w:rPr>
            <w:t>：</w:t>
          </w:r>
        </w:p>
        <w:sdt>
          <w:sdtPr>
            <w:rPr>
              <w:rFonts w:hint="eastAsia"/>
              <w:szCs w:val="21"/>
            </w:rPr>
            <w:alias w:val="是否适用：母公司单项金额重大并单项计提坏帐准备的其他应收账款[双击切换]"/>
            <w:tag w:val="_GBC_0dc191e0f6174f54b58977bc6f619bdf"/>
            <w:id w:val="6776293"/>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szCs w:val="21"/>
        </w:rPr>
        <w:alias w:val="模块:组合中，按账龄分析法计提坏账准备的其他应收款"/>
        <w:tag w:val="_GBC_7633445fb4f445e9a99e716971900a22"/>
        <w:id w:val="6776296"/>
        <w:lock w:val="sdtLocked"/>
        <w:placeholder>
          <w:docPart w:val="GBC22222222222222222222222222222"/>
        </w:placeholder>
      </w:sdtPr>
      <w:sdtEndPr>
        <w:rPr>
          <w:szCs w:val="21"/>
        </w:rPr>
      </w:sdtEndPr>
      <w:sdtContent>
        <w:p>
          <w:pPr>
            <w:spacing w:before="60" w:after="60"/>
            <w:rPr>
              <w:szCs w:val="21"/>
            </w:rPr>
          </w:pPr>
          <w:r>
            <w:rPr>
              <w:rFonts w:hint="eastAsia"/>
              <w:szCs w:val="21"/>
            </w:rPr>
            <w:t>组合中，按账龄分析法计提坏账准备的其他应收款：</w:t>
          </w:r>
        </w:p>
        <w:p>
          <w:pPr>
            <w:tabs>
              <w:tab w:val="left" w:pos="9720"/>
            </w:tabs>
            <w:ind w:right="-1413" w:rightChars="-673"/>
            <w:rPr>
              <w:szCs w:val="21"/>
            </w:rPr>
          </w:pPr>
          <w:sdt>
            <w:sdtPr>
              <w:rPr>
                <w:rFonts w:hint="eastAsia"/>
                <w:szCs w:val="21"/>
              </w:rPr>
              <w:alias w:val="是否适用：母公司组合中，按账龄分析法计提坏账准备的其他应收账款[双击切换]"/>
              <w:tag w:val="_GBC_b8ebebf3180a48e4b61282a3ad0f26ab"/>
              <w:id w:val="6776295"/>
              <w:lock w:val="sdtContentLocked"/>
              <w:placeholder>
                <w:docPart w:val="GBC22222222222222222222222222222"/>
              </w:placeholder>
            </w:sdtPr>
            <w:sdtEndPr>
              <w:rPr>
                <w:rFonts w:hint="eastAsia"/>
                <w:szCs w:val="21"/>
              </w:rPr>
            </w:sdtEnd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pPr>
            <w:rPr>
              <w:szCs w:val="21"/>
            </w:rPr>
          </w:pPr>
        </w:p>
      </w:sdtContent>
    </w:sdt>
    <w:sdt>
      <w:sdtPr>
        <w:rPr>
          <w:szCs w:val="21"/>
        </w:rPr>
        <w:alias w:val="模块:组合中，采用余额百分比法计提坏账准备的其他应收款"/>
        <w:tag w:val="_GBC_05f8c9f11b8c4595a6380f2f337f34c8"/>
        <w:id w:val="6776298"/>
        <w:lock w:val="sdtLocked"/>
        <w:placeholder>
          <w:docPart w:val="GBC22222222222222222222222222222"/>
        </w:placeholder>
      </w:sdtPr>
      <w:sdtEndPr>
        <w:rPr>
          <w:szCs w:val="21"/>
        </w:rPr>
      </w:sdtEndPr>
      <w:sdtContent>
        <w:p>
          <w:pPr>
            <w:spacing w:before="60" w:after="60"/>
            <w:rPr>
              <w:szCs w:val="21"/>
            </w:rPr>
          </w:pPr>
          <w:r>
            <w:rPr>
              <w:rFonts w:hint="eastAsia"/>
              <w:szCs w:val="21"/>
            </w:rPr>
            <w:t>组合中，采用余额百分比法计提坏账准备的其他应收款：</w:t>
          </w:r>
        </w:p>
        <w:sdt>
          <w:sdtPr>
            <w:rPr>
              <w:szCs w:val="21"/>
            </w:rPr>
            <w:alias w:val="是否适用：母公司组合中，采用余额百分比法计提坏账准备的其他应收账款[双击切换]"/>
            <w:tag w:val="_GBC_fd6f8dd8b0db499f829b29e121a6fd95"/>
            <w:id w:val="6776297"/>
            <w:lock w:val="sdtContentLocked"/>
            <w:placeholder>
              <w:docPart w:val="GBC22222222222222222222222222222"/>
            </w:placeholder>
          </w:sdtPr>
          <w:sdtEndPr>
            <w:rPr>
              <w:szCs w:val="21"/>
            </w:rPr>
          </w:sdtEndPr>
          <w:sdtContent>
            <w:p>
              <w:pPr>
                <w:tabs>
                  <w:tab w:val="left" w:pos="9720"/>
                </w:tabs>
                <w:ind w:right="-1413" w:rightChars="-673"/>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sdt>
      <w:sdtPr>
        <w:rPr>
          <w:szCs w:val="21"/>
        </w:rPr>
        <w:alias w:val="模块:组合中，采用其他方法计提坏账准备的其他应收款"/>
        <w:tag w:val="_GBC_a5e67ce8345a4a69b6cd65bd1a534d71"/>
        <w:id w:val="6776300"/>
        <w:lock w:val="sdtLocked"/>
        <w:placeholder>
          <w:docPart w:val="GBC22222222222222222222222222222"/>
        </w:placeholder>
      </w:sdtPr>
      <w:sdtEndPr>
        <w:rPr>
          <w:szCs w:val="21"/>
        </w:rPr>
      </w:sdtEndPr>
      <w:sdtContent>
        <w:p>
          <w:pPr>
            <w:spacing w:before="60" w:after="60"/>
            <w:rPr>
              <w:szCs w:val="21"/>
            </w:rPr>
          </w:pPr>
          <w:r>
            <w:rPr>
              <w:rFonts w:hint="eastAsia"/>
              <w:szCs w:val="21"/>
            </w:rPr>
            <w:t>组合中，采用其他方法计提坏账准备的其他应收款：</w:t>
          </w:r>
        </w:p>
        <w:sdt>
          <w:sdtPr>
            <w:rPr>
              <w:rFonts w:hint="eastAsia"/>
              <w:szCs w:val="21"/>
            </w:rPr>
            <w:alias w:val="是否适用：母公司采用其他方法计提坏账准备的其他应收款[双击切换]"/>
            <w:tag w:val="_GBC_25e1e59c96ab48e1819ace087e98469f"/>
            <w:id w:val="6776299"/>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ascii="宋体" w:hAnsi="宋体" w:cs="宋体"/>
          <w:b w:val="0"/>
          <w:bCs w:val="0"/>
          <w:kern w:val="0"/>
          <w:szCs w:val="24"/>
        </w:rPr>
        <w:alias w:val="模块:本期转回或收回情况"/>
        <w:tag w:val="_GBC_84be6eef0da64b17b21c4f88ae994780"/>
        <w:id w:val="6776304"/>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0"/>
              <w:numId w:val="114"/>
            </w:numPr>
          </w:pPr>
          <w:r>
            <w:rPr>
              <w:rFonts w:hint="eastAsia"/>
            </w:rPr>
            <w:t>本期</w:t>
          </w:r>
          <w:r>
            <w:rPr>
              <w:rFonts w:hint="eastAsia" w:ascii="宋体" w:hAnsi="宋体"/>
              <w:szCs w:val="21"/>
            </w:rPr>
            <w:t>计提</w:t>
          </w:r>
          <w:r>
            <w:rPr>
              <w:rFonts w:hint="eastAsia"/>
            </w:rPr>
            <w:t>、收回或转回的坏账准备情况：</w:t>
          </w:r>
        </w:p>
        <w:p>
          <w:r>
            <w:rPr>
              <w:rFonts w:hint="eastAsia"/>
            </w:rPr>
            <w:t>中本期坏账准备转回或收回金额重要的：</w:t>
          </w:r>
        </w:p>
        <w:sdt>
          <w:sdtPr>
            <w:alias w:val="是否适用：母公司其中本期其他应收账款坏账准备收回或转回金额重要的[双击切换]"/>
            <w:tag w:val="_GBC_2d22f42bd839451e88fd3fd9a64a8536"/>
            <w:id w:val="6776303"/>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napToGrid w:val="0"/>
            <w:spacing w:line="240" w:lineRule="atLeast"/>
            <w:ind w:right="25" w:rightChars="12"/>
            <w:rPr>
              <w:szCs w:val="21"/>
            </w:rPr>
          </w:pPr>
        </w:p>
      </w:sdtContent>
    </w:sdt>
    <w:sdt>
      <w:sdtPr>
        <w:rPr>
          <w:rFonts w:hint="eastAsia" w:cs="宋体" w:asciiTheme="minorHAnsi" w:hAnsiTheme="minorHAnsi"/>
          <w:b w:val="0"/>
          <w:bCs w:val="0"/>
          <w:kern w:val="0"/>
          <w:szCs w:val="22"/>
        </w:rPr>
        <w:alias w:val="模块:本报告期实际核销的其他应收款情况"/>
        <w:tag w:val="_SEC_95497f8a3ba04097840502fb3e809791"/>
        <w:id w:val="6776306"/>
        <w:lock w:val="sdtLocked"/>
        <w:placeholder>
          <w:docPart w:val="GBC22222222222222222222222222222"/>
        </w:placeholder>
      </w:sdtPr>
      <w:sdtEndPr>
        <w:rPr>
          <w:rFonts w:hint="eastAsia" w:ascii="Times New Roman" w:hAnsi="Times New Roman" w:cs="Times New Roman"/>
          <w:b w:val="0"/>
          <w:bCs w:val="0"/>
          <w:kern w:val="2"/>
          <w:szCs w:val="24"/>
        </w:rPr>
      </w:sdtEndPr>
      <w:sdtContent>
        <w:p>
          <w:pPr>
            <w:pStyle w:val="5"/>
            <w:numPr>
              <w:ilvl w:val="0"/>
              <w:numId w:val="114"/>
            </w:numPr>
          </w:pPr>
          <w:r>
            <w:rPr>
              <w:rFonts w:hint="eastAsia"/>
            </w:rPr>
            <w:t>本期实际核销的其他应收款情况</w:t>
          </w:r>
        </w:p>
        <w:sdt>
          <w:sdtPr>
            <w:alias w:val="是否适用：母公司本期实际核销的其他应收款情况[双击切换]"/>
            <w:tag w:val="_GBC_1513ed448adb4dda8e855e090428591f"/>
            <w:id w:val="6776305"/>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sdtContent>
    </w:sdt>
    <w:sdt>
      <w:sdtPr>
        <w:rPr>
          <w:rFonts w:hint="eastAsia" w:ascii="宋体" w:hAnsi="宋体" w:cs="宋体"/>
          <w:b w:val="0"/>
          <w:bCs w:val="0"/>
          <w:kern w:val="0"/>
          <w:szCs w:val="24"/>
        </w:rPr>
        <w:alias w:val="模块:其他应收款按款项性质分类情况"/>
        <w:tag w:val="_SEC_71c0adb787a04266be2102ec385a07d9"/>
        <w:id w:val="6776308"/>
        <w:lock w:val="sdtLocked"/>
        <w:placeholder>
          <w:docPart w:val="GBC22222222222222222222222222222"/>
        </w:placeholder>
      </w:sdtPr>
      <w:sdtEndPr>
        <w:rPr>
          <w:rFonts w:hint="eastAsia" w:ascii="宋体" w:hAnsi="宋体" w:cs="宋体"/>
          <w:b w:val="0"/>
          <w:bCs w:val="0"/>
          <w:kern w:val="0"/>
          <w:szCs w:val="24"/>
        </w:rPr>
      </w:sdtEndPr>
      <w:sdtContent>
        <w:p>
          <w:pPr>
            <w:pStyle w:val="5"/>
            <w:numPr>
              <w:ilvl w:val="0"/>
              <w:numId w:val="114"/>
            </w:numPr>
          </w:pPr>
          <w:r>
            <w:rPr>
              <w:rFonts w:hint="eastAsia"/>
            </w:rPr>
            <w:t>其他应收款按款项性质分类情况</w:t>
          </w:r>
        </w:p>
        <w:p>
          <w:sdt>
            <w:sdtPr>
              <w:alias w:val="是否适用：母公司其他应收款按款项性质分类情况[双击切换]"/>
              <w:tag w:val="_GBC_a5e5418d19394a1c8f8093184d9b360a"/>
              <w:id w:val="6776307"/>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cs="宋体"/>
          <w:b w:val="0"/>
          <w:bCs w:val="0"/>
          <w:kern w:val="0"/>
          <w:szCs w:val="24"/>
        </w:rPr>
        <w:alias w:val="模块:按欠款方归集的期末余额前五名的其他应收款情况"/>
        <w:tag w:val="_SEC_6f759e5be9a9426cadf575a65a7d3434"/>
        <w:id w:val="6776310"/>
        <w:lock w:val="sdtLocked"/>
        <w:placeholder>
          <w:docPart w:val="GBC22222222222222222222222222222"/>
        </w:placeholder>
      </w:sdtPr>
      <w:sdtEndPr>
        <w:rPr>
          <w:rFonts w:hint="default" w:ascii="宋体" w:hAnsi="宋体" w:cs="宋体"/>
          <w:b w:val="0"/>
          <w:bCs w:val="0"/>
          <w:kern w:val="0"/>
          <w:szCs w:val="21"/>
        </w:rPr>
      </w:sdtEndPr>
      <w:sdtContent>
        <w:p>
          <w:pPr>
            <w:pStyle w:val="5"/>
            <w:numPr>
              <w:ilvl w:val="0"/>
              <w:numId w:val="114"/>
            </w:numPr>
          </w:pPr>
          <w:r>
            <w:rPr>
              <w:rFonts w:hint="eastAsia"/>
            </w:rPr>
            <w:t>按欠款方归集的期末余额前五名的其他应收款情况：</w:t>
          </w:r>
        </w:p>
        <w:p>
          <w:sdt>
            <w:sdtPr>
              <w:alias w:val="是否适用：母公司按欠款方归集的期末余额前五名的其他应收款情况[双击切换]"/>
              <w:tag w:val="_GBC_40b667221c1442478b0cdaa57feca3d8"/>
              <w:id w:val="6776309"/>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Times New Roman" w:hAnsi="Times New Roman" w:cs="宋体"/>
          <w:b w:val="0"/>
          <w:bCs w:val="0"/>
          <w:kern w:val="0"/>
          <w:szCs w:val="24"/>
        </w:rPr>
        <w:alias w:val="模块:按应收金额确认的政府补助"/>
        <w:tag w:val="_SEC_c503ea1b9c7e4198b86f2abbf23b2ab9"/>
        <w:id w:val="6776312"/>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0"/>
              <w:numId w:val="114"/>
            </w:numPr>
          </w:pPr>
          <w:r>
            <w:rPr>
              <w:rFonts w:hint="eastAsia"/>
            </w:rPr>
            <w:t>涉及政府补助的应收款项</w:t>
          </w:r>
        </w:p>
        <w:sdt>
          <w:sdtPr>
            <w:alias w:val="是否适用：母公司涉及政府补助的应收款项[双击切换]"/>
            <w:tag w:val="_GBC_5e2cfb8b8db54872b314bf1b01b59f87"/>
            <w:id w:val="6776311"/>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SEC_7f211e4933374e0fb33af86ebc3ae729"/>
        <w:id w:val="6776314"/>
        <w:lock w:val="sdtLocked"/>
        <w:placeholder>
          <w:docPart w:val="GBC22222222222222222222222222222"/>
        </w:placeholder>
      </w:sdtPr>
      <w:sdtEndPr>
        <w:rPr>
          <w:rFonts w:ascii="Times New Roman" w:hAnsi="Times New Roman" w:cs="宋体"/>
          <w:b w:val="0"/>
          <w:bCs w:val="0"/>
          <w:kern w:val="0"/>
          <w:szCs w:val="24"/>
        </w:rPr>
      </w:sdtEndPr>
      <w:sdtContent>
        <w:p>
          <w:pPr>
            <w:pStyle w:val="5"/>
            <w:numPr>
              <w:ilvl w:val="0"/>
              <w:numId w:val="114"/>
            </w:numPr>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母公司因金融资产转移而终止确认的其他应收款[双击切换]"/>
            <w:tag w:val="_GBC_a1072f4ea6b0466c87fd57cea2a97c32"/>
            <w:id w:val="6776313"/>
            <w:lock w:val="sdtContentLocked"/>
            <w:placeholder>
              <w:docPart w:val="GBC22222222222222222222222222222"/>
            </w:placeholder>
          </w:sdtPr>
          <w:sdtEndPr>
            <w:rPr>
              <w:rFonts w:hint="eastAsia"/>
              <w:szCs w:val="21"/>
            </w:rPr>
          </w:sdtEndPr>
          <w:sdtContent>
            <w:p>
              <w:pPr>
                <w:ind w:right="57"/>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Times New Roman" w:hAnsi="Times New Roman" w:cs="宋体"/>
          <w:b w:val="0"/>
          <w:bCs w:val="0"/>
          <w:kern w:val="0"/>
          <w:szCs w:val="24"/>
        </w:rPr>
        <w:alias w:val="模块:转移其他应收款且继续涉入的，分项列示继续涉入形成的资产、负债..."/>
        <w:tag w:val="_SEC_f556994e476e4a6caca86b06f3c7242b"/>
        <w:id w:val="6776316"/>
        <w:lock w:val="sdtLocked"/>
        <w:placeholder>
          <w:docPart w:val="GBC22222222222222222222222222222"/>
        </w:placeholder>
      </w:sdtPr>
      <w:sdtEndPr>
        <w:rPr>
          <w:rFonts w:hint="eastAsia" w:ascii="Times New Roman" w:hAnsi="Times New Roman" w:cs="宋体"/>
          <w:b w:val="0"/>
          <w:bCs w:val="0"/>
          <w:kern w:val="0"/>
          <w:szCs w:val="24"/>
        </w:rPr>
      </w:sdtEndPr>
      <w:sdtContent>
        <w:p>
          <w:pPr>
            <w:pStyle w:val="5"/>
            <w:numPr>
              <w:ilvl w:val="0"/>
              <w:numId w:val="114"/>
            </w:numPr>
            <w:rPr>
              <w:kern w:val="0"/>
            </w:rPr>
          </w:pPr>
          <w:r>
            <w:rPr>
              <w:rFonts w:hint="eastAsia"/>
              <w:kern w:val="0"/>
            </w:rPr>
            <w:t>转移其他应收款且继续涉入形成的资产、负债金额：</w:t>
          </w:r>
        </w:p>
        <w:sdt>
          <w:sdtPr>
            <w:rPr>
              <w:rFonts w:hint="eastAsia"/>
              <w:szCs w:val="21"/>
            </w:rPr>
            <w:alias w:val="是否适用：母公司转移其他应收款且继续涉入形成的资产、负债金额[双击切换]"/>
            <w:tag w:val="_GBC_224565c49ed14f80bdfc18b78aff3ed8"/>
            <w:id w:val="6776315"/>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sdt>
      <w:sdtPr>
        <w:rPr>
          <w:rFonts w:hint="eastAsia" w:ascii="Times New Roman" w:hAnsi="Times New Roman"/>
          <w:b/>
          <w:bCs/>
        </w:rPr>
        <w:alias w:val="模块:其他应收款其他说明"/>
        <w:tag w:val="_SEC_57c4dfafa9d0491a91f70b4527c847b3"/>
        <w:id w:val="6776318"/>
        <w:lock w:val="sdtLocked"/>
        <w:placeholder>
          <w:docPart w:val="GBC22222222222222222222222222222"/>
        </w:placeholder>
      </w:sdtPr>
      <w:sdtEndPr>
        <w:rPr>
          <w:rFonts w:hint="eastAsia" w:ascii="Times New Roman" w:hAnsi="Times New Roman"/>
          <w:b w:val="0"/>
          <w:bCs w:val="0"/>
        </w:rPr>
      </w:sdtEndPr>
      <w:sdtContent>
        <w:p>
          <w:r>
            <w:rPr>
              <w:rFonts w:hint="eastAsia"/>
            </w:rPr>
            <w:t>其他</w:t>
          </w:r>
          <w:r>
            <w:t>说明：</w:t>
          </w:r>
        </w:p>
        <w:sdt>
          <w:sdtPr>
            <w:rPr>
              <w:rFonts w:hint="eastAsia"/>
              <w:szCs w:val="21"/>
            </w:rPr>
            <w:alias w:val="是否适用：母公司其他应收款的其他说明[双击切换]"/>
            <w:tag w:val="_GBC_479bc9ed241548c695a3905f38eb23fd"/>
            <w:id w:val="6776317"/>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rPr>
              <w:szCs w:val="21"/>
            </w:rPr>
          </w:pPr>
        </w:p>
      </w:sdtContent>
    </w:sdt>
    <w:p>
      <w:pPr>
        <w:pStyle w:val="4"/>
        <w:numPr>
          <w:ilvl w:val="0"/>
          <w:numId w:val="112"/>
        </w:numPr>
        <w:rPr>
          <w:rFonts w:ascii="宋体" w:hAnsi="宋体"/>
          <w:szCs w:val="21"/>
        </w:rPr>
      </w:pPr>
      <w:r>
        <w:rPr>
          <w:rFonts w:hint="eastAsia" w:ascii="宋体" w:hAnsi="宋体"/>
          <w:szCs w:val="21"/>
        </w:rPr>
        <w:t>长期股权投资</w:t>
      </w:r>
    </w:p>
    <w:sdt>
      <w:sdtPr>
        <w:alias w:val="是否适用：母公司长期股权投资[双击切换]"/>
        <w:tag w:val="_GBC_57a2f87498c64eab83308bdf3afc6268"/>
        <w:id w:val="6776319"/>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zCs w:val="21"/>
        </w:rPr>
      </w:pPr>
    </w:p>
    <w:p>
      <w:pPr>
        <w:rPr>
          <w:szCs w:val="21"/>
        </w:rPr>
      </w:pPr>
    </w:p>
    <w:sdt>
      <w:sdtPr>
        <w:rPr>
          <w:rFonts w:hint="eastAsia" w:ascii="宋体" w:hAnsi="宋体" w:cs="宋体"/>
          <w:b w:val="0"/>
          <w:bCs w:val="0"/>
          <w:kern w:val="0"/>
          <w:szCs w:val="24"/>
        </w:rPr>
        <w:alias w:val="模块:营业收入"/>
        <w:tag w:val="_SEC_167f1b451fcb4d4d88898ec4d506ea2d"/>
        <w:id w:val="6776321"/>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112"/>
            </w:numPr>
          </w:pPr>
          <w:r>
            <w:rPr>
              <w:rFonts w:hint="eastAsia"/>
            </w:rPr>
            <w:t>营业收入和营业成本：</w:t>
          </w:r>
        </w:p>
        <w:sdt>
          <w:sdtPr>
            <w:rPr>
              <w:rFonts w:hint="eastAsia" w:ascii="宋体" w:hAnsi="宋体"/>
              <w:bCs/>
              <w:szCs w:val="21"/>
            </w:rPr>
            <w:alias w:val="是否适用：母公司营业收入和营业成本[双击切换]"/>
            <w:tag w:val="_GBC_3cf10265cb614c79a538bd06daf8da74"/>
            <w:id w:val="6776320"/>
            <w:lock w:val="sdtContentLocked"/>
            <w:placeholder>
              <w:docPart w:val="GBC22222222222222222222222222222"/>
            </w:placeholder>
          </w:sdtPr>
          <w:sdtEndPr>
            <w:rPr>
              <w:rFonts w:hint="eastAsia" w:ascii="宋体" w:hAnsi="宋体"/>
              <w:bCs/>
              <w:szCs w:val="21"/>
            </w:rPr>
          </w:sdtEndPr>
          <w:sdtContent>
            <w:p>
              <w:pPr>
                <w:pStyle w:val="53"/>
                <w:ind w:firstLine="0" w:firstLineChars="0"/>
                <w:jc w:val="left"/>
              </w:pPr>
              <w:r>
                <w:rPr>
                  <w:rFonts w:ascii="宋体" w:hAnsi="宋体"/>
                  <w:bCs/>
                  <w:szCs w:val="21"/>
                </w:rPr>
                <w:fldChar w:fldCharType="begin"/>
              </w:r>
              <w:r>
                <w:rPr>
                  <w:rFonts w:ascii="宋体" w:hAnsi="宋体"/>
                  <w:bCs/>
                  <w:szCs w:val="21"/>
                </w:rPr>
                <w:instrText xml:space="preserve"> MACROBUTTON  SnrToggleCheckbox □适用  </w:instrText>
              </w:r>
              <w:r>
                <w:rPr>
                  <w:rFonts w:ascii="宋体" w:hAnsi="宋体"/>
                  <w:bCs/>
                  <w:szCs w:val="21"/>
                </w:rPr>
                <w:fldChar w:fldCharType="end"/>
              </w:r>
              <w:r>
                <w:rPr>
                  <w:rFonts w:ascii="宋体" w:hAnsi="宋体"/>
                  <w:bCs/>
                  <w:szCs w:val="21"/>
                </w:rPr>
                <w:fldChar w:fldCharType="begin"/>
              </w:r>
              <w:r>
                <w:rPr>
                  <w:rFonts w:ascii="宋体" w:hAnsi="宋体"/>
                  <w:bCs/>
                  <w:szCs w:val="21"/>
                </w:rPr>
                <w:instrText xml:space="preserve"> MACROBUTTON  SnrToggleCheckbox √不适用 </w:instrText>
              </w:r>
              <w:r>
                <w:rPr>
                  <w:rFonts w:ascii="宋体" w:hAnsi="宋体"/>
                  <w:bCs/>
                  <w:szCs w:val="21"/>
                </w:rPr>
                <w:fldChar w:fldCharType="end"/>
              </w:r>
            </w:p>
          </w:sdtContent>
        </w:sdt>
        <w:p>
          <w:pPr>
            <w:rPr>
              <w:szCs w:val="21"/>
            </w:rPr>
          </w:pPr>
        </w:p>
      </w:sdtContent>
    </w:sdt>
    <w:p>
      <w:pPr>
        <w:rPr>
          <w:szCs w:val="21"/>
        </w:rPr>
      </w:pPr>
    </w:p>
    <w:sdt>
      <w:sdtPr>
        <w:rPr>
          <w:rFonts w:hint="eastAsia" w:ascii="宋体" w:hAnsi="宋体" w:cs="宋体"/>
          <w:b w:val="0"/>
          <w:bCs w:val="0"/>
          <w:kern w:val="0"/>
          <w:szCs w:val="21"/>
        </w:rPr>
        <w:alias w:val="模块:投资收益"/>
        <w:tag w:val="_SEC_d1fb2ff7adde4d3eafeadfd71981ffdc"/>
        <w:id w:val="6776323"/>
        <w:lock w:val="sdtLocked"/>
        <w:placeholder>
          <w:docPart w:val="GBC22222222222222222222222222222"/>
        </w:placeholder>
      </w:sdtPr>
      <w:sdtEndPr>
        <w:rPr>
          <w:rFonts w:hint="default" w:ascii="宋体" w:hAnsi="宋体" w:cs="宋体"/>
          <w:b w:val="0"/>
          <w:bCs w:val="0"/>
          <w:kern w:val="0"/>
          <w:szCs w:val="21"/>
        </w:rPr>
      </w:sdtEndPr>
      <w:sdtContent>
        <w:p>
          <w:pPr>
            <w:pStyle w:val="4"/>
            <w:numPr>
              <w:ilvl w:val="0"/>
              <w:numId w:val="112"/>
            </w:numPr>
            <w:rPr>
              <w:rFonts w:ascii="宋体" w:hAnsi="宋体"/>
              <w:szCs w:val="21"/>
            </w:rPr>
          </w:pPr>
          <w:r>
            <w:rPr>
              <w:rFonts w:hint="eastAsia" w:ascii="宋体" w:hAnsi="宋体"/>
              <w:szCs w:val="21"/>
            </w:rPr>
            <w:t>投资收益</w:t>
          </w:r>
        </w:p>
        <w:sdt>
          <w:sdtPr>
            <w:alias w:val="是否适用：母公司投资收益[双击切换]"/>
            <w:tag w:val="_GBC_34b423a384074fe689611ec562666721"/>
            <w:id w:val="6776322"/>
            <w:lock w:val="sdtContentLocked"/>
            <w:placeholder>
              <w:docPart w:val="GBC22222222222222222222222222222"/>
            </w:placeholder>
          </w:sdtPr>
          <w:sdtContent>
            <w:p>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母公司会计报表附注的其他说明事项"/>
        <w:tag w:val="_SEC_f254d1d0764b4d7ab6b701d7ac057625"/>
        <w:id w:val="6776325"/>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112"/>
            </w:numPr>
            <w:rPr>
              <w:szCs w:val="21"/>
            </w:rPr>
          </w:pPr>
          <w:r>
            <w:rPr>
              <w:rFonts w:hint="eastAsia"/>
              <w:szCs w:val="21"/>
            </w:rPr>
            <w:t>其他</w:t>
          </w:r>
        </w:p>
        <w:sdt>
          <w:sdtPr>
            <w:rPr>
              <w:rFonts w:hint="eastAsia"/>
              <w:szCs w:val="21"/>
            </w:rPr>
            <w:alias w:val="是否适用：母公司会计报表附注的其他说明事项[双击切换]"/>
            <w:tag w:val="_GBC_da1bbbf487cd4e98b945920735517f12"/>
            <w:id w:val="6776324"/>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ind w:right="-1594" w:rightChars="-759"/>
        <w:rPr>
          <w:szCs w:val="21"/>
        </w:rPr>
      </w:pPr>
    </w:p>
    <w:p>
      <w:pPr>
        <w:pStyle w:val="3"/>
        <w:numPr>
          <w:ilvl w:val="0"/>
          <w:numId w:val="54"/>
        </w:numPr>
        <w:rPr>
          <w:rFonts w:ascii="宋体" w:hAnsi="宋体"/>
        </w:rPr>
      </w:pPr>
      <w:r>
        <w:rPr>
          <w:rFonts w:hint="eastAsia" w:ascii="宋体" w:hAnsi="宋体"/>
        </w:rPr>
        <w:t>补充资料</w:t>
      </w:r>
    </w:p>
    <w:sdt>
      <w:sdtPr>
        <w:rPr>
          <w:rFonts w:hint="eastAsia" w:ascii="宋体" w:hAnsi="宋体" w:cs="宋体"/>
          <w:b w:val="0"/>
          <w:bCs w:val="0"/>
          <w:kern w:val="0"/>
          <w:szCs w:val="21"/>
        </w:rPr>
        <w:alias w:val="模块:当期非经常性损益明细"/>
        <w:tag w:val="_GBC_08eb8d7076584daebd23121ab43f25e0"/>
        <w:id w:val="6776383"/>
        <w:lock w:val="sdtLocked"/>
        <w:placeholder>
          <w:docPart w:val="GBC22222222222222222222222222222"/>
        </w:placeholder>
      </w:sdtPr>
      <w:sdtEndPr>
        <w:rPr>
          <w:rFonts w:hint="eastAsia" w:ascii="宋体" w:hAnsi="宋体" w:cs="宋体"/>
          <w:b w:val="0"/>
          <w:bCs w:val="0"/>
          <w:kern w:val="0"/>
          <w:szCs w:val="24"/>
        </w:rPr>
      </w:sdtEndPr>
      <w:sdtContent>
        <w:p>
          <w:pPr>
            <w:pStyle w:val="4"/>
            <w:numPr>
              <w:ilvl w:val="0"/>
              <w:numId w:val="115"/>
            </w:numPr>
            <w:rPr>
              <w:rFonts w:ascii="宋体" w:hAnsi="宋体"/>
              <w:szCs w:val="21"/>
            </w:rPr>
          </w:pPr>
          <w:r>
            <w:rPr>
              <w:rFonts w:hint="eastAsia" w:ascii="宋体" w:hAnsi="宋体"/>
              <w:szCs w:val="21"/>
            </w:rPr>
            <w:t>当期非经常性损益明细表</w:t>
          </w:r>
        </w:p>
        <w:sdt>
          <w:sdtPr>
            <w:rPr>
              <w:rFonts w:hint="eastAsia"/>
              <w:szCs w:val="21"/>
            </w:rPr>
            <w:alias w:val="是否适用：当期非经常性损益明细表[双击切换]"/>
            <w:tag w:val="_GBC_53fa4135e87442d59ce21ca91ff749e7"/>
            <w:id w:val="677632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pPr>
            <w:jc w:val="right"/>
            <w:rPr>
              <w:szCs w:val="21"/>
            </w:rPr>
          </w:pPr>
          <w:r>
            <w:rPr>
              <w:rFonts w:hint="eastAsia"/>
              <w:szCs w:val="21"/>
            </w:rPr>
            <w:t>单位：</w:t>
          </w:r>
          <w:sdt>
            <w:sdtPr>
              <w:rPr>
                <w:rFonts w:hint="eastAsia"/>
                <w:szCs w:val="21"/>
              </w:rPr>
              <w:alias w:val="单位：扣除非经常性损益项目和金额"/>
              <w:tag w:val="_GBC_5c7a78a144ce4f78943f6ba4db018dd1"/>
              <w:id w:val="67763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1</w:t>
              </w:r>
            </w:sdtContent>
          </w:sdt>
          <w:r>
            <w:rPr>
              <w:rFonts w:hint="eastAsia"/>
              <w:szCs w:val="21"/>
            </w:rPr>
            <w:t xml:space="preserve">  币种：</w:t>
          </w:r>
          <w:sdt>
            <w:sdtPr>
              <w:rPr>
                <w:rFonts w:hint="eastAsia"/>
                <w:szCs w:val="21"/>
              </w:rPr>
              <w:alias w:val="币种：扣除非经常性损益项目和金额"/>
              <w:tag w:val="_GBC_1075279105e04a71a72ba148188834c9"/>
              <w:id w:val="67763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CNY</w:t>
              </w:r>
            </w:sdtContent>
          </w:sdt>
        </w:p>
        <w:tbl>
          <w:tblPr>
            <w:tblStyle w:val="8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4"/>
            <w:gridCol w:w="198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21836bed4dfd441e8a48a625518a8f5f"/>
                <w:id w:val="6776329"/>
                <w:lock w:val="sdtLocked"/>
              </w:sdtPr>
              <w:sdtEndPr>
                <w:rPr>
                  <w:sz w:val="18"/>
                  <w:szCs w:val="18"/>
                </w:rPr>
              </w:sdtEndPr>
              <w:sdtContent>
                <w:tc>
                  <w:tcPr>
                    <w:tcW w:w="5354" w:type="dxa"/>
                    <w:shd w:val="clear" w:color="auto" w:fill="auto"/>
                    <w:vAlign w:val="center"/>
                  </w:tcPr>
                  <w:p>
                    <w:pPr>
                      <w:jc w:val="center"/>
                      <w:rPr>
                        <w:sz w:val="18"/>
                        <w:szCs w:val="18"/>
                      </w:rPr>
                    </w:pPr>
                    <w:r>
                      <w:rPr>
                        <w:rFonts w:hint="eastAsia"/>
                        <w:sz w:val="18"/>
                        <w:szCs w:val="18"/>
                      </w:rPr>
                      <w:t>项目</w:t>
                    </w:r>
                  </w:p>
                </w:tc>
              </w:sdtContent>
            </w:sdt>
            <w:sdt>
              <w:sdtPr>
                <w:rPr>
                  <w:sz w:val="18"/>
                  <w:szCs w:val="18"/>
                </w:rPr>
                <w:tag w:val="_PLD_52741206370c4e1799f79141c7f871df"/>
                <w:id w:val="6776330"/>
                <w:lock w:val="sdtLocked"/>
              </w:sdtPr>
              <w:sdtEndPr>
                <w:rPr>
                  <w:sz w:val="18"/>
                  <w:szCs w:val="18"/>
                </w:rPr>
              </w:sdtEndPr>
              <w:sdtContent>
                <w:tc>
                  <w:tcPr>
                    <w:tcW w:w="1985" w:type="dxa"/>
                    <w:shd w:val="clear" w:color="auto" w:fill="auto"/>
                  </w:tcPr>
                  <w:p>
                    <w:pPr>
                      <w:jc w:val="center"/>
                      <w:rPr>
                        <w:sz w:val="18"/>
                        <w:szCs w:val="18"/>
                      </w:rPr>
                    </w:pPr>
                    <w:r>
                      <w:rPr>
                        <w:rFonts w:hint="eastAsia"/>
                        <w:sz w:val="18"/>
                        <w:szCs w:val="18"/>
                      </w:rPr>
                      <w:t>金额</w:t>
                    </w:r>
                  </w:p>
                </w:tc>
              </w:sdtContent>
            </w:sdt>
            <w:sdt>
              <w:sdtPr>
                <w:rPr>
                  <w:sz w:val="18"/>
                  <w:szCs w:val="18"/>
                </w:rPr>
                <w:tag w:val="_PLD_ac90403c6a634936b93313c407ed4e35"/>
                <w:id w:val="6776331"/>
                <w:lock w:val="sdtLocked"/>
              </w:sdtPr>
              <w:sdtEndPr>
                <w:rPr>
                  <w:sz w:val="18"/>
                  <w:szCs w:val="18"/>
                </w:rPr>
              </w:sdtEndPr>
              <w:sdtContent>
                <w:tc>
                  <w:tcPr>
                    <w:tcW w:w="1710" w:type="dxa"/>
                  </w:tcPr>
                  <w:p>
                    <w:pPr>
                      <w:jc w:val="center"/>
                      <w:rPr>
                        <w:sz w:val="18"/>
                        <w:szCs w:val="18"/>
                      </w:rPr>
                    </w:pPr>
                    <w:r>
                      <w:rPr>
                        <w:rFonts w:hint="eastAsia"/>
                        <w:sz w:val="18"/>
                        <w:szCs w:val="18"/>
                      </w:rPr>
                      <w:t>说明</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26d005fae80c40c5b439c091e256805a"/>
                <w:id w:val="6776332"/>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非流动资产处置损益</w:t>
                    </w:r>
                  </w:p>
                </w:tc>
              </w:sdtContent>
            </w:sdt>
            <w:sdt>
              <w:sdtPr>
                <w:rPr>
                  <w:rFonts w:hint="eastAsia"/>
                  <w:sz w:val="18"/>
                  <w:szCs w:val="18"/>
                </w:rPr>
                <w:alias w:val="非流动性资产处置损益，包括已计提资产减值准备的冲销部分（非经常性损益项目）"/>
                <w:tag w:val="_GBC_f045781906b04458b3ad625ee4515c61"/>
                <w:id w:val="6776333"/>
                <w:lock w:val="sdtLocked"/>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sz w:val="18"/>
                        <w:szCs w:val="18"/>
                      </w:rPr>
                      <w:t>-3,825,393.16</w:t>
                    </w:r>
                  </w:p>
                </w:tc>
              </w:sdtContent>
            </w:sdt>
            <w:sdt>
              <w:sdtPr>
                <w:rPr>
                  <w:sz w:val="18"/>
                  <w:szCs w:val="18"/>
                </w:rPr>
                <w:alias w:val="非流动性资产处置损益，包括已计提资产减值准备的冲销部分的说明（非经常性损益项目）"/>
                <w:tag w:val="_GBC_dbf112280e8b447b803745e3222ebaab"/>
                <w:id w:val="6776334"/>
                <w:lock w:val="sdtLocked"/>
                <w:text/>
              </w:sdtPr>
              <w:sdtEndPr>
                <w:rPr>
                  <w:sz w:val="18"/>
                  <w:szCs w:val="18"/>
                </w:rPr>
              </w:sdtEndPr>
              <w:sdtContent>
                <w:tc>
                  <w:tcPr>
                    <w:tcW w:w="1710" w:type="dxa"/>
                    <w:vAlign w:val="center"/>
                  </w:tcPr>
                  <w:p>
                    <w:pPr>
                      <w:rPr>
                        <w:b/>
                        <w:sz w:val="18"/>
                        <w:szCs w:val="18"/>
                      </w:rPr>
                    </w:pPr>
                    <w:r>
                      <w:rPr>
                        <w:rFonts w:hint="eastAsia"/>
                        <w:sz w:val="18"/>
                        <w:szCs w:val="18"/>
                      </w:rPr>
                      <w:t>七、70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03620343c03e4c9cbdbbf7ce4be9b435"/>
                <w:id w:val="6776335"/>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越权审批或无正式批准文件的税收返还、减免</w:t>
                    </w:r>
                  </w:p>
                </w:tc>
              </w:sdtContent>
            </w:sdt>
            <w:sdt>
              <w:sdtPr>
                <w:rPr>
                  <w:rFonts w:hint="eastAsia"/>
                  <w:sz w:val="18"/>
                  <w:szCs w:val="18"/>
                </w:rPr>
                <w:alias w:val="越权审批，或无正式批准文件，或偶发性的税收返还、减免（非经常性损益项目）"/>
                <w:tag w:val="_GBC_739acef0a8fb4cf9ba3480cbf144d0bd"/>
                <w:id w:val="6776336"/>
                <w:lock w:val="sdtLocked"/>
                <w:showingPlcHdr/>
                <w:text/>
              </w:sdtPr>
              <w:sdtEndPr>
                <w:rPr>
                  <w:rFonts w:hint="eastAsia"/>
                  <w:sz w:val="18"/>
                  <w:szCs w:val="18"/>
                </w:rPr>
              </w:sdtEndPr>
              <w:sdtContent>
                <w:tc>
                  <w:tcPr>
                    <w:tcW w:w="1985" w:type="dxa"/>
                    <w:shd w:val="clear" w:color="auto" w:fill="auto"/>
                    <w:vAlign w:val="center"/>
                  </w:tcPr>
                  <w:p>
                    <w:pPr>
                      <w:ind w:right="6"/>
                      <w:jc w:val="right"/>
                      <w:rPr>
                        <w:sz w:val="18"/>
                        <w:szCs w:val="18"/>
                      </w:rPr>
                    </w:pPr>
                  </w:p>
                </w:tc>
              </w:sdtContent>
            </w:sdt>
            <w:sdt>
              <w:sdtPr>
                <w:rPr>
                  <w:sz w:val="18"/>
                  <w:szCs w:val="18"/>
                </w:rPr>
                <w:alias w:val="越权审批，或无正式批准文件，或偶发性的税收返还、减免的说明（非经常性损益项目）"/>
                <w:tag w:val="_GBC_d1e6861f45b64ca2a145ec60b8eb30fc"/>
                <w:id w:val="6776337"/>
                <w:lock w:val="sdtLocked"/>
                <w:showingPlcHdr/>
                <w:text/>
              </w:sdtPr>
              <w:sdtEndPr>
                <w:rPr>
                  <w:sz w:val="18"/>
                  <w:szCs w:val="18"/>
                </w:rPr>
              </w:sdtEndPr>
              <w:sdtContent>
                <w:tc>
                  <w:tcPr>
                    <w:tcW w:w="1710" w:type="dxa"/>
                    <w:vAlign w:val="center"/>
                  </w:tcPr>
                  <w:p>
                    <w:pPr>
                      <w:rPr>
                        <w:sz w:val="18"/>
                        <w:szCs w:val="18"/>
                      </w:rPr>
                    </w:pP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4971661f1d5e4d61b7fad7606c1c1bb7"/>
                <w:id w:val="6776338"/>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计入当期损益的政府补助（与企业业务密切相关，按照国家统一标准定额或定量享受的政府补助除外）</w:t>
                    </w:r>
                  </w:p>
                </w:tc>
              </w:sdtContent>
            </w:sdt>
            <w:sdt>
              <w:sdtPr>
                <w:rPr>
                  <w:rFonts w:hint="eastAsia"/>
                  <w:sz w:val="18"/>
                  <w:szCs w:val="18"/>
                </w:rPr>
                <w:alias w:val="计入当期损益的政府补助，但与公司正常经营业务密切相关，符合国家政策规定、按照一定标准定额或定量持续享受的政府补助除外（非.."/>
                <w:tag w:val="_GBC_87d17071bbe748b28c703f8eaec85e23"/>
                <w:id w:val="6776339"/>
                <w:lock w:val="sdtLocked"/>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sz w:val="18"/>
                        <w:szCs w:val="18"/>
                      </w:rPr>
                      <w:t>34,623,222.96</w:t>
                    </w:r>
                  </w:p>
                </w:tc>
              </w:sdtContent>
            </w:sdt>
            <w:sdt>
              <w:sdtPr>
                <w:rPr>
                  <w:sz w:val="18"/>
                  <w:szCs w:val="18"/>
                </w:rPr>
                <w:alias w:val="计入当期损益的政府补助，但与公司正常经营业务密切相关，符合国家政策规定、按照一定标准定额或定量持续享受的政府补助除外的说.."/>
                <w:tag w:val="_GBC_4513591570d449de9208898ef81e191f"/>
                <w:id w:val="6776340"/>
                <w:lock w:val="sdtLocked"/>
                <w:text/>
              </w:sdtPr>
              <w:sdtEndPr>
                <w:rPr>
                  <w:sz w:val="18"/>
                  <w:szCs w:val="18"/>
                </w:rPr>
              </w:sdtEndPr>
              <w:sdtContent>
                <w:tc>
                  <w:tcPr>
                    <w:tcW w:w="1710" w:type="dxa"/>
                    <w:vAlign w:val="center"/>
                  </w:tcPr>
                  <w:p>
                    <w:pPr>
                      <w:rPr>
                        <w:sz w:val="18"/>
                        <w:szCs w:val="18"/>
                      </w:rPr>
                    </w:pPr>
                    <w:r>
                      <w:rPr>
                        <w:rFonts w:hint="eastAsia"/>
                        <w:sz w:val="18"/>
                        <w:szCs w:val="18"/>
                      </w:rPr>
                      <w:t>七、69，79</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e96201eca75b4ddd84b118ba8f346132"/>
                <w:id w:val="6776341"/>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计入当期损益的对非金融企业收取的资金占用费</w:t>
                    </w:r>
                  </w:p>
                </w:tc>
              </w:sdtContent>
            </w:sdt>
            <w:sdt>
              <w:sdtPr>
                <w:rPr>
                  <w:rFonts w:hint="eastAsia"/>
                  <w:sz w:val="18"/>
                  <w:szCs w:val="18"/>
                </w:rPr>
                <w:alias w:val="计入当期损益的对非金融企业收取的资金占用费（非经常性损益项目）"/>
                <w:tag w:val="_GBC_fa05ceca6bca4dd9a7d215044dce1e08"/>
                <w:id w:val="6776342"/>
                <w:lock w:val="sdtLocked"/>
                <w:showingPlcHdr/>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color w:val="0000FF"/>
                        <w:sz w:val="18"/>
                        <w:szCs w:val="18"/>
                      </w:rPr>
                      <w:t>　</w:t>
                    </w:r>
                  </w:p>
                </w:tc>
              </w:sdtContent>
            </w:sdt>
            <w:sdt>
              <w:sdtPr>
                <w:rPr>
                  <w:sz w:val="18"/>
                  <w:szCs w:val="18"/>
                </w:rPr>
                <w:alias w:val="计入当期损益的对非金融企业收取的资金占用费的说明（非经常性损益项目）"/>
                <w:tag w:val="_GBC_e39bef666fc347c4b548b1702cce8f81"/>
                <w:id w:val="6776343"/>
                <w:lock w:val="sdtLocked"/>
                <w:showingPlcHdr/>
                <w:text/>
              </w:sdtPr>
              <w:sdtEndPr>
                <w:rPr>
                  <w:sz w:val="18"/>
                  <w:szCs w:val="18"/>
                </w:rPr>
              </w:sdtEndPr>
              <w:sdtContent>
                <w:tc>
                  <w:tcPr>
                    <w:tcW w:w="1710" w:type="dxa"/>
                    <w:vAlign w:val="center"/>
                  </w:tcPr>
                  <w:p>
                    <w:pPr>
                      <w:rPr>
                        <w:sz w:val="18"/>
                        <w:szCs w:val="18"/>
                      </w:rPr>
                    </w:pPr>
                    <w:r>
                      <w:rPr>
                        <w:rFonts w:hint="eastAsia"/>
                        <w:color w:val="0000FF"/>
                        <w:sz w:val="18"/>
                        <w:szCs w:val="18"/>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a04712aa3e2145e7873c6bd060038eb3"/>
                <w:id w:val="6776344"/>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企业取得子公司、联营企业及合营企业的投资成本小于取得投资时应享有被投资单位可辨认净资产公允价值产生的收益</w:t>
                    </w:r>
                  </w:p>
                </w:tc>
              </w:sdtContent>
            </w:sdt>
            <w:sdt>
              <w:sdtPr>
                <w:rPr>
                  <w:rFonts w:hint="eastAsia"/>
                  <w:sz w:val="18"/>
                  <w:szCs w:val="18"/>
                </w:rPr>
                <w:alias w:val="企业取得子公司、联营企业及合营企业的投资成本小于取得投资时应享有被投资单位可辨认净资产公允价值产生的收益（非经常性损益项.."/>
                <w:tag w:val="_GBC_da8567332bf1414f9b00448bf14a2046"/>
                <w:id w:val="6776345"/>
                <w:lock w:val="sdtLocked"/>
                <w:showingPlcHdr/>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color w:val="0000FF"/>
                        <w:sz w:val="18"/>
                        <w:szCs w:val="18"/>
                      </w:rPr>
                      <w:t>　</w:t>
                    </w:r>
                  </w:p>
                </w:tc>
              </w:sdtContent>
            </w:sdt>
            <w:sdt>
              <w:sdtPr>
                <w:rPr>
                  <w:sz w:val="18"/>
                  <w:szCs w:val="18"/>
                </w:rPr>
                <w:alias w:val="企业取得子公司、联营企业及合营企业的投资成本小于取得投资时应享有被投资单位可辨认净资产公允价值产生的收益的说明（非经常性.."/>
                <w:tag w:val="_GBC_5140be5466d24c06aa7c5dd7b7497384"/>
                <w:id w:val="6776346"/>
                <w:lock w:val="sdtLocked"/>
                <w:showingPlcHdr/>
                <w:text/>
              </w:sdtPr>
              <w:sdtEndPr>
                <w:rPr>
                  <w:sz w:val="18"/>
                  <w:szCs w:val="18"/>
                </w:rPr>
              </w:sdtEndPr>
              <w:sdtContent>
                <w:tc>
                  <w:tcPr>
                    <w:tcW w:w="1710" w:type="dxa"/>
                    <w:vAlign w:val="center"/>
                  </w:tcPr>
                  <w:p>
                    <w:pPr>
                      <w:rPr>
                        <w:sz w:val="18"/>
                        <w:szCs w:val="18"/>
                      </w:rPr>
                    </w:pPr>
                    <w:r>
                      <w:rPr>
                        <w:rFonts w:hint="eastAsia"/>
                        <w:color w:val="0000FF"/>
                        <w:sz w:val="18"/>
                        <w:szCs w:val="18"/>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5a96b14725f54837a87e61ee4c501071"/>
                <w:id w:val="6776347"/>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非货币性资产交换损益</w:t>
                    </w:r>
                  </w:p>
                </w:tc>
              </w:sdtContent>
            </w:sdt>
            <w:sdt>
              <w:sdtPr>
                <w:rPr>
                  <w:rFonts w:hint="eastAsia"/>
                  <w:sz w:val="18"/>
                  <w:szCs w:val="18"/>
                </w:rPr>
                <w:alias w:val="非货币性资产交换损益（非经常性损益项目）"/>
                <w:tag w:val="_GBC_4cbe5f86242143498e8a8e52a9159cf4"/>
                <w:id w:val="6776348"/>
                <w:lock w:val="sdtLocked"/>
                <w:showingPlcHdr/>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color w:val="0000FF"/>
                        <w:sz w:val="18"/>
                        <w:szCs w:val="18"/>
                      </w:rPr>
                      <w:t>　</w:t>
                    </w:r>
                  </w:p>
                </w:tc>
              </w:sdtContent>
            </w:sdt>
            <w:sdt>
              <w:sdtPr>
                <w:rPr>
                  <w:sz w:val="18"/>
                  <w:szCs w:val="18"/>
                </w:rPr>
                <w:alias w:val="非货币性资产交换损益的说明（非经常性损益项目）"/>
                <w:tag w:val="_GBC_0c3795502b03479fa5ac233060ebd95d"/>
                <w:id w:val="6776349"/>
                <w:lock w:val="sdtLocked"/>
                <w:showingPlcHdr/>
                <w:text/>
              </w:sdtPr>
              <w:sdtEndPr>
                <w:rPr>
                  <w:sz w:val="18"/>
                  <w:szCs w:val="18"/>
                </w:rPr>
              </w:sdtEndPr>
              <w:sdtContent>
                <w:tc>
                  <w:tcPr>
                    <w:tcW w:w="1710" w:type="dxa"/>
                    <w:vAlign w:val="center"/>
                  </w:tcPr>
                  <w:p>
                    <w:pPr>
                      <w:rPr>
                        <w:sz w:val="18"/>
                        <w:szCs w:val="18"/>
                      </w:rPr>
                    </w:pPr>
                    <w:r>
                      <w:rPr>
                        <w:rFonts w:hint="eastAsia"/>
                        <w:color w:val="0000FF"/>
                        <w:sz w:val="18"/>
                        <w:szCs w:val="18"/>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a676c98d931749ce9093d2cc38be0fa2"/>
                <w:id w:val="6776350"/>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委托他人投资或管理资产的损益</w:t>
                    </w:r>
                  </w:p>
                </w:tc>
              </w:sdtContent>
            </w:sdt>
            <w:sdt>
              <w:sdtPr>
                <w:rPr>
                  <w:rFonts w:hint="eastAsia"/>
                  <w:sz w:val="18"/>
                  <w:szCs w:val="18"/>
                </w:rPr>
                <w:alias w:val="委托他人投资或管理资产的损益（非经常性损益项目）"/>
                <w:tag w:val="_GBC_d2fd11aa21804a79bf75d80767cb7622"/>
                <w:id w:val="6776351"/>
                <w:lock w:val="sdtLocked"/>
                <w:showingPlcHdr/>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color w:val="0000FF"/>
                        <w:sz w:val="18"/>
                        <w:szCs w:val="18"/>
                      </w:rPr>
                      <w:t>　</w:t>
                    </w:r>
                  </w:p>
                </w:tc>
              </w:sdtContent>
            </w:sdt>
            <w:sdt>
              <w:sdtPr>
                <w:rPr>
                  <w:sz w:val="18"/>
                  <w:szCs w:val="18"/>
                </w:rPr>
                <w:alias w:val="委托他人投资或管理资产的损益的说明（非经常性损益项目）"/>
                <w:tag w:val="_GBC_556f9aa856334b9cba18fb2f97b39cc5"/>
                <w:id w:val="6776352"/>
                <w:lock w:val="sdtLocked"/>
                <w:showingPlcHdr/>
                <w:text/>
              </w:sdtPr>
              <w:sdtEndPr>
                <w:rPr>
                  <w:sz w:val="18"/>
                  <w:szCs w:val="18"/>
                </w:rPr>
              </w:sdtEndPr>
              <w:sdtContent>
                <w:tc>
                  <w:tcPr>
                    <w:tcW w:w="1710" w:type="dxa"/>
                    <w:vAlign w:val="center"/>
                  </w:tcPr>
                  <w:p>
                    <w:pPr>
                      <w:rPr>
                        <w:sz w:val="18"/>
                        <w:szCs w:val="18"/>
                      </w:rPr>
                    </w:pPr>
                    <w:r>
                      <w:rPr>
                        <w:rFonts w:hint="eastAsia"/>
                        <w:color w:val="0000FF"/>
                        <w:sz w:val="18"/>
                        <w:szCs w:val="18"/>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26d12c8a27f5433fa2f660641cd44700"/>
                <w:id w:val="6776353"/>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因不可抗力因素，如遭受自然灾害而计提的各项资产减值准备</w:t>
                    </w:r>
                  </w:p>
                </w:tc>
              </w:sdtContent>
            </w:sdt>
            <w:sdt>
              <w:sdtPr>
                <w:rPr>
                  <w:rFonts w:hint="eastAsia"/>
                  <w:sz w:val="18"/>
                  <w:szCs w:val="18"/>
                </w:rPr>
                <w:alias w:val="因不可抗力因素，如遭受自然灾害而计提的各项资产减值准备（非经常性损益项目）"/>
                <w:tag w:val="_GBC_40e59f580b8446b6a448bfa2d9c39106"/>
                <w:id w:val="6776354"/>
                <w:lock w:val="sdtLocked"/>
                <w:showingPlcHdr/>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color w:val="0000FF"/>
                        <w:sz w:val="18"/>
                        <w:szCs w:val="18"/>
                      </w:rPr>
                      <w:t>　</w:t>
                    </w:r>
                  </w:p>
                </w:tc>
              </w:sdtContent>
            </w:sdt>
            <w:sdt>
              <w:sdtPr>
                <w:rPr>
                  <w:sz w:val="18"/>
                  <w:szCs w:val="18"/>
                </w:rPr>
                <w:alias w:val="因不可抗力因素，如遭受自然灾害而计提的各项资产减值准备的说明（非经常性损益项目）"/>
                <w:tag w:val="_GBC_4f29c0d978134f4d9ade4cfb9e6e5bfa"/>
                <w:id w:val="6776355"/>
                <w:lock w:val="sdtLocked"/>
                <w:showingPlcHdr/>
                <w:text/>
              </w:sdtPr>
              <w:sdtEndPr>
                <w:rPr>
                  <w:sz w:val="18"/>
                  <w:szCs w:val="18"/>
                </w:rPr>
              </w:sdtEndPr>
              <w:sdtContent>
                <w:tc>
                  <w:tcPr>
                    <w:tcW w:w="1710" w:type="dxa"/>
                    <w:vAlign w:val="center"/>
                  </w:tcPr>
                  <w:p>
                    <w:pPr>
                      <w:rPr>
                        <w:sz w:val="18"/>
                        <w:szCs w:val="18"/>
                      </w:rPr>
                    </w:pPr>
                    <w:r>
                      <w:rPr>
                        <w:rFonts w:hint="eastAsia"/>
                        <w:color w:val="0000FF"/>
                        <w:sz w:val="18"/>
                        <w:szCs w:val="18"/>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821952d95e284af59e77fce066babe2c"/>
                <w:id w:val="6776356"/>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与公司正常经营业务无关的或有事项产生的损益</w:t>
                    </w:r>
                  </w:p>
                </w:tc>
              </w:sdtContent>
            </w:sdt>
            <w:sdt>
              <w:sdtPr>
                <w:rPr>
                  <w:rFonts w:hint="eastAsia"/>
                  <w:sz w:val="18"/>
                  <w:szCs w:val="18"/>
                </w:rPr>
                <w:alias w:val="与公司正常经营业务无关的或有事项产生的损益（非经常性损益项目）"/>
                <w:tag w:val="_GBC_87c0e437c14d4dd3bd5dd001c159ec09"/>
                <w:id w:val="6776357"/>
                <w:lock w:val="sdtLocked"/>
                <w:showingPlcHdr/>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color w:val="0000FF"/>
                        <w:sz w:val="18"/>
                        <w:szCs w:val="18"/>
                      </w:rPr>
                      <w:t>　</w:t>
                    </w:r>
                  </w:p>
                </w:tc>
              </w:sdtContent>
            </w:sdt>
            <w:sdt>
              <w:sdtPr>
                <w:rPr>
                  <w:sz w:val="18"/>
                  <w:szCs w:val="18"/>
                </w:rPr>
                <w:alias w:val="与公司正常经营业务无关的或有事项产生的损益的说明（非经常性损益项目）"/>
                <w:tag w:val="_GBC_c092dcb18a4049e7b48c3f5c5a57f1aa"/>
                <w:id w:val="6776358"/>
                <w:lock w:val="sdtLocked"/>
                <w:showingPlcHdr/>
                <w:text/>
              </w:sdtPr>
              <w:sdtEndPr>
                <w:rPr>
                  <w:sz w:val="18"/>
                  <w:szCs w:val="18"/>
                </w:rPr>
              </w:sdtEndPr>
              <w:sdtContent>
                <w:tc>
                  <w:tcPr>
                    <w:tcW w:w="1710" w:type="dxa"/>
                    <w:vAlign w:val="center"/>
                  </w:tcPr>
                  <w:p>
                    <w:pPr>
                      <w:rPr>
                        <w:sz w:val="18"/>
                        <w:szCs w:val="18"/>
                      </w:rPr>
                    </w:pP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37aa5409e1a64a138b3dd2f946a70de3"/>
                <w:id w:val="6776359"/>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sdt>
              <w:sdtPr>
                <w:rPr>
                  <w:rFonts w:hint="eastAsia"/>
                  <w:sz w:val="18"/>
                  <w:szCs w:val="18"/>
                </w:rPr>
                <w:alias w:val="除同公司正常经营业务相关的有效套期保值业务外，持有交易性金融资产、交易性金融负债产生的公允价值变动损益，以及处置交易性金.."/>
                <w:tag w:val="_GBC_be17c6f64a824983b9ae8a3e1630e0a2"/>
                <w:id w:val="6776360"/>
                <w:lock w:val="sdtLocked"/>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sz w:val="18"/>
                        <w:szCs w:val="18"/>
                      </w:rPr>
                      <w:t>-2,655,967.11</w:t>
                    </w:r>
                  </w:p>
                </w:tc>
              </w:sdtContent>
            </w:sdt>
            <w:sdt>
              <w:sdtPr>
                <w:rPr>
                  <w:sz w:val="18"/>
                  <w:szCs w:val="18"/>
                </w:rPr>
                <w:alias w:val="除同公司正常经营业务相关的有效套期保值业务外，持有交易性金融资产、交易性金融负债产生的公允价值变动损益，以及处置交易性金.."/>
                <w:tag w:val="_GBC_d45047945f3a4c6dbf951dc5db8e4ebe"/>
                <w:id w:val="6776361"/>
                <w:lock w:val="sdtLocked"/>
                <w:text/>
              </w:sdtPr>
              <w:sdtEndPr>
                <w:rPr>
                  <w:sz w:val="18"/>
                  <w:szCs w:val="18"/>
                </w:rPr>
              </w:sdtEndPr>
              <w:sdtContent>
                <w:tc>
                  <w:tcPr>
                    <w:tcW w:w="1710" w:type="dxa"/>
                    <w:vAlign w:val="center"/>
                  </w:tcPr>
                  <w:p>
                    <w:pPr>
                      <w:rPr>
                        <w:sz w:val="18"/>
                        <w:szCs w:val="18"/>
                      </w:rPr>
                    </w:pPr>
                    <w:r>
                      <w:rPr>
                        <w:rFonts w:hint="eastAsia"/>
                        <w:sz w:val="18"/>
                        <w:szCs w:val="18"/>
                      </w:rPr>
                      <w:t>七、67，68</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6205b4921e974293bb6a24d22b5dac09"/>
                <w:id w:val="6776362"/>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单独进行减值测试的应收款项减值准备转回</w:t>
                    </w:r>
                  </w:p>
                </w:tc>
              </w:sdtContent>
            </w:sdt>
            <w:sdt>
              <w:sdtPr>
                <w:rPr>
                  <w:rFonts w:hint="eastAsia"/>
                  <w:sz w:val="18"/>
                  <w:szCs w:val="18"/>
                </w:rPr>
                <w:alias w:val="单独进行减值测试的应收款项减值准备转回（非经常性损益项目）"/>
                <w:tag w:val="_GBC_e3d9a7f35efc4eefb1bc297a75de0370"/>
                <w:id w:val="6776363"/>
                <w:lock w:val="sdtLocked"/>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sz w:val="18"/>
                        <w:szCs w:val="18"/>
                      </w:rPr>
                      <w:t>19,345,009.04</w:t>
                    </w:r>
                  </w:p>
                </w:tc>
              </w:sdtContent>
            </w:sdt>
            <w:sdt>
              <w:sdtPr>
                <w:rPr>
                  <w:sz w:val="18"/>
                  <w:szCs w:val="18"/>
                </w:rPr>
                <w:alias w:val="单独进行减值测试的应收款项减值准备转回的说明（非经常性损益项目）"/>
                <w:tag w:val="_GBC_3a60cb783775420696e5fafe4691838e"/>
                <w:id w:val="6776364"/>
                <w:lock w:val="sdtLocked"/>
                <w:text/>
              </w:sdtPr>
              <w:sdtEndPr>
                <w:rPr>
                  <w:sz w:val="18"/>
                  <w:szCs w:val="18"/>
                </w:rPr>
              </w:sdtEndPr>
              <w:sdtContent>
                <w:tc>
                  <w:tcPr>
                    <w:tcW w:w="1710" w:type="dxa"/>
                    <w:vAlign w:val="center"/>
                  </w:tcPr>
                  <w:p>
                    <w:pPr>
                      <w:rPr>
                        <w:sz w:val="18"/>
                        <w:szCs w:val="18"/>
                      </w:rPr>
                    </w:pPr>
                    <w:r>
                      <w:rPr>
                        <w:rFonts w:hint="eastAsia"/>
                        <w:sz w:val="18"/>
                        <w:szCs w:val="18"/>
                      </w:rPr>
                      <w:t>七、5（2）</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b6722851d3af4fe3afc659a8e56d5fb8"/>
                <w:id w:val="6776365"/>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根据税收、会计等法律、法规的要求对当期损益进行一次性调整对当期损益的影响</w:t>
                    </w:r>
                  </w:p>
                </w:tc>
              </w:sdtContent>
            </w:sdt>
            <w:sdt>
              <w:sdtPr>
                <w:rPr>
                  <w:rFonts w:hint="eastAsia"/>
                  <w:sz w:val="18"/>
                  <w:szCs w:val="18"/>
                </w:rPr>
                <w:alias w:val="根据税收、会计等法律、法规的要求对当期损益进行一次性调整对当期损益的影响（非经常性损益项目）"/>
                <w:tag w:val="_GBC_58c2953c03634423ac62d3dec1a8cbf0"/>
                <w:id w:val="6776366"/>
                <w:lock w:val="sdtLocked"/>
                <w:showingPlcHdr/>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color w:val="0000FF"/>
                        <w:sz w:val="18"/>
                        <w:szCs w:val="18"/>
                      </w:rPr>
                      <w:t>　</w:t>
                    </w:r>
                  </w:p>
                </w:tc>
              </w:sdtContent>
            </w:sdt>
            <w:sdt>
              <w:sdtPr>
                <w:rPr>
                  <w:sz w:val="18"/>
                  <w:szCs w:val="18"/>
                </w:rPr>
                <w:alias w:val="根据税收、会计等法律、法规的要求对当期损益进行一次性调整对当期损益的影响的说明（非经常性损益项目）"/>
                <w:tag w:val="_GBC_b3ddb30991974cd88ba33a7fc1b11cdc"/>
                <w:id w:val="6776367"/>
                <w:lock w:val="sdtLocked"/>
                <w:showingPlcHdr/>
                <w:text/>
              </w:sdtPr>
              <w:sdtEndPr>
                <w:rPr>
                  <w:sz w:val="18"/>
                  <w:szCs w:val="18"/>
                </w:rPr>
              </w:sdtEndPr>
              <w:sdtContent>
                <w:tc>
                  <w:tcPr>
                    <w:tcW w:w="1710" w:type="dxa"/>
                    <w:vAlign w:val="center"/>
                  </w:tcPr>
                  <w:p>
                    <w:pPr>
                      <w:rPr>
                        <w:sz w:val="18"/>
                        <w:szCs w:val="18"/>
                      </w:rPr>
                    </w:pPr>
                    <w:r>
                      <w:rPr>
                        <w:rFonts w:hint="eastAsia"/>
                        <w:color w:val="0000FF"/>
                        <w:sz w:val="18"/>
                        <w:szCs w:val="18"/>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62562e8b8e8748b7bc3bcbcc53f02716"/>
                <w:id w:val="6776368"/>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除上述各项之外的其他营业外收入和支出</w:t>
                    </w:r>
                  </w:p>
                </w:tc>
              </w:sdtContent>
            </w:sdt>
            <w:sdt>
              <w:sdtPr>
                <w:rPr>
                  <w:rFonts w:hint="eastAsia"/>
                  <w:sz w:val="18"/>
                  <w:szCs w:val="18"/>
                </w:rPr>
                <w:alias w:val="除上述各项之外的其他营业外收入和支出（非经常性损益项目）"/>
                <w:tag w:val="_GBC_6402a2f652bb4c68acec62c34d96d8ab"/>
                <w:id w:val="6776369"/>
                <w:lock w:val="sdtLocked"/>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sz w:val="18"/>
                        <w:szCs w:val="18"/>
                      </w:rPr>
                      <w:t>5,279,899.72</w:t>
                    </w:r>
                  </w:p>
                </w:tc>
              </w:sdtContent>
            </w:sdt>
            <w:sdt>
              <w:sdtPr>
                <w:rPr>
                  <w:sz w:val="18"/>
                  <w:szCs w:val="18"/>
                </w:rPr>
                <w:alias w:val="除上述各项之外的其他营业外收入和支出的说明（非经常性损益项目）"/>
                <w:tag w:val="_GBC_c4fc3e35307e455db3b9161cb811a087"/>
                <w:id w:val="6776370"/>
                <w:lock w:val="sdtLocked"/>
                <w:text/>
              </w:sdtPr>
              <w:sdtEndPr>
                <w:rPr>
                  <w:sz w:val="18"/>
                  <w:szCs w:val="18"/>
                </w:rPr>
              </w:sdtEndPr>
              <w:sdtContent>
                <w:tc>
                  <w:tcPr>
                    <w:tcW w:w="1710" w:type="dxa"/>
                    <w:vAlign w:val="center"/>
                  </w:tcPr>
                  <w:p>
                    <w:pPr>
                      <w:rPr>
                        <w:sz w:val="18"/>
                        <w:szCs w:val="18"/>
                      </w:rPr>
                    </w:pPr>
                    <w:r>
                      <w:rPr>
                        <w:rFonts w:hint="eastAsia"/>
                        <w:sz w:val="18"/>
                        <w:szCs w:val="18"/>
                      </w:rPr>
                      <w:t>七、69，70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5346d1e2f473468580a990d3ad282ce2"/>
                <w:id w:val="6776371"/>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其他符合非经常性损益定义的损益项目</w:t>
                    </w:r>
                  </w:p>
                </w:tc>
              </w:sdtContent>
            </w:sdt>
            <w:sdt>
              <w:sdtPr>
                <w:rPr>
                  <w:rFonts w:hint="eastAsia"/>
                  <w:sz w:val="18"/>
                  <w:szCs w:val="18"/>
                </w:rPr>
                <w:alias w:val="其他符合非经常性损益定义的损益项目（非经常性损益项目）"/>
                <w:tag w:val="_GBC_fe4d2d743517484083fb57df1a93df08"/>
                <w:id w:val="6776372"/>
                <w:lock w:val="sdtLocked"/>
                <w:showingPlcHdr/>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color w:val="0000FF"/>
                        <w:sz w:val="18"/>
                        <w:szCs w:val="18"/>
                      </w:rPr>
                      <w:t>　</w:t>
                    </w:r>
                  </w:p>
                </w:tc>
              </w:sdtContent>
            </w:sdt>
            <w:sdt>
              <w:sdtPr>
                <w:rPr>
                  <w:rFonts w:hint="eastAsia"/>
                  <w:sz w:val="18"/>
                  <w:szCs w:val="18"/>
                </w:rPr>
                <w:alias w:val="其他符合非经常性损益定义的损益项目说明（非经常性损益项目）"/>
                <w:tag w:val="_GBC_88d5aaf5624d44b4a912d7c291f5337b"/>
                <w:id w:val="6776373"/>
                <w:lock w:val="sdtLocked"/>
                <w:showingPlcHdr/>
                <w:text/>
              </w:sdtPr>
              <w:sdtEndPr>
                <w:rPr>
                  <w:rFonts w:hint="eastAsia"/>
                  <w:sz w:val="18"/>
                  <w:szCs w:val="18"/>
                </w:rPr>
              </w:sdtEndPr>
              <w:sdtContent>
                <w:tc>
                  <w:tcPr>
                    <w:tcW w:w="1710" w:type="dxa"/>
                    <w:vAlign w:val="center"/>
                  </w:tcPr>
                  <w:p>
                    <w:pPr>
                      <w:jc w:val="right"/>
                      <w:rPr>
                        <w:sz w:val="18"/>
                        <w:szCs w:val="18"/>
                      </w:rPr>
                    </w:pPr>
                    <w:r>
                      <w:rPr>
                        <w:rFonts w:hint="eastAsia"/>
                        <w:color w:val="0000FF"/>
                        <w:sz w:val="18"/>
                        <w:szCs w:val="18"/>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74e101e61b874b57a1570c979109fa20"/>
                <w:id w:val="6776374"/>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所得税影响额</w:t>
                    </w:r>
                  </w:p>
                </w:tc>
              </w:sdtContent>
            </w:sdt>
            <w:sdt>
              <w:sdtPr>
                <w:rPr>
                  <w:rFonts w:hint="eastAsia"/>
                  <w:sz w:val="18"/>
                  <w:szCs w:val="18"/>
                </w:rPr>
                <w:alias w:val="非经常性损益_对所得税的影响"/>
                <w:tag w:val="_GBC_7c06520ea03942669b02b787ffcbb214"/>
                <w:id w:val="6776375"/>
                <w:lock w:val="sdtLocked"/>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sz w:val="18"/>
                        <w:szCs w:val="18"/>
                      </w:rPr>
                      <w:t>-7,915,015.72</w:t>
                    </w:r>
                  </w:p>
                </w:tc>
              </w:sdtContent>
            </w:sdt>
            <w:sdt>
              <w:sdtPr>
                <w:rPr>
                  <w:sz w:val="18"/>
                  <w:szCs w:val="18"/>
                </w:rPr>
                <w:alias w:val="所得税影响额的说明（非经常性损益项目）"/>
                <w:tag w:val="_GBC_7ed1b962000f41dc8da48b033f074791"/>
                <w:id w:val="6776376"/>
                <w:lock w:val="sdtLocked"/>
                <w:showingPlcHdr/>
                <w:text/>
              </w:sdtPr>
              <w:sdtEndPr>
                <w:rPr>
                  <w:sz w:val="18"/>
                  <w:szCs w:val="18"/>
                </w:rPr>
              </w:sdtEndPr>
              <w:sdtContent>
                <w:tc>
                  <w:tcPr>
                    <w:tcW w:w="1710" w:type="dxa"/>
                    <w:vAlign w:val="center"/>
                  </w:tcPr>
                  <w:p>
                    <w:pPr>
                      <w:jc w:val="right"/>
                      <w:rPr>
                        <w:sz w:val="18"/>
                        <w:szCs w:val="18"/>
                      </w:rPr>
                    </w:pPr>
                    <w:r>
                      <w:rPr>
                        <w:rFonts w:hint="eastAsia"/>
                        <w:color w:val="0000FF"/>
                        <w:sz w:val="18"/>
                        <w:szCs w:val="18"/>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7ef8314272f64724b14118b0bf880aae"/>
                <w:id w:val="6776377"/>
                <w:lock w:val="sdtLocked"/>
              </w:sdtPr>
              <w:sdtEndPr>
                <w:rPr>
                  <w:sz w:val="18"/>
                  <w:szCs w:val="18"/>
                </w:rPr>
              </w:sdtEndPr>
              <w:sdtContent>
                <w:tc>
                  <w:tcPr>
                    <w:tcW w:w="5354" w:type="dxa"/>
                    <w:shd w:val="clear" w:color="auto" w:fill="auto"/>
                    <w:vAlign w:val="center"/>
                  </w:tcPr>
                  <w:p>
                    <w:pPr>
                      <w:rPr>
                        <w:sz w:val="18"/>
                        <w:szCs w:val="18"/>
                      </w:rPr>
                    </w:pPr>
                    <w:r>
                      <w:rPr>
                        <w:rFonts w:hint="eastAsia"/>
                        <w:sz w:val="18"/>
                        <w:szCs w:val="18"/>
                      </w:rPr>
                      <w:t>少数股东权益影响额</w:t>
                    </w:r>
                  </w:p>
                </w:tc>
              </w:sdtContent>
            </w:sdt>
            <w:sdt>
              <w:sdtPr>
                <w:rPr>
                  <w:rFonts w:hint="eastAsia"/>
                  <w:sz w:val="18"/>
                  <w:szCs w:val="18"/>
                </w:rPr>
                <w:alias w:val="少数股东权益影响额（非经常性损益项目）"/>
                <w:tag w:val="_GBC_285f00e961c943a8a9d140a4d52403f1"/>
                <w:id w:val="6776378"/>
                <w:lock w:val="sdtLocked"/>
                <w:showingPlcHdr/>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color w:val="0000FF"/>
                        <w:sz w:val="18"/>
                        <w:szCs w:val="18"/>
                      </w:rPr>
                      <w:t>　</w:t>
                    </w:r>
                  </w:p>
                </w:tc>
              </w:sdtContent>
            </w:sdt>
            <w:sdt>
              <w:sdtPr>
                <w:rPr>
                  <w:sz w:val="18"/>
                  <w:szCs w:val="18"/>
                </w:rPr>
                <w:alias w:val="少数股东权益影响额的说明（非经常性损益项目）"/>
                <w:tag w:val="_GBC_c9a288fb29d348cbb8d20de9f399a549"/>
                <w:id w:val="6776379"/>
                <w:lock w:val="sdtLocked"/>
                <w:showingPlcHdr/>
                <w:text/>
              </w:sdtPr>
              <w:sdtEndPr>
                <w:rPr>
                  <w:sz w:val="18"/>
                  <w:szCs w:val="18"/>
                </w:rPr>
              </w:sdtEndPr>
              <w:sdtContent>
                <w:tc>
                  <w:tcPr>
                    <w:tcW w:w="1710" w:type="dxa"/>
                    <w:vAlign w:val="center"/>
                  </w:tcPr>
                  <w:p>
                    <w:pPr>
                      <w:jc w:val="right"/>
                      <w:rPr>
                        <w:sz w:val="18"/>
                        <w:szCs w:val="18"/>
                      </w:rPr>
                    </w:pPr>
                    <w:r>
                      <w:rPr>
                        <w:rFonts w:hint="eastAsia"/>
                        <w:color w:val="0000FF"/>
                        <w:sz w:val="18"/>
                        <w:szCs w:val="18"/>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e8b8fcf7dc3d486cbd794deec60f6f28"/>
                <w:id w:val="6776380"/>
                <w:lock w:val="sdtLocked"/>
              </w:sdtPr>
              <w:sdtEndPr>
                <w:rPr>
                  <w:sz w:val="18"/>
                  <w:szCs w:val="18"/>
                </w:rPr>
              </w:sdtEndPr>
              <w:sdtContent>
                <w:tc>
                  <w:tcPr>
                    <w:tcW w:w="5354" w:type="dxa"/>
                    <w:shd w:val="clear" w:color="auto" w:fill="auto"/>
                    <w:vAlign w:val="center"/>
                  </w:tcPr>
                  <w:p>
                    <w:pPr>
                      <w:jc w:val="center"/>
                      <w:rPr>
                        <w:sz w:val="18"/>
                        <w:szCs w:val="18"/>
                      </w:rPr>
                    </w:pPr>
                    <w:r>
                      <w:rPr>
                        <w:rFonts w:hint="eastAsia"/>
                        <w:sz w:val="18"/>
                        <w:szCs w:val="18"/>
                      </w:rPr>
                      <w:t>合计</w:t>
                    </w:r>
                  </w:p>
                </w:tc>
              </w:sdtContent>
            </w:sdt>
            <w:sdt>
              <w:sdtPr>
                <w:rPr>
                  <w:rFonts w:hint="eastAsia"/>
                  <w:sz w:val="18"/>
                  <w:szCs w:val="18"/>
                </w:rPr>
                <w:alias w:val="扣除的非经常性损益合计"/>
                <w:tag w:val="_GBC_dbd56aa5278f45e1a3a0a62cc2b32d3d"/>
                <w:id w:val="6776381"/>
                <w:lock w:val="sdtLocked"/>
                <w:text/>
              </w:sdtPr>
              <w:sdtEndPr>
                <w:rPr>
                  <w:rFonts w:hint="eastAsia"/>
                  <w:sz w:val="18"/>
                  <w:szCs w:val="18"/>
                </w:rPr>
              </w:sdtEndPr>
              <w:sdtContent>
                <w:tc>
                  <w:tcPr>
                    <w:tcW w:w="1985" w:type="dxa"/>
                    <w:shd w:val="clear" w:color="auto" w:fill="auto"/>
                    <w:vAlign w:val="center"/>
                  </w:tcPr>
                  <w:p>
                    <w:pPr>
                      <w:jc w:val="right"/>
                      <w:rPr>
                        <w:sz w:val="18"/>
                        <w:szCs w:val="18"/>
                      </w:rPr>
                    </w:pPr>
                    <w:r>
                      <w:rPr>
                        <w:rFonts w:hint="eastAsia"/>
                        <w:sz w:val="18"/>
                        <w:szCs w:val="18"/>
                      </w:rPr>
                      <w:t>44,851,755.73</w:t>
                    </w:r>
                  </w:p>
                </w:tc>
              </w:sdtContent>
            </w:sdt>
            <w:sdt>
              <w:sdtPr>
                <w:rPr>
                  <w:rFonts w:hint="eastAsia"/>
                  <w:sz w:val="18"/>
                  <w:szCs w:val="18"/>
                </w:rPr>
                <w:alias w:val="扣除的非经常性损益合计说明"/>
                <w:tag w:val="_GBC_fd47d890fc7a493192e451b6575f5e8a"/>
                <w:id w:val="6776382"/>
                <w:lock w:val="sdtLocked"/>
                <w:showingPlcHdr/>
                <w:text/>
              </w:sdtPr>
              <w:sdtEndPr>
                <w:rPr>
                  <w:rFonts w:hint="eastAsia"/>
                  <w:sz w:val="18"/>
                  <w:szCs w:val="18"/>
                </w:rPr>
              </w:sdtEndPr>
              <w:sdtContent>
                <w:tc>
                  <w:tcPr>
                    <w:tcW w:w="1710" w:type="dxa"/>
                    <w:vAlign w:val="center"/>
                  </w:tcPr>
                  <w:p>
                    <w:pPr>
                      <w:jc w:val="right"/>
                      <w:rPr>
                        <w:sz w:val="18"/>
                        <w:szCs w:val="18"/>
                      </w:rPr>
                    </w:pPr>
                  </w:p>
                </w:tc>
              </w:sdtContent>
            </w:sdt>
          </w:tr>
        </w:tbl>
        <w:p/>
        <w:p/>
      </w:sdtContent>
    </w:sdt>
    <w:sdt>
      <w:sdtPr>
        <w:rPr>
          <w:rFonts w:hint="eastAsia"/>
          <w:szCs w:val="21"/>
        </w:rPr>
        <w:alias w:val="模块:对公司根据《公开发行证券的公司信息披露解释性公告第1号——非..."/>
        <w:tag w:val="_GBC_7944e47348cd4cd186b958ba1902ea3f"/>
        <w:id w:val="6776385"/>
        <w:lock w:val="sdtLocked"/>
        <w:placeholder>
          <w:docPart w:val="GBC22222222222222222222222222222"/>
        </w:placeholder>
      </w:sdtPr>
      <w:sdtEndPr>
        <w:rPr>
          <w:rFonts w:hint="eastAsia" w:ascii="Times New Roman" w:hAnsi="Times New Roman"/>
          <w:szCs w:val="21"/>
        </w:rPr>
      </w:sdtEndPr>
      <w:sdtContent>
        <w:p>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pPr>
            <w:rPr>
              <w:szCs w:val="21"/>
            </w:rPr>
          </w:pPr>
          <w:sdt>
            <w:sdtPr>
              <w:rPr>
                <w:szCs w:val="21"/>
              </w:rPr>
              <w:alias w:val="是否适用：将非经常性损益项目界定为经常性损益项目[双击切换]"/>
              <w:tag w:val="_GBC_a967cba183d54f83a4f652d6d31302c3"/>
              <w:id w:val="6776384"/>
              <w:lock w:val="sdtContentLocked"/>
              <w:placeholder>
                <w:docPart w:val="GBC22222222222222222222222222222"/>
              </w:placeholder>
            </w:sdtPr>
            <w:sdtEndPr>
              <w:rPr>
                <w:szCs w:val="21"/>
              </w:rPr>
            </w:sdtEnd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sdtContent>
    </w:sdt>
    <w:sdt>
      <w:sdtPr>
        <w:rPr>
          <w:rFonts w:hint="eastAsia" w:ascii="宋体" w:hAnsi="宋体" w:cs="宋体"/>
          <w:b w:val="0"/>
          <w:bCs w:val="0"/>
          <w:kern w:val="0"/>
          <w:szCs w:val="21"/>
        </w:rPr>
        <w:alias w:val="模块:净资产收益率及每股收益"/>
        <w:tag w:val="_GBC_146d888914ac4591bea1ff0ea9e89617"/>
        <w:id w:val="6776394"/>
        <w:lock w:val="sdtLocked"/>
        <w:placeholder>
          <w:docPart w:val="GBC22222222222222222222222222222"/>
        </w:placeholder>
      </w:sdtPr>
      <w:sdtEndPr>
        <w:rPr>
          <w:rFonts w:hint="eastAsia" w:ascii="宋体" w:hAnsi="宋体" w:cs="宋体"/>
          <w:b w:val="0"/>
          <w:bCs w:val="0"/>
          <w:kern w:val="0"/>
          <w:szCs w:val="21"/>
        </w:rPr>
      </w:sdtEndPr>
      <w:sdtContent>
        <w:p>
          <w:pPr>
            <w:pStyle w:val="4"/>
            <w:numPr>
              <w:ilvl w:val="0"/>
              <w:numId w:val="115"/>
            </w:numPr>
            <w:rPr>
              <w:szCs w:val="21"/>
            </w:rPr>
          </w:pPr>
          <w:r>
            <w:rPr>
              <w:rFonts w:hint="eastAsia"/>
              <w:szCs w:val="21"/>
            </w:rPr>
            <w:t>净资产</w:t>
          </w:r>
          <w:r>
            <w:rPr>
              <w:rFonts w:hint="eastAsia" w:ascii="宋体" w:hAnsi="宋体"/>
              <w:szCs w:val="21"/>
            </w:rPr>
            <w:t>收益率</w:t>
          </w:r>
          <w:r>
            <w:rPr>
              <w:rFonts w:hint="eastAsia"/>
              <w:szCs w:val="21"/>
            </w:rPr>
            <w:t>及每股收益</w:t>
          </w:r>
        </w:p>
        <w:sdt>
          <w:sdtPr>
            <w:alias w:val="是否适用：净资产收益率及每股收益[双击切换]"/>
            <w:tag w:val="_GBC_c0f530bdf9ee48239f470eda08b303d7"/>
            <w:id w:val="6776386"/>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83"/>
            <w:tblW w:w="90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52"/>
            <w:gridCol w:w="1985"/>
            <w:gridCol w:w="1841"/>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sdt>
              <w:sdtPr>
                <w:tag w:val="_PLD_85d9a7abc9cd45768b2b5f99afa4a4ef"/>
                <w:id w:val="1337736252"/>
                <w:lock w:val="sdtLocked"/>
              </w:sdtPr>
              <w:sdtContent>
                <w:tc>
                  <w:tcPr>
                    <w:tcW w:w="3652"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报告期利润</w:t>
                    </w:r>
                  </w:p>
                </w:tc>
              </w:sdtContent>
            </w:sdt>
            <w:sdt>
              <w:sdtPr>
                <w:tag w:val="_PLD_7f5ad103cbb04f7d904001b07266bf41"/>
                <w:id w:val="699973907"/>
                <w:lock w:val="sdtLocked"/>
              </w:sdtPr>
              <w:sdtContent>
                <w:tc>
                  <w:tcPr>
                    <w:tcW w:w="1985" w:type="dxa"/>
                    <w:vMerge w:val="restart"/>
                    <w:tcBorders>
                      <w:top w:val="single" w:color="auto" w:sz="4" w:space="0"/>
                      <w:left w:val="single" w:color="auto" w:sz="4" w:space="0"/>
                      <w:right w:val="single" w:color="auto" w:sz="4" w:space="0"/>
                    </w:tcBorders>
                    <w:vAlign w:val="center"/>
                  </w:tcPr>
                  <w:p>
                    <w:pPr>
                      <w:jc w:val="center"/>
                      <w:rPr>
                        <w:szCs w:val="21"/>
                      </w:rPr>
                    </w:pPr>
                    <w:r>
                      <w:rPr>
                        <w:szCs w:val="21"/>
                      </w:rPr>
                      <w:t>加权平均净资产收益率（%）</w:t>
                    </w:r>
                  </w:p>
                </w:tc>
              </w:sdtContent>
            </w:sdt>
            <w:sdt>
              <w:sdtPr>
                <w:tag w:val="_PLD_adaa515ff68f455d8bcd75e516da3040"/>
                <w:id w:val="1452125392"/>
                <w:lock w:val="sdtLocked"/>
              </w:sdtPr>
              <w:sdtContent>
                <w:tc>
                  <w:tcPr>
                    <w:tcW w:w="341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每股收益</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652"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985" w:type="dxa"/>
                <w:vMerge w:val="continue"/>
                <w:tcBorders>
                  <w:left w:val="single" w:color="auto" w:sz="4" w:space="0"/>
                  <w:bottom w:val="single" w:color="auto" w:sz="4" w:space="0"/>
                  <w:right w:val="single" w:color="auto" w:sz="4" w:space="0"/>
                </w:tcBorders>
                <w:vAlign w:val="center"/>
              </w:tcPr>
              <w:p>
                <w:pPr>
                  <w:jc w:val="center"/>
                  <w:rPr>
                    <w:szCs w:val="21"/>
                  </w:rPr>
                </w:pPr>
              </w:p>
            </w:tc>
            <w:sdt>
              <w:sdtPr>
                <w:tag w:val="_PLD_503a9e353572491fb64751c75881b5ac"/>
                <w:id w:val="310755126"/>
                <w:lock w:val="sdtLocked"/>
              </w:sdtPr>
              <w:sdtContent>
                <w:tc>
                  <w:tcPr>
                    <w:tcW w:w="184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基本每股收益</w:t>
                    </w:r>
                  </w:p>
                </w:tc>
              </w:sdtContent>
            </w:sdt>
            <w:sdt>
              <w:sdtPr>
                <w:tag w:val="_PLD_b57959d0e3714f2590eb4529892e5c18"/>
                <w:id w:val="-507986375"/>
                <w:lock w:val="sdtLocked"/>
              </w:sdtPr>
              <w:sdtContent>
                <w:tc>
                  <w:tcPr>
                    <w:tcW w:w="15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稀释每股收益</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sdt>
              <w:sdtPr>
                <w:tag w:val="_PLD_c5b1926e38d64ba1ae7baa00924da8f8"/>
                <w:id w:val="43488676"/>
                <w:lock w:val="sdtLocked"/>
              </w:sdtPr>
              <w:sdtContent>
                <w:tc>
                  <w:tcPr>
                    <w:tcW w:w="3652" w:type="dxa"/>
                    <w:tcBorders>
                      <w:top w:val="single" w:color="auto" w:sz="4" w:space="0"/>
                      <w:left w:val="single" w:color="auto" w:sz="4" w:space="0"/>
                      <w:bottom w:val="single" w:color="auto" w:sz="4" w:space="0"/>
                      <w:right w:val="single" w:color="auto" w:sz="4" w:space="0"/>
                    </w:tcBorders>
                  </w:tcPr>
                  <w:p>
                    <w:pPr>
                      <w:rPr>
                        <w:szCs w:val="21"/>
                      </w:rPr>
                    </w:pPr>
                    <w:r>
                      <w:rPr>
                        <w:szCs w:val="21"/>
                      </w:rPr>
                      <w:t>归属于公司普通股股东的净利润</w:t>
                    </w:r>
                  </w:p>
                </w:tc>
              </w:sdtContent>
            </w:sdt>
            <w:tc>
              <w:tcPr>
                <w:tcW w:w="1985" w:type="dxa"/>
                <w:tcBorders>
                  <w:top w:val="single" w:color="auto" w:sz="4" w:space="0"/>
                  <w:left w:val="single" w:color="auto" w:sz="4" w:space="0"/>
                  <w:bottom w:val="single" w:color="auto" w:sz="4" w:space="0"/>
                  <w:right w:val="single" w:color="auto" w:sz="4" w:space="0"/>
                </w:tcBorders>
                <w:vAlign w:val="center"/>
              </w:tcPr>
              <w:p>
                <w:pPr>
                  <w:jc w:val="right"/>
                  <w:rPr>
                    <w:szCs w:val="21"/>
                  </w:rPr>
                </w:pPr>
                <w:r>
                  <w:t>44.70</w:t>
                </w:r>
              </w:p>
            </w:tc>
            <w:tc>
              <w:tcPr>
                <w:tcW w:w="1841" w:type="dxa"/>
                <w:tcBorders>
                  <w:top w:val="single" w:color="auto" w:sz="4" w:space="0"/>
                  <w:left w:val="single" w:color="auto" w:sz="4" w:space="0"/>
                  <w:bottom w:val="single" w:color="auto" w:sz="4" w:space="0"/>
                  <w:right w:val="single" w:color="auto" w:sz="4" w:space="0"/>
                </w:tcBorders>
                <w:vAlign w:val="center"/>
              </w:tcPr>
              <w:p>
                <w:pPr>
                  <w:jc w:val="right"/>
                  <w:rPr>
                    <w:szCs w:val="21"/>
                  </w:rPr>
                </w:pPr>
                <w:r>
                  <w:t>1.0325</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szCs w:val="21"/>
                  </w:rPr>
                </w:pPr>
                <w:r>
                  <w:t>1.0325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sdt>
              <w:sdtPr>
                <w:tag w:val="_PLD_9faa0a246122481782395074d86cca8e"/>
                <w:id w:val="532151656"/>
                <w:lock w:val="sdtLocked"/>
              </w:sdtPr>
              <w:sdtContent>
                <w:tc>
                  <w:tcPr>
                    <w:tcW w:w="3652" w:type="dxa"/>
                    <w:tcBorders>
                      <w:top w:val="single" w:color="auto" w:sz="4" w:space="0"/>
                      <w:left w:val="single" w:color="auto" w:sz="4" w:space="0"/>
                      <w:bottom w:val="single" w:color="auto" w:sz="4" w:space="0"/>
                      <w:right w:val="single" w:color="auto" w:sz="4" w:space="0"/>
                    </w:tcBorders>
                  </w:tcPr>
                  <w:p>
                    <w:pPr>
                      <w:rPr>
                        <w:szCs w:val="21"/>
                      </w:rPr>
                    </w:pPr>
                    <w:r>
                      <w:rPr>
                        <w:szCs w:val="21"/>
                      </w:rPr>
                      <w:t>扣除非经常性损益后归属于公司普通股股东的净利润</w:t>
                    </w:r>
                  </w:p>
                </w:tc>
              </w:sdtContent>
            </w:sdt>
            <w:tc>
              <w:tcPr>
                <w:tcW w:w="1985" w:type="dxa"/>
                <w:tcBorders>
                  <w:top w:val="single" w:color="auto" w:sz="4" w:space="0"/>
                  <w:left w:val="single" w:color="auto" w:sz="4" w:space="0"/>
                  <w:bottom w:val="single" w:color="auto" w:sz="4" w:space="0"/>
                  <w:right w:val="single" w:color="auto" w:sz="4" w:space="0"/>
                </w:tcBorders>
                <w:vAlign w:val="center"/>
              </w:tcPr>
              <w:p>
                <w:pPr>
                  <w:jc w:val="right"/>
                  <w:rPr>
                    <w:szCs w:val="21"/>
                  </w:rPr>
                </w:pPr>
                <w:r>
                  <w:t>43.94</w:t>
                </w:r>
              </w:p>
            </w:tc>
            <w:tc>
              <w:tcPr>
                <w:tcW w:w="1841" w:type="dxa"/>
                <w:tcBorders>
                  <w:top w:val="single" w:color="auto" w:sz="4" w:space="0"/>
                  <w:left w:val="single" w:color="auto" w:sz="4" w:space="0"/>
                  <w:bottom w:val="single" w:color="auto" w:sz="4" w:space="0"/>
                  <w:right w:val="single" w:color="auto" w:sz="4" w:space="0"/>
                </w:tcBorders>
                <w:vAlign w:val="center"/>
              </w:tcPr>
              <w:p>
                <w:pPr>
                  <w:jc w:val="right"/>
                  <w:rPr>
                    <w:szCs w:val="21"/>
                  </w:rPr>
                </w:pPr>
                <w:r>
                  <w:t>1.0150</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szCs w:val="21"/>
                  </w:rPr>
                </w:pPr>
                <w:r>
                  <w:t>1.0150</w:t>
                </w:r>
              </w:p>
            </w:tc>
          </w:tr>
        </w:tbl>
        <w:p>
          <w:pPr>
            <w:rPr>
              <w:szCs w:val="21"/>
            </w:rPr>
          </w:pPr>
        </w:p>
      </w:sdtContent>
    </w:sdt>
    <w:p>
      <w:pPr>
        <w:pStyle w:val="4"/>
        <w:numPr>
          <w:ilvl w:val="0"/>
          <w:numId w:val="115"/>
        </w:numPr>
        <w:rPr>
          <w:rFonts w:ascii="宋体" w:hAnsi="宋体"/>
          <w:szCs w:val="21"/>
        </w:rPr>
      </w:pPr>
      <w:r>
        <w:rPr>
          <w:rFonts w:hint="eastAsia" w:ascii="宋体" w:hAnsi="宋体"/>
          <w:szCs w:val="21"/>
        </w:rPr>
        <w:t>境内外会计准则下会计数据差异</w:t>
      </w:r>
    </w:p>
    <w:sdt>
      <w:sdtPr>
        <w:alias w:val="是否适用：境内外会计准则下会计数据差异[双击切换]"/>
        <w:tag w:val="_GBC_256af937a96e4869ba07cb19341957bb"/>
        <w:id w:val="6776395"/>
        <w:lock w:val="sdtContentLocked"/>
        <w:placeholder>
          <w:docPart w:val="GBC22222222222222222222222222222"/>
        </w:placeholder>
      </w:sdtPr>
      <w:sdtContent>
        <w:p>
          <w:pPr>
            <w:rPr>
              <w:rFonts w:cstheme="minorBidi"/>
              <w:kern w:val="2"/>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rFonts w:cstheme="minorBidi"/>
          <w:kern w:val="2"/>
          <w:szCs w:val="21"/>
        </w:rPr>
      </w:pPr>
    </w:p>
    <w:p>
      <w:pPr>
        <w:rPr>
          <w:szCs w:val="21"/>
        </w:rPr>
      </w:pPr>
    </w:p>
    <w:sdt>
      <w:sdtPr>
        <w:rPr>
          <w:rFonts w:ascii="宋体" w:hAnsi="宋体" w:cs="宋体"/>
          <w:b w:val="0"/>
          <w:bCs w:val="0"/>
          <w:kern w:val="0"/>
          <w:szCs w:val="21"/>
        </w:rPr>
        <w:alias w:val="模块:补充资料其他说明事项"/>
        <w:tag w:val="_GBC_a60672e5f86e422cbb864ef991c9106b"/>
        <w:id w:val="6776398"/>
        <w:lock w:val="sdtLocked"/>
        <w:placeholder>
          <w:docPart w:val="GBC22222222222222222222222222222"/>
        </w:placeholder>
      </w:sdtPr>
      <w:sdtEndPr>
        <w:rPr>
          <w:rFonts w:ascii="宋体" w:hAnsi="宋体" w:cs="宋体"/>
          <w:b w:val="0"/>
          <w:bCs w:val="0"/>
          <w:kern w:val="0"/>
          <w:szCs w:val="21"/>
        </w:rPr>
      </w:sdtEndPr>
      <w:sdtContent>
        <w:p>
          <w:pPr>
            <w:pStyle w:val="4"/>
            <w:numPr>
              <w:ilvl w:val="0"/>
              <w:numId w:val="115"/>
            </w:numPr>
            <w:rPr>
              <w:szCs w:val="21"/>
            </w:rPr>
          </w:pPr>
          <w:r>
            <w:rPr>
              <w:rFonts w:hint="eastAsia"/>
              <w:szCs w:val="21"/>
            </w:rPr>
            <w:t>其他</w:t>
          </w:r>
        </w:p>
        <w:sdt>
          <w:sdtPr>
            <w:rPr>
              <w:rFonts w:hint="eastAsia"/>
              <w:szCs w:val="21"/>
            </w:rPr>
            <w:alias w:val="是否适用：补充资料其他说明事项[双击切换]"/>
            <w:tag w:val="_GBC_96c49cb17ab64891ac1d396be649be3c"/>
            <w:id w:val="6776396"/>
            <w:lock w:val="sdtContentLocked"/>
            <w:placeholder>
              <w:docPart w:val="GBC22222222222222222222222222222"/>
            </w:placeholder>
          </w:sdtPr>
          <w:sdtEndPr>
            <w:rPr>
              <w:rFonts w:hint="eastAsia"/>
              <w:szCs w:val="21"/>
            </w:rPr>
          </w:sdtEndPr>
          <w:sdtContent>
            <w:p>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pPr>
        <w:rPr>
          <w:szCs w:val="21"/>
        </w:rPr>
      </w:pPr>
    </w:p>
    <w:p>
      <w:pPr>
        <w:rPr>
          <w:szCs w:val="21"/>
        </w:rPr>
      </w:pPr>
    </w:p>
    <w:p>
      <w:pPr>
        <w:pStyle w:val="2"/>
        <w:numPr>
          <w:ilvl w:val="0"/>
          <w:numId w:val="2"/>
        </w:numPr>
        <w:rPr>
          <w:rFonts w:ascii="宋体" w:hAnsi="宋体" w:eastAsia="宋体"/>
          <w:bCs w:val="0"/>
          <w:szCs w:val="28"/>
        </w:rPr>
      </w:pPr>
      <w:bookmarkStart w:id="80" w:name="_Toc469563086"/>
      <w:bookmarkStart w:id="81" w:name="_Toc407111365"/>
      <w:r>
        <w:rPr>
          <w:rFonts w:ascii="宋体" w:hAnsi="宋体" w:eastAsia="宋体"/>
          <w:bCs w:val="0"/>
        </w:rPr>
        <w:t>备查</w:t>
      </w:r>
      <w:r>
        <w:rPr>
          <w:rFonts w:ascii="宋体" w:hAnsi="宋体" w:eastAsia="宋体"/>
          <w:bCs w:val="0"/>
          <w:szCs w:val="28"/>
        </w:rPr>
        <w:t>文件目录</w:t>
      </w:r>
      <w:bookmarkEnd w:id="80"/>
      <w:bookmarkEnd w:id="81"/>
    </w:p>
    <w:sdt>
      <w:sdtPr>
        <w:rPr>
          <w:b/>
          <w:bCs/>
          <w:sz w:val="24"/>
        </w:rPr>
        <w:alias w:val="模块:备查文件目录"/>
        <w:tag w:val="_GBC_963a7d90a6f14cd592de64155ea294f1"/>
        <w:id w:val="6776407"/>
        <w:lock w:val="sdtLocked"/>
        <w:placeholder>
          <w:docPart w:val="GBC22222222222222222222222222222"/>
        </w:placeholder>
      </w:sdtPr>
      <w:sdtEndPr>
        <w:rPr>
          <w:b w:val="0"/>
          <w:bCs w:val="0"/>
          <w:sz w:val="21"/>
        </w:rPr>
      </w:sdtEndPr>
      <w:sdtContent>
        <w:p>
          <w:pPr>
            <w:spacing w:line="360" w:lineRule="exact"/>
            <w:ind w:right="5"/>
            <w:rPr>
              <w:b/>
              <w:bCs/>
              <w:sz w:val="24"/>
            </w:rPr>
          </w:pPr>
        </w:p>
        <w:tbl>
          <w:tblPr>
            <w:tblStyle w:val="8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94"/>
            <w:gridCol w:w="6599"/>
          </w:tblGrid>
          <w:sdt>
            <w:sdtPr>
              <w:rPr>
                <w:rFonts w:asciiTheme="minorHAnsi" w:hAnsiTheme="minorHAnsi" w:eastAsiaTheme="minorEastAsia" w:cstheme="minorBidi"/>
                <w:kern w:val="2"/>
                <w:szCs w:val="22"/>
              </w:rPr>
              <w:alias w:val="备查文件情况"/>
              <w:tag w:val="_GBC_a1af99b129a74e47a865dd7d29f8fd1f"/>
              <w:id w:val="1076754"/>
              <w:lock w:val="sdtLocked"/>
            </w:sdtPr>
            <w:sdtEndPr>
              <w:rPr>
                <w:rFonts w:asciiTheme="minorHAnsi" w:hAnsiTheme="minorHAnsi" w:eastAsiaTheme="minorEastAsia" w:cstheme="minorBidi"/>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rPr>
                      <w:rFonts w:asciiTheme="minorHAnsi" w:hAnsiTheme="minorHAnsi" w:eastAsiaTheme="minorEastAsia" w:cstheme="minorBidi"/>
                      <w:kern w:val="2"/>
                      <w:szCs w:val="22"/>
                    </w:rPr>
                    <w:tag w:val="_PLD_2e6c9fd0dd554ae6809ae6f09827acf7"/>
                    <w:id w:val="1076753"/>
                    <w:lock w:val="sdtLocked"/>
                  </w:sdtPr>
                  <w:sdtEndPr>
                    <w:rPr>
                      <w:rFonts w:ascii="宋体" w:hAnsi="宋体" w:eastAsia="宋体" w:cs="宋体"/>
                      <w:kern w:val="0"/>
                      <w:szCs w:val="24"/>
                    </w:rPr>
                  </w:sdtEndPr>
                  <w:sdtContent>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pPr>
                        <w:r>
                          <w:t>备查文件目录</w:t>
                        </w:r>
                      </w:p>
                    </w:tc>
                  </w:sdtContent>
                </w:sdt>
                <w:tc>
                  <w:tcPr>
                    <w:tcW w:w="6599" w:type="dxa"/>
                    <w:tcBorders>
                      <w:top w:val="single" w:color="auto" w:sz="4" w:space="0"/>
                      <w:left w:val="single" w:color="auto" w:sz="4" w:space="0"/>
                      <w:bottom w:val="single" w:color="auto" w:sz="4" w:space="0"/>
                      <w:right w:val="single" w:color="auto" w:sz="4" w:space="0"/>
                    </w:tcBorders>
                  </w:tcPr>
                  <w:p>
                    <w:pPr>
                      <w:autoSpaceDE w:val="0"/>
                      <w:autoSpaceDN w:val="0"/>
                      <w:adjustRightInd w:val="0"/>
                    </w:pPr>
                    <w:r>
                      <w:t>载有法定代表人、主管会计工作负责人、会计机构负责人签名并盖章的财务报表。</w:t>
                    </w:r>
                  </w:p>
                </w:tc>
              </w:tr>
            </w:sdtContent>
          </w:sdt>
          <w:sdt>
            <w:sdtPr>
              <w:rPr>
                <w:rFonts w:asciiTheme="minorHAnsi" w:hAnsiTheme="minorHAnsi" w:eastAsiaTheme="minorEastAsia" w:cstheme="minorBidi"/>
                <w:kern w:val="2"/>
                <w:szCs w:val="22"/>
              </w:rPr>
              <w:alias w:val="备查文件情况"/>
              <w:tag w:val="_GBC_a1af99b129a74e47a865dd7d29f8fd1f"/>
              <w:id w:val="1076756"/>
              <w:lock w:val="sdtLocked"/>
            </w:sdtPr>
            <w:sdtEndPr>
              <w:rPr>
                <w:rFonts w:asciiTheme="minorHAnsi" w:hAnsiTheme="minorHAnsi" w:eastAsiaTheme="minorEastAsia" w:cstheme="minorBidi"/>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rPr>
                      <w:rFonts w:asciiTheme="minorHAnsi" w:hAnsiTheme="minorHAnsi" w:eastAsiaTheme="minorEastAsia" w:cstheme="minorBidi"/>
                      <w:kern w:val="2"/>
                      <w:szCs w:val="22"/>
                    </w:rPr>
                    <w:tag w:val="_PLD_2e6c9fd0dd554ae6809ae6f09827acf7"/>
                    <w:id w:val="1076755"/>
                    <w:lock w:val="sdtLocked"/>
                  </w:sdtPr>
                  <w:sdtEndPr>
                    <w:rPr>
                      <w:rFonts w:ascii="宋体" w:hAnsi="宋体" w:eastAsia="宋体" w:cs="宋体"/>
                      <w:kern w:val="0"/>
                      <w:szCs w:val="24"/>
                    </w:rPr>
                  </w:sdtEndPr>
                  <w:sdtContent>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pPr>
                        <w:r>
                          <w:t>备查文件目录</w:t>
                        </w:r>
                      </w:p>
                    </w:tc>
                  </w:sdtContent>
                </w:sdt>
                <w:tc>
                  <w:tcPr>
                    <w:tcW w:w="6599" w:type="dxa"/>
                    <w:tcBorders>
                      <w:top w:val="single" w:color="auto" w:sz="4" w:space="0"/>
                      <w:left w:val="single" w:color="auto" w:sz="4" w:space="0"/>
                      <w:bottom w:val="single" w:color="auto" w:sz="4" w:space="0"/>
                      <w:right w:val="single" w:color="auto" w:sz="4" w:space="0"/>
                    </w:tcBorders>
                  </w:tcPr>
                  <w:p>
                    <w:pPr>
                      <w:autoSpaceDE w:val="0"/>
                      <w:autoSpaceDN w:val="0"/>
                      <w:adjustRightInd w:val="0"/>
                    </w:pPr>
                    <w:r>
                      <w:t>载有会计师事务所盖章、注册会计师签名并盖章的审计报告原件。</w:t>
                    </w:r>
                  </w:p>
                </w:tc>
              </w:tr>
            </w:sdtContent>
          </w:sdt>
          <w:sdt>
            <w:sdtPr>
              <w:rPr>
                <w:rFonts w:asciiTheme="minorHAnsi" w:hAnsiTheme="minorHAnsi" w:eastAsiaTheme="minorEastAsia" w:cstheme="minorBidi"/>
                <w:kern w:val="2"/>
                <w:szCs w:val="22"/>
              </w:rPr>
              <w:alias w:val="备查文件情况"/>
              <w:tag w:val="_GBC_a1af99b129a74e47a865dd7d29f8fd1f"/>
              <w:id w:val="1076758"/>
              <w:lock w:val="sdtLocked"/>
            </w:sdtPr>
            <w:sdtEndPr>
              <w:rPr>
                <w:rFonts w:asciiTheme="minorHAnsi" w:hAnsiTheme="minorHAnsi" w:eastAsiaTheme="minorEastAsia" w:cstheme="minorBidi"/>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rPr>
                      <w:rFonts w:asciiTheme="minorHAnsi" w:hAnsiTheme="minorHAnsi" w:eastAsiaTheme="minorEastAsia" w:cstheme="minorBidi"/>
                      <w:kern w:val="2"/>
                      <w:szCs w:val="22"/>
                    </w:rPr>
                    <w:tag w:val="_PLD_2e6c9fd0dd554ae6809ae6f09827acf7"/>
                    <w:id w:val="1076757"/>
                    <w:lock w:val="sdtLocked"/>
                  </w:sdtPr>
                  <w:sdtEndPr>
                    <w:rPr>
                      <w:rFonts w:ascii="宋体" w:hAnsi="宋体" w:eastAsia="宋体" w:cs="宋体"/>
                      <w:kern w:val="0"/>
                      <w:szCs w:val="24"/>
                    </w:rPr>
                  </w:sdtEndPr>
                  <w:sdtContent>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pPr>
                        <w:r>
                          <w:t>备查文件目录</w:t>
                        </w:r>
                      </w:p>
                    </w:tc>
                  </w:sdtContent>
                </w:sdt>
                <w:tc>
                  <w:tcPr>
                    <w:tcW w:w="6599" w:type="dxa"/>
                    <w:tcBorders>
                      <w:top w:val="single" w:color="auto" w:sz="4" w:space="0"/>
                      <w:left w:val="single" w:color="auto" w:sz="4" w:space="0"/>
                      <w:bottom w:val="single" w:color="auto" w:sz="4" w:space="0"/>
                      <w:right w:val="single" w:color="auto" w:sz="4" w:space="0"/>
                    </w:tcBorders>
                  </w:tcPr>
                  <w:p>
                    <w:pPr>
                      <w:autoSpaceDE w:val="0"/>
                      <w:autoSpaceDN w:val="0"/>
                      <w:adjustRightInd w:val="0"/>
                    </w:pPr>
                    <w:r>
                      <w:t>载有公司法定代表人签名并盖章的201</w:t>
                    </w:r>
                    <w:r>
                      <w:rPr>
                        <w:rFonts w:hint="eastAsia"/>
                      </w:rPr>
                      <w:t>7</w:t>
                    </w:r>
                    <w:r>
                      <w:t>年年度报告。</w:t>
                    </w:r>
                  </w:p>
                </w:tc>
              </w:tr>
            </w:sdtContent>
          </w:sdt>
        </w:tbl>
        <w:p/>
        <w:p>
          <w:pPr>
            <w:wordWrap w:val="0"/>
            <w:spacing w:line="360" w:lineRule="exact"/>
            <w:ind w:right="5"/>
            <w:jc w:val="right"/>
            <w:rPr>
              <w:u w:val="single"/>
            </w:rPr>
          </w:pPr>
          <w:r>
            <w:t>董事长：</w:t>
          </w:r>
          <w:sdt>
            <w:sdtPr>
              <w:alias w:val="报告发布人"/>
              <w:tag w:val="_GBC_c7ba2bb638cf41b594c93928cb88221a"/>
              <w:id w:val="6776405"/>
              <w:lock w:val="sdtLocked"/>
              <w:placeholder>
                <w:docPart w:val="GBC22222222222222222222222222222"/>
              </w:placeholder>
            </w:sdtPr>
            <w:sdtContent>
              <w:r>
                <w:rPr>
                  <w:rFonts w:hint="eastAsia"/>
                </w:rPr>
                <w:t>陈有升</w:t>
              </w:r>
            </w:sdtContent>
          </w:sdt>
        </w:p>
        <w:p>
          <w:pPr>
            <w:spacing w:line="360" w:lineRule="exact"/>
            <w:ind w:right="5"/>
            <w:jc w:val="right"/>
            <w:rPr>
              <w:color w:val="008000"/>
              <w:u w:val="single"/>
            </w:rPr>
          </w:pPr>
          <w:r>
            <w:t>董事会批准报送日期：</w:t>
          </w:r>
          <w:sdt>
            <w:sdtPr>
              <w:alias w:val="报告董事会批准报送日期"/>
              <w:tag w:val="_GBC_71049e7f7e514ae7b28070ad1a1eb831"/>
              <w:id w:val="6776406"/>
              <w:lock w:val="sdtLocked"/>
              <w:placeholder>
                <w:docPart w:val="GBC22222222222222222222222222222"/>
              </w:placeholder>
              <w:date w:fullDate="2018-04-09T00:00:00Z">
                <w:dateFormat w:val="yyyy'年'M'月'd'日'"/>
                <w:lid w:val="zh-CN"/>
                <w:storeMappedDataAs w:val="datetime"/>
                <w:calendar w:val="gregorian"/>
              </w:date>
            </w:sdtPr>
            <w:sdtContent>
              <w:r>
                <w:rPr>
                  <w:rFonts w:hint="eastAsia"/>
                </w:rPr>
                <w:t>2018年4月9日</w:t>
              </w:r>
            </w:sdtContent>
          </w:sdt>
        </w:p>
      </w:sdtContent>
    </w:sdt>
    <w:p>
      <w:pPr>
        <w:spacing w:line="360" w:lineRule="exact"/>
        <w:ind w:right="5"/>
      </w:pPr>
    </w:p>
    <w:sdt>
      <w:sdtPr>
        <w:rPr>
          <w:sz w:val="24"/>
        </w:rPr>
        <w:alias w:val="模块:修订信息 "/>
        <w:tag w:val="_GBC_e51b54728b2e4e53b95b0611d0df9b06"/>
        <w:id w:val="6776414"/>
        <w:lock w:val="sdtLocked"/>
        <w:placeholder>
          <w:docPart w:val="GBC22222222222222222222222222222"/>
        </w:placeholder>
      </w:sdtPr>
      <w:sdtEndPr>
        <w:rPr>
          <w:sz w:val="21"/>
        </w:rPr>
      </w:sdtEndPr>
      <w:sdtContent>
        <w:p>
          <w:pPr>
            <w:spacing w:line="360" w:lineRule="exact"/>
            <w:ind w:right="5"/>
            <w:rPr>
              <w:b/>
              <w:sz w:val="24"/>
            </w:rPr>
          </w:pPr>
          <w:r>
            <w:rPr>
              <w:b/>
              <w:sz w:val="24"/>
            </w:rPr>
            <w:t>修订信息</w:t>
          </w:r>
        </w:p>
        <w:sdt>
          <w:sdtPr>
            <w:alias w:val="是否适用：修订信息表[双击切换]"/>
            <w:tag w:val="_GBC_888e757d42a24d3a87b71f50b0589b0a"/>
            <w:id w:val="6776408"/>
            <w:lock w:val="sdtContentLocked"/>
            <w:placeholder>
              <w:docPart w:val="GBC22222222222222222222222222222"/>
            </w:placeholder>
          </w:sdtPr>
          <w:sdtContent>
            <w:p>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ectPr>
      <w:pgSz w:w="11906" w:h="16838"/>
      <w:pgMar w:top="1525" w:right="1276" w:bottom="1440" w:left="1797" w:header="856"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Helvetica-Narrow">
    <w:altName w:val="Arial Narrow"/>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7835307"/>
      <w:docPartObj>
        <w:docPartGallery w:val="autotext"/>
      </w:docPartObj>
    </w:sdtPr>
    <w:sdtContent>
      <w:sdt>
        <w:sdtPr>
          <w:id w:val="1080646581"/>
          <w:docPartObj>
            <w:docPartGallery w:val="autotext"/>
          </w:docPartObj>
        </w:sdtPr>
        <w:sdtContent>
          <w:p>
            <w:pPr>
              <w:pStyle w:val="26"/>
              <w:jc w:val="center"/>
            </w:pP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124</w:t>
            </w:r>
            <w:r>
              <w:rPr>
                <w:b/>
                <w:bCs/>
                <w:sz w:val="24"/>
                <w:szCs w:val="24"/>
              </w:rPr>
              <w:fldChar w:fldCharType="end"/>
            </w:r>
          </w:p>
        </w:sdtContent>
      </w:sdt>
    </w:sdtContent>
  </w:sdt>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8364"/>
        <w:tab w:val="left" w:pos="8505"/>
        <w:tab w:val="clear" w:pos="8306"/>
      </w:tabs>
      <w:ind w:right="21" w:rightChars="10"/>
      <w:rPr>
        <w:b/>
      </w:rPr>
    </w:pPr>
    <w:r>
      <w:rPr>
        <w:rFonts w:hint="eastAsia"/>
      </w:rPr>
      <w:t>2017年年度报告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58"/>
    <w:multiLevelType w:val="multilevel"/>
    <w:tmpl w:val="00533058"/>
    <w:lvl w:ilvl="0" w:tentative="0">
      <w:start w:val="1"/>
      <w:numFmt w:val="decimal"/>
      <w:lvlText w:val="%1、"/>
      <w:lvlJc w:val="left"/>
      <w:pPr>
        <w:ind w:left="425" w:hanging="425"/>
      </w:pPr>
      <w:rPr>
        <w:rFonts w:hint="eastAsia" w:ascii="宋体" w:hAnsi="宋体" w:eastAsia="宋体"/>
        <w:color w:val="auto"/>
        <w:sz w:val="21"/>
        <w:szCs w:val="21"/>
        <w:u w:val="none"/>
      </w:rPr>
    </w:lvl>
    <w:lvl w:ilvl="1" w:tentative="0">
      <w:start w:val="1"/>
      <w:numFmt w:val="chineseCountingThousand"/>
      <w:lvlText w:val="%2、"/>
      <w:lvlJc w:val="left"/>
      <w:pPr>
        <w:ind w:left="567" w:hanging="567"/>
      </w:pPr>
      <w:rPr>
        <w:rFonts w:hint="eastAsia"/>
        <w:color w:val="auto"/>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11C35CC"/>
    <w:multiLevelType w:val="multilevel"/>
    <w:tmpl w:val="011C35CC"/>
    <w:lvl w:ilvl="0" w:tentative="0">
      <w:start w:val="1"/>
      <w:numFmt w:val="decimal"/>
      <w:lvlText w:val="%1."/>
      <w:lvlJc w:val="left"/>
      <w:pPr>
        <w:ind w:left="425" w:hanging="425"/>
      </w:pPr>
      <w:rPr>
        <w:rFonts w:hint="eastAsia" w:asciiTheme="minorEastAsia" w:hAnsiTheme="minorEastAsia" w:eastAsiaTheme="minor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17D348C"/>
    <w:multiLevelType w:val="multilevel"/>
    <w:tmpl w:val="017D34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BB108F"/>
    <w:multiLevelType w:val="multilevel"/>
    <w:tmpl w:val="01BB108F"/>
    <w:lvl w:ilvl="0" w:tentative="0">
      <w:start w:val="1"/>
      <w:numFmt w:val="decimal"/>
      <w:lvlText w:val="(%1)."/>
      <w:lvlJc w:val="left"/>
      <w:pPr>
        <w:ind w:left="425" w:hanging="425"/>
      </w:pPr>
      <w:rPr>
        <w:rFonts w:hint="eastAsia" w:ascii="宋体" w:hAnsi="宋体" w:eastAsia="宋体"/>
        <w:b/>
        <w:color w:val="auto"/>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1C7576E"/>
    <w:multiLevelType w:val="multilevel"/>
    <w:tmpl w:val="01C7576E"/>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29F3E5A"/>
    <w:multiLevelType w:val="multilevel"/>
    <w:tmpl w:val="029F3E5A"/>
    <w:lvl w:ilvl="0" w:tentative="0">
      <w:start w:val="1"/>
      <w:numFmt w:val="decimal"/>
      <w:lvlText w:val="%1、"/>
      <w:lvlJc w:val="left"/>
      <w:pPr>
        <w:ind w:left="420" w:hanging="420"/>
      </w:pPr>
      <w:rPr>
        <w:rFonts w:hint="default"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2E66CBA"/>
    <w:multiLevelType w:val="multilevel"/>
    <w:tmpl w:val="02E66CBA"/>
    <w:lvl w:ilvl="0" w:tentative="0">
      <w:start w:val="1"/>
      <w:numFmt w:val="chineseCountingThousand"/>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B7239C"/>
    <w:multiLevelType w:val="multilevel"/>
    <w:tmpl w:val="03B7239C"/>
    <w:lvl w:ilvl="0" w:tentative="0">
      <w:start w:val="1"/>
      <w:numFmt w:val="chineseCountingThousand"/>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74C3003"/>
    <w:multiLevelType w:val="multilevel"/>
    <w:tmpl w:val="074C3003"/>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7DD62F7"/>
    <w:multiLevelType w:val="multilevel"/>
    <w:tmpl w:val="07DD62F7"/>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0918050B"/>
    <w:multiLevelType w:val="multilevel"/>
    <w:tmpl w:val="0918050B"/>
    <w:lvl w:ilvl="0" w:tentative="0">
      <w:start w:val="1"/>
      <w:numFmt w:val="decimal"/>
      <w:suff w:val="nothing"/>
      <w:lvlText w:val="(%1)、"/>
      <w:lvlJc w:val="left"/>
      <w:pPr>
        <w:ind w:left="420" w:hanging="420"/>
      </w:pPr>
      <w:rPr>
        <w:rFonts w:hint="default" w:ascii="宋体" w:hAnsi="宋体" w:eastAsia="宋体"/>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98731CB"/>
    <w:multiLevelType w:val="multilevel"/>
    <w:tmpl w:val="098731CB"/>
    <w:lvl w:ilvl="0" w:tentative="0">
      <w:start w:val="1"/>
      <w:numFmt w:val="decimal"/>
      <w:lvlText w:val="(%1). "/>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E1F5ED2"/>
    <w:multiLevelType w:val="multilevel"/>
    <w:tmpl w:val="0E1F5ED2"/>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104977C1"/>
    <w:multiLevelType w:val="multilevel"/>
    <w:tmpl w:val="104977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0A00340"/>
    <w:multiLevelType w:val="multilevel"/>
    <w:tmpl w:val="10A00340"/>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EC0EF1"/>
    <w:multiLevelType w:val="multilevel"/>
    <w:tmpl w:val="12EC0EF1"/>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15621257"/>
    <w:multiLevelType w:val="multilevel"/>
    <w:tmpl w:val="15621257"/>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17316F2F"/>
    <w:multiLevelType w:val="multilevel"/>
    <w:tmpl w:val="17316F2F"/>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185F3408"/>
    <w:multiLevelType w:val="multilevel"/>
    <w:tmpl w:val="185F340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189259D1"/>
    <w:multiLevelType w:val="multilevel"/>
    <w:tmpl w:val="189259D1"/>
    <w:lvl w:ilvl="0" w:tentative="0">
      <w:start w:val="1"/>
      <w:numFmt w:val="decimal"/>
      <w:suff w:val="nothing"/>
      <w:lvlText w:val="(%1)、"/>
      <w:lvlJc w:val="left"/>
      <w:pPr>
        <w:ind w:left="420" w:hanging="420"/>
      </w:pPr>
      <w:rPr>
        <w:rFonts w:hint="default" w:ascii="宋体" w:hAnsi="宋体" w:eastAsia="宋体"/>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18A52FB9"/>
    <w:multiLevelType w:val="multilevel"/>
    <w:tmpl w:val="18A52FB9"/>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EC30BF"/>
    <w:multiLevelType w:val="multilevel"/>
    <w:tmpl w:val="1CEC30BF"/>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1D11584D"/>
    <w:multiLevelType w:val="multilevel"/>
    <w:tmpl w:val="1D11584D"/>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1E235F8B"/>
    <w:multiLevelType w:val="multilevel"/>
    <w:tmpl w:val="1E235F8B"/>
    <w:lvl w:ilvl="0" w:tentative="0">
      <w:start w:val="1"/>
      <w:numFmt w:val="chineseCountingThousand"/>
      <w:lvlText w:val="第%1节"/>
      <w:lvlJc w:val="left"/>
      <w:pPr>
        <w:ind w:left="425" w:hanging="425"/>
      </w:pPr>
      <w:rPr>
        <w:rFonts w:hint="eastAsia"/>
        <w:color w:val="auto"/>
        <w:sz w:val="28"/>
        <w:szCs w:val="28"/>
        <w:u w:val="none"/>
        <w:lang w:val="en-US"/>
      </w:rPr>
    </w:lvl>
    <w:lvl w:ilvl="1" w:tentative="0">
      <w:start w:val="1"/>
      <w:numFmt w:val="chineseCountingThousand"/>
      <w:lvlText w:val="%2、"/>
      <w:lvlJc w:val="left"/>
      <w:pPr>
        <w:ind w:left="567" w:hanging="567"/>
      </w:pPr>
      <w:rPr>
        <w:rFonts w:hint="eastAsia"/>
        <w:color w:val="auto"/>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1F4131F6"/>
    <w:multiLevelType w:val="multilevel"/>
    <w:tmpl w:val="1F4131F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F7158DD"/>
    <w:multiLevelType w:val="multilevel"/>
    <w:tmpl w:val="1F7158DD"/>
    <w:lvl w:ilvl="0" w:tentative="0">
      <w:start w:val="1"/>
      <w:numFmt w:val="decimal"/>
      <w:lvlText w:val="(%1). "/>
      <w:lvlJc w:val="left"/>
      <w:pPr>
        <w:ind w:left="704"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FD019D7"/>
    <w:multiLevelType w:val="multilevel"/>
    <w:tmpl w:val="1FD019D7"/>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204F3B0A"/>
    <w:multiLevelType w:val="multilevel"/>
    <w:tmpl w:val="204F3B0A"/>
    <w:lvl w:ilvl="0" w:tentative="0">
      <w:start w:val="1"/>
      <w:numFmt w:val="chineseCountingThousand"/>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8">
    <w:nsid w:val="20CE3D0E"/>
    <w:multiLevelType w:val="multilevel"/>
    <w:tmpl w:val="20CE3D0E"/>
    <w:lvl w:ilvl="0" w:tentative="0">
      <w:start w:val="1"/>
      <w:numFmt w:val="decimal"/>
      <w:lvlText w:val="(%1). "/>
      <w:lvlJc w:val="left"/>
      <w:pPr>
        <w:ind w:left="567" w:hanging="425"/>
      </w:pPr>
      <w:rPr>
        <w:rFonts w:hint="eastAsia" w:ascii="宋体" w:hAnsi="宋体" w:eastAsia="宋体"/>
        <w:color w:val="auto"/>
        <w:u w:val="none"/>
      </w:rPr>
    </w:lvl>
    <w:lvl w:ilvl="1" w:tentative="0">
      <w:start w:val="1"/>
      <w:numFmt w:val="chineseCountingThousand"/>
      <w:lvlText w:val="%2、"/>
      <w:lvlJc w:val="left"/>
      <w:pPr>
        <w:ind w:left="567" w:hanging="567"/>
      </w:pPr>
      <w:rPr>
        <w:rFonts w:hint="eastAsia"/>
        <w:color w:val="auto"/>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2121200C"/>
    <w:multiLevelType w:val="multilevel"/>
    <w:tmpl w:val="2121200C"/>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21516057"/>
    <w:multiLevelType w:val="multilevel"/>
    <w:tmpl w:val="21516057"/>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217F3B1B"/>
    <w:multiLevelType w:val="multilevel"/>
    <w:tmpl w:val="217F3B1B"/>
    <w:lvl w:ilvl="0" w:tentative="0">
      <w:start w:val="1"/>
      <w:numFmt w:val="decimal"/>
      <w:lvlText w:val="(%1)."/>
      <w:lvlJc w:val="left"/>
      <w:pPr>
        <w:ind w:left="425" w:hanging="425"/>
      </w:pPr>
      <w:rPr>
        <w:rFonts w:hint="default" w:ascii="宋体" w:hAnsi="宋体" w:eastAsia="宋体"/>
        <w:color w:val="auto"/>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21A7388C"/>
    <w:multiLevelType w:val="multilevel"/>
    <w:tmpl w:val="21A7388C"/>
    <w:lvl w:ilvl="0" w:tentative="0">
      <w:start w:val="1"/>
      <w:numFmt w:val="chineseCountingThousand"/>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21F9086D"/>
    <w:multiLevelType w:val="multilevel"/>
    <w:tmpl w:val="21F9086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4">
    <w:nsid w:val="240E5F0D"/>
    <w:multiLevelType w:val="multilevel"/>
    <w:tmpl w:val="240E5F0D"/>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246C0E3A"/>
    <w:multiLevelType w:val="multilevel"/>
    <w:tmpl w:val="246C0E3A"/>
    <w:lvl w:ilvl="0" w:tentative="0">
      <w:start w:val="1"/>
      <w:numFmt w:val="decimal"/>
      <w:lvlText w:val="(%1). "/>
      <w:lvlJc w:val="left"/>
      <w:pPr>
        <w:ind w:left="425" w:hanging="425"/>
      </w:pPr>
      <w:rPr>
        <w:rFonts w:hint="eastAsia"/>
        <w:color w:val="auto"/>
        <w:u w:val="none"/>
      </w:rPr>
    </w:lvl>
    <w:lvl w:ilvl="1" w:tentative="0">
      <w:start w:val="1"/>
      <w:numFmt w:val="chineseCountingThousand"/>
      <w:lvlText w:val="%2、"/>
      <w:lvlJc w:val="left"/>
      <w:pPr>
        <w:ind w:left="567" w:hanging="567"/>
      </w:pPr>
      <w:rPr>
        <w:rFonts w:hint="eastAsia"/>
        <w:color w:val="auto"/>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6">
    <w:nsid w:val="248E2347"/>
    <w:multiLevelType w:val="multilevel"/>
    <w:tmpl w:val="248E2347"/>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7">
    <w:nsid w:val="289B0843"/>
    <w:multiLevelType w:val="multilevel"/>
    <w:tmpl w:val="289B0843"/>
    <w:lvl w:ilvl="0" w:tentative="0">
      <w:start w:val="1"/>
      <w:numFmt w:val="decimal"/>
      <w:lvlText w:val="(%1). "/>
      <w:lvlJc w:val="left"/>
      <w:pPr>
        <w:ind w:left="420" w:hanging="420"/>
      </w:pPr>
      <w:rPr>
        <w:rFonts w:hint="eastAsia" w:ascii="宋体" w:hAnsi="宋体" w:eastAsia="宋体"/>
      </w:rPr>
    </w:lvl>
    <w:lvl w:ilvl="1" w:tentative="0">
      <w:start w:val="1"/>
      <w:numFmt w:val="decimal"/>
      <w:suff w:val="nothing"/>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2AB9492A"/>
    <w:multiLevelType w:val="multilevel"/>
    <w:tmpl w:val="2AB9492A"/>
    <w:lvl w:ilvl="0" w:tentative="0">
      <w:start w:val="1"/>
      <w:numFmt w:val="decimal"/>
      <w:lvlText w:val="%1."/>
      <w:lvlJc w:val="left"/>
      <w:pPr>
        <w:ind w:left="425" w:hanging="425"/>
      </w:pPr>
    </w:lvl>
    <w:lvl w:ilvl="1" w:tentative="0">
      <w:start w:val="1"/>
      <w:numFmt w:val="chineseCountingThousand"/>
      <w:lvlText w:val="(%2)"/>
      <w:lvlJc w:val="left"/>
      <w:pPr>
        <w:ind w:left="567" w:hanging="567"/>
      </w:pPr>
      <w:rPr>
        <w:rFonts w:ascii="宋体" w:hAnsi="宋体" w:eastAsia="宋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9">
    <w:nsid w:val="2ABA5091"/>
    <w:multiLevelType w:val="multilevel"/>
    <w:tmpl w:val="2ABA5091"/>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AF651E5"/>
    <w:multiLevelType w:val="multilevel"/>
    <w:tmpl w:val="2AF651E5"/>
    <w:lvl w:ilvl="0" w:tentative="0">
      <w:start w:val="1"/>
      <w:numFmt w:val="decimal"/>
      <w:suff w:val="nothing"/>
      <w:lvlText w:val="(%1). "/>
      <w:lvlJc w:val="left"/>
      <w:pPr>
        <w:ind w:left="420" w:hanging="420"/>
      </w:pPr>
      <w:rPr>
        <w:rFonts w:hint="eastAsia"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B081EE9"/>
    <w:multiLevelType w:val="multilevel"/>
    <w:tmpl w:val="2B081EE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2">
    <w:nsid w:val="2B2C016C"/>
    <w:multiLevelType w:val="multilevel"/>
    <w:tmpl w:val="2B2C016C"/>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3">
    <w:nsid w:val="2C7D045A"/>
    <w:multiLevelType w:val="multilevel"/>
    <w:tmpl w:val="2C7D045A"/>
    <w:lvl w:ilvl="0" w:tentative="0">
      <w:start w:val="1"/>
      <w:numFmt w:val="decimal"/>
      <w:suff w:val="nothing"/>
      <w:lvlText w:val="%1、 "/>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DE55932"/>
    <w:multiLevelType w:val="multilevel"/>
    <w:tmpl w:val="2DE55932"/>
    <w:lvl w:ilvl="0" w:tentative="0">
      <w:start w:val="1"/>
      <w:numFmt w:val="chineseCountingThousand"/>
      <w:suff w:val="nothing"/>
      <w:lvlText w:val="%1、"/>
      <w:lvlJc w:val="left"/>
      <w:pPr>
        <w:ind w:left="420" w:hanging="420"/>
      </w:pPr>
      <w:rPr>
        <w:rFonts w:hint="eastAsia"/>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EE67383"/>
    <w:multiLevelType w:val="multilevel"/>
    <w:tmpl w:val="2EE67383"/>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6">
    <w:nsid w:val="31042AC8"/>
    <w:multiLevelType w:val="multilevel"/>
    <w:tmpl w:val="31042AC8"/>
    <w:lvl w:ilvl="0" w:tentative="0">
      <w:start w:val="1"/>
      <w:numFmt w:val="chineseCountingThousand"/>
      <w:suff w:val="nothing"/>
      <w:lvlText w:val="%1、"/>
      <w:lvlJc w:val="left"/>
      <w:pPr>
        <w:ind w:left="420" w:hanging="420"/>
      </w:pPr>
      <w:rPr>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321F7C35"/>
    <w:multiLevelType w:val="multilevel"/>
    <w:tmpl w:val="321F7C3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8">
    <w:nsid w:val="322A2C22"/>
    <w:multiLevelType w:val="multilevel"/>
    <w:tmpl w:val="322A2C2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2854FB6"/>
    <w:multiLevelType w:val="multilevel"/>
    <w:tmpl w:val="32854FB6"/>
    <w:lvl w:ilvl="0" w:tentative="0">
      <w:start w:val="1"/>
      <w:numFmt w:val="chineseCountingThousand"/>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33C38BB"/>
    <w:multiLevelType w:val="multilevel"/>
    <w:tmpl w:val="333C38BB"/>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1">
    <w:nsid w:val="335B6447"/>
    <w:multiLevelType w:val="multilevel"/>
    <w:tmpl w:val="335B6447"/>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2">
    <w:nsid w:val="3438131C"/>
    <w:multiLevelType w:val="multilevel"/>
    <w:tmpl w:val="3438131C"/>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356C3B2A"/>
    <w:multiLevelType w:val="multilevel"/>
    <w:tmpl w:val="356C3B2A"/>
    <w:lvl w:ilvl="0" w:tentative="0">
      <w:start w:val="1"/>
      <w:numFmt w:val="decimal"/>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6214AF8"/>
    <w:multiLevelType w:val="multilevel"/>
    <w:tmpl w:val="36214AF8"/>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37C3610E"/>
    <w:multiLevelType w:val="multilevel"/>
    <w:tmpl w:val="37C3610E"/>
    <w:lvl w:ilvl="0" w:tentative="0">
      <w:start w:val="1"/>
      <w:numFmt w:val="chineseCountingThousand"/>
      <w:lvlText w:val="%1、"/>
      <w:lvlJc w:val="left"/>
      <w:pPr>
        <w:ind w:left="704" w:hanging="420"/>
      </w:pPr>
      <w:rPr>
        <w:rFonts w:hint="default"/>
        <w:b/>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383D41D3"/>
    <w:multiLevelType w:val="multilevel"/>
    <w:tmpl w:val="383D41D3"/>
    <w:lvl w:ilvl="0" w:tentative="0">
      <w:start w:val="1"/>
      <w:numFmt w:val="decimal"/>
      <w:lvlText w:val="(%1). "/>
      <w:lvlJc w:val="left"/>
      <w:pPr>
        <w:ind w:left="425" w:hanging="425"/>
      </w:pPr>
      <w:rPr>
        <w:rFonts w:hint="eastAsia"/>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7">
    <w:nsid w:val="3D2B6D0A"/>
    <w:multiLevelType w:val="multilevel"/>
    <w:tmpl w:val="3D2B6D0A"/>
    <w:lvl w:ilvl="0" w:tentative="0">
      <w:start w:val="1"/>
      <w:numFmt w:val="chineseCountingThousand"/>
      <w:lvlText w:val="(%1)"/>
      <w:lvlJc w:val="left"/>
      <w:pPr>
        <w:ind w:left="420" w:hanging="420"/>
      </w:pPr>
      <w:rPr>
        <w:rFonts w:ascii="宋体" w:hAnsi="宋体" w:eastAsia="宋体"/>
      </w:rPr>
    </w:lvl>
    <w:lvl w:ilvl="1" w:tentative="0">
      <w:start w:val="1"/>
      <w:numFmt w:val="chineseCountingThousand"/>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3D411AC0"/>
    <w:multiLevelType w:val="multilevel"/>
    <w:tmpl w:val="3D411AC0"/>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9">
    <w:nsid w:val="3D620F38"/>
    <w:multiLevelType w:val="multilevel"/>
    <w:tmpl w:val="3D620F38"/>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DC039A2"/>
    <w:multiLevelType w:val="multilevel"/>
    <w:tmpl w:val="3DC039A2"/>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1">
    <w:nsid w:val="3EA740FE"/>
    <w:multiLevelType w:val="multilevel"/>
    <w:tmpl w:val="3EA740FE"/>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2">
    <w:nsid w:val="41EC2B85"/>
    <w:multiLevelType w:val="multilevel"/>
    <w:tmpl w:val="41EC2B8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suff w:val="nothing"/>
      <w:lvlText w:val="(%4). "/>
      <w:lvlJc w:val="left"/>
      <w:pPr>
        <w:ind w:left="851" w:hanging="851"/>
      </w:pPr>
      <w:rPr>
        <w:rFonts w:hint="default" w:ascii="宋体" w:hAnsi="宋体" w:eastAsia="宋体"/>
        <w:color w:val="auto"/>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3">
    <w:nsid w:val="42F33200"/>
    <w:multiLevelType w:val="multilevel"/>
    <w:tmpl w:val="42F33200"/>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52D24C2"/>
    <w:multiLevelType w:val="multilevel"/>
    <w:tmpl w:val="452D24C2"/>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5">
    <w:nsid w:val="45D95701"/>
    <w:multiLevelType w:val="multilevel"/>
    <w:tmpl w:val="45D95701"/>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ascii="宋体" w:hAnsi="宋体" w:eastAsia="宋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6">
    <w:nsid w:val="460F68C8"/>
    <w:multiLevelType w:val="multilevel"/>
    <w:tmpl w:val="460F68C8"/>
    <w:lvl w:ilvl="0" w:tentative="0">
      <w:start w:val="1"/>
      <w:numFmt w:val="chineseCountingThousand"/>
      <w:suff w:val="nothing"/>
      <w:lvlText w:val="%1、"/>
      <w:lvlJc w:val="left"/>
      <w:pPr>
        <w:ind w:left="425" w:hanging="425"/>
      </w:pPr>
      <w:rPr>
        <w:rFonts w:hint="eastAsia"/>
        <w:b/>
        <w:color w:val="000000" w:themeColor="text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7">
    <w:nsid w:val="463E0B3C"/>
    <w:multiLevelType w:val="multilevel"/>
    <w:tmpl w:val="463E0B3C"/>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8">
    <w:nsid w:val="4802360A"/>
    <w:multiLevelType w:val="multilevel"/>
    <w:tmpl w:val="4802360A"/>
    <w:lvl w:ilvl="0" w:tentative="0">
      <w:start w:val="1"/>
      <w:numFmt w:val="decimal"/>
      <w:lvlText w:val="(%1)."/>
      <w:lvlJc w:val="left"/>
      <w:pPr>
        <w:ind w:left="420" w:hanging="420"/>
      </w:pPr>
      <w:rPr>
        <w:rFonts w:hint="default"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4A125FEF"/>
    <w:multiLevelType w:val="multilevel"/>
    <w:tmpl w:val="4A125FEF"/>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AC23DB8"/>
    <w:multiLevelType w:val="multilevel"/>
    <w:tmpl w:val="4AC23DB8"/>
    <w:lvl w:ilvl="0" w:tentative="0">
      <w:start w:val="1"/>
      <w:numFmt w:val="chineseCountingThousand"/>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4AF02474"/>
    <w:multiLevelType w:val="multilevel"/>
    <w:tmpl w:val="4AF02474"/>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2">
    <w:nsid w:val="4B8A1F74"/>
    <w:multiLevelType w:val="multilevel"/>
    <w:tmpl w:val="4B8A1F74"/>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decimal"/>
      <w:lvlText w:val="%3、"/>
      <w:lvlJc w:val="left"/>
      <w:pPr>
        <w:ind w:left="0" w:firstLine="0"/>
      </w:pPr>
      <w:rPr>
        <w:rFonts w:hint="eastAsia" w:ascii="宋体" w:hAnsi="宋体" w:eastAsia="宋体"/>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3">
    <w:nsid w:val="4D5D3C22"/>
    <w:multiLevelType w:val="multilevel"/>
    <w:tmpl w:val="4D5D3C22"/>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4E9B6002"/>
    <w:multiLevelType w:val="multilevel"/>
    <w:tmpl w:val="4E9B6002"/>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EAF4C3A"/>
    <w:multiLevelType w:val="multilevel"/>
    <w:tmpl w:val="4EAF4C3A"/>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6">
    <w:nsid w:val="50F33864"/>
    <w:multiLevelType w:val="multilevel"/>
    <w:tmpl w:val="50F33864"/>
    <w:lvl w:ilvl="0" w:tentative="0">
      <w:start w:val="1"/>
      <w:numFmt w:val="chineseCountingThousand"/>
      <w:lvlText w:val="(%1)"/>
      <w:lvlJc w:val="right"/>
      <w:pPr>
        <w:ind w:left="1260" w:hanging="420"/>
      </w:pPr>
      <w:rPr>
        <w:rFonts w:hint="eastAsia"/>
      </w:rPr>
    </w:lvl>
    <w:lvl w:ilvl="1" w:tentative="0">
      <w:start w:val="1"/>
      <w:numFmt w:val="lowerLetter"/>
      <w:lvlText w:val="%2)"/>
      <w:lvlJc w:val="left"/>
      <w:pPr>
        <w:ind w:left="840" w:hanging="420"/>
      </w:pPr>
    </w:lvl>
    <w:lvl w:ilvl="2" w:tentative="0">
      <w:start w:val="1"/>
      <w:numFmt w:val="chineseCountingThousand"/>
      <w:lvlText w:val="(%3)"/>
      <w:lvlJc w:val="right"/>
      <w:pPr>
        <w:ind w:left="420" w:hanging="420"/>
      </w:pPr>
      <w:rPr>
        <w:rFonts w:hint="eastAsia"/>
      </w:rPr>
    </w:lvl>
    <w:lvl w:ilvl="3" w:tentative="0">
      <w:start w:val="1"/>
      <w:numFmt w:val="chineseCountingThousand"/>
      <w:lvlText w:val="(%4)"/>
      <w:lvlJc w:val="left"/>
      <w:pPr>
        <w:ind w:left="1680" w:hanging="420"/>
      </w:pPr>
      <w:rPr>
        <w:rFonts w:hint="eastAsia" w:ascii="宋体" w:hAnsi="宋体" w:eastAsia="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11727FE"/>
    <w:multiLevelType w:val="multilevel"/>
    <w:tmpl w:val="511727FE"/>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8">
    <w:nsid w:val="51265863"/>
    <w:multiLevelType w:val="multilevel"/>
    <w:tmpl w:val="51265863"/>
    <w:lvl w:ilvl="0" w:tentative="0">
      <w:start w:val="1"/>
      <w:numFmt w:val="chineseCountingThousand"/>
      <w:lvlText w:val="(%1)"/>
      <w:lvlJc w:val="left"/>
      <w:pPr>
        <w:ind w:left="420" w:hanging="420"/>
      </w:pPr>
    </w:lvl>
    <w:lvl w:ilvl="1" w:tentative="0">
      <w:start w:val="1"/>
      <w:numFmt w:val="decimal"/>
      <w:lvlText w:val="(%2). "/>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5141766E"/>
    <w:multiLevelType w:val="multilevel"/>
    <w:tmpl w:val="5141766E"/>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0">
    <w:nsid w:val="52461678"/>
    <w:multiLevelType w:val="multilevel"/>
    <w:tmpl w:val="52461678"/>
    <w:lvl w:ilvl="0" w:tentative="0">
      <w:start w:val="1"/>
      <w:numFmt w:val="decimal"/>
      <w:suff w:val="nothing"/>
      <w:lvlText w:val="(%1)、"/>
      <w:lvlJc w:val="left"/>
      <w:pPr>
        <w:ind w:left="420" w:hanging="420"/>
      </w:pPr>
      <w:rPr>
        <w:rFonts w:hint="default" w:ascii="宋体" w:hAnsi="宋体" w:eastAsia="宋体"/>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1">
    <w:nsid w:val="542027AB"/>
    <w:multiLevelType w:val="multilevel"/>
    <w:tmpl w:val="542027AB"/>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57D70C03"/>
    <w:multiLevelType w:val="multilevel"/>
    <w:tmpl w:val="57D70C03"/>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3">
    <w:nsid w:val="58433A16"/>
    <w:multiLevelType w:val="multilevel"/>
    <w:tmpl w:val="58433A16"/>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4">
    <w:nsid w:val="59862246"/>
    <w:multiLevelType w:val="multilevel"/>
    <w:tmpl w:val="59862246"/>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5">
    <w:nsid w:val="59EF7C0F"/>
    <w:multiLevelType w:val="multilevel"/>
    <w:tmpl w:val="59EF7C0F"/>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6">
    <w:nsid w:val="5C673432"/>
    <w:multiLevelType w:val="multilevel"/>
    <w:tmpl w:val="5C67343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ascii="宋体" w:hAnsi="宋体" w:eastAsia="宋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7">
    <w:nsid w:val="5CB55E18"/>
    <w:multiLevelType w:val="multilevel"/>
    <w:tmpl w:val="5CB55E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0421A59"/>
    <w:multiLevelType w:val="multilevel"/>
    <w:tmpl w:val="60421A59"/>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61205449"/>
    <w:multiLevelType w:val="multilevel"/>
    <w:tmpl w:val="61205449"/>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0">
    <w:nsid w:val="634A69CA"/>
    <w:multiLevelType w:val="multilevel"/>
    <w:tmpl w:val="634A69C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63C25BDC"/>
    <w:multiLevelType w:val="multilevel"/>
    <w:tmpl w:val="63C25BDC"/>
    <w:lvl w:ilvl="0" w:tentative="0">
      <w:start w:val="1"/>
      <w:numFmt w:val="decimal"/>
      <w:lvlText w:val="(%1). "/>
      <w:lvlJc w:val="left"/>
      <w:pPr>
        <w:ind w:left="425" w:hanging="425"/>
      </w:pPr>
      <w:rPr>
        <w:rFonts w:hint="eastAsia" w:ascii="宋体" w:hAnsi="宋体" w:eastAsia="宋体"/>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2">
    <w:nsid w:val="6505491D"/>
    <w:multiLevelType w:val="multilevel"/>
    <w:tmpl w:val="6505491D"/>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3">
    <w:nsid w:val="694D0F71"/>
    <w:multiLevelType w:val="multilevel"/>
    <w:tmpl w:val="694D0F7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6D7319EB"/>
    <w:multiLevelType w:val="multilevel"/>
    <w:tmpl w:val="6D7319EB"/>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5">
    <w:nsid w:val="6E225922"/>
    <w:multiLevelType w:val="multilevel"/>
    <w:tmpl w:val="6E225922"/>
    <w:lvl w:ilvl="0" w:tentative="0">
      <w:start w:val="1"/>
      <w:numFmt w:val="decimal"/>
      <w:lvlText w:val="(%1). "/>
      <w:lvlJc w:val="left"/>
      <w:pPr>
        <w:ind w:left="425" w:hanging="425"/>
      </w:pPr>
      <w:rPr>
        <w:rFonts w:hint="eastAsia" w:ascii="宋体" w:hAnsi="宋体" w:eastAsia="宋体"/>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6">
    <w:nsid w:val="6F111C3A"/>
    <w:multiLevelType w:val="multilevel"/>
    <w:tmpl w:val="6F111C3A"/>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7">
    <w:nsid w:val="701D5786"/>
    <w:multiLevelType w:val="multilevel"/>
    <w:tmpl w:val="701D5786"/>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8">
    <w:nsid w:val="70A4034A"/>
    <w:multiLevelType w:val="multilevel"/>
    <w:tmpl w:val="70A4034A"/>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9">
    <w:nsid w:val="70E42A22"/>
    <w:multiLevelType w:val="multilevel"/>
    <w:tmpl w:val="70E42A22"/>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0">
    <w:nsid w:val="72742E11"/>
    <w:multiLevelType w:val="multilevel"/>
    <w:tmpl w:val="72742E11"/>
    <w:lvl w:ilvl="0" w:tentative="0">
      <w:start w:val="1"/>
      <w:numFmt w:val="decimal"/>
      <w:suff w:val="nothing"/>
      <w:lvlText w:val="(%1)、"/>
      <w:lvlJc w:val="left"/>
      <w:pPr>
        <w:ind w:left="420" w:hanging="420"/>
      </w:pPr>
      <w:rPr>
        <w:rFonts w:hint="default" w:ascii="宋体" w:hAnsi="宋体" w:eastAsia="宋体"/>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1">
    <w:nsid w:val="728231A6"/>
    <w:multiLevelType w:val="multilevel"/>
    <w:tmpl w:val="728231A6"/>
    <w:lvl w:ilvl="0" w:tentative="0">
      <w:start w:val="1"/>
      <w:numFmt w:val="decimal"/>
      <w:lvlText w:val="(%1)"/>
      <w:lvlJc w:val="left"/>
      <w:pPr>
        <w:ind w:left="420" w:hanging="420"/>
      </w:pPr>
      <w:rPr>
        <w:rFonts w:hint="default"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739563DA"/>
    <w:multiLevelType w:val="multilevel"/>
    <w:tmpl w:val="739563DA"/>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3">
    <w:nsid w:val="73FB28AC"/>
    <w:multiLevelType w:val="multilevel"/>
    <w:tmpl w:val="73FB28AC"/>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ascii="宋体" w:hAnsi="宋体" w:eastAsia="宋体"/>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4">
    <w:nsid w:val="7405377B"/>
    <w:multiLevelType w:val="multilevel"/>
    <w:tmpl w:val="7405377B"/>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750508FB"/>
    <w:multiLevelType w:val="multilevel"/>
    <w:tmpl w:val="750508FB"/>
    <w:lvl w:ilvl="0" w:tentative="0">
      <w:start w:val="1"/>
      <w:numFmt w:val="decimal"/>
      <w:lvlText w:val="(%1). "/>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6">
    <w:nsid w:val="76B4167B"/>
    <w:multiLevelType w:val="multilevel"/>
    <w:tmpl w:val="76B4167B"/>
    <w:lvl w:ilvl="0" w:tentative="0">
      <w:start w:val="1"/>
      <w:numFmt w:val="decimal"/>
      <w:lvlText w:val="%1、"/>
      <w:lvlJc w:val="left"/>
      <w:pPr>
        <w:ind w:left="420" w:hanging="420"/>
      </w:pPr>
      <w:rPr>
        <w:rFonts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77111D1D"/>
    <w:multiLevelType w:val="multilevel"/>
    <w:tmpl w:val="77111D1D"/>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8">
    <w:nsid w:val="787035DE"/>
    <w:multiLevelType w:val="multilevel"/>
    <w:tmpl w:val="787035DE"/>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793A0412"/>
    <w:multiLevelType w:val="multilevel"/>
    <w:tmpl w:val="793A0412"/>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7B1E025F"/>
    <w:multiLevelType w:val="multilevel"/>
    <w:tmpl w:val="7B1E025F"/>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7B606A2D"/>
    <w:multiLevelType w:val="multilevel"/>
    <w:tmpl w:val="7B606A2D"/>
    <w:lvl w:ilvl="0" w:tentative="0">
      <w:start w:val="1"/>
      <w:numFmt w:val="decimal"/>
      <w:lvlText w:val="(%1). "/>
      <w:lvlJc w:val="left"/>
      <w:pPr>
        <w:ind w:left="420" w:hanging="420"/>
      </w:pPr>
      <w:rPr>
        <w:rFonts w:hint="eastAsia"/>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2">
    <w:nsid w:val="7C0C1B4F"/>
    <w:multiLevelType w:val="multilevel"/>
    <w:tmpl w:val="7C0C1B4F"/>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suff w:val="nothing"/>
      <w:lvlText w:val="(%4). "/>
      <w:lvlJc w:val="left"/>
      <w:pPr>
        <w:ind w:left="0" w:firstLine="0"/>
      </w:pPr>
      <w:rPr>
        <w:rFonts w:hint="eastAsia" w:ascii="宋体" w:hAnsi="宋体" w:eastAsia="宋体"/>
        <w:b/>
        <w:color w:val="auto"/>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3">
    <w:nsid w:val="7C2B486F"/>
    <w:multiLevelType w:val="multilevel"/>
    <w:tmpl w:val="7C2B486F"/>
    <w:lvl w:ilvl="0" w:tentative="0">
      <w:start w:val="1"/>
      <w:numFmt w:val="decimal"/>
      <w:suff w:val="nothing"/>
      <w:lvlText w:val="(%1). "/>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7D07444B"/>
    <w:multiLevelType w:val="multilevel"/>
    <w:tmpl w:val="7D07444B"/>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5"/>
  </w:num>
  <w:num w:numId="2">
    <w:abstractNumId w:val="23"/>
  </w:num>
  <w:num w:numId="3">
    <w:abstractNumId w:val="7"/>
  </w:num>
  <w:num w:numId="4">
    <w:abstractNumId w:val="35"/>
  </w:num>
  <w:num w:numId="5">
    <w:abstractNumId w:val="27"/>
  </w:num>
  <w:num w:numId="6">
    <w:abstractNumId w:val="78"/>
  </w:num>
  <w:num w:numId="7">
    <w:abstractNumId w:val="13"/>
  </w:num>
  <w:num w:numId="8">
    <w:abstractNumId w:val="44"/>
  </w:num>
  <w:num w:numId="9">
    <w:abstractNumId w:val="57"/>
  </w:num>
  <w:num w:numId="10">
    <w:abstractNumId w:val="48"/>
  </w:num>
  <w:num w:numId="11">
    <w:abstractNumId w:val="31"/>
  </w:num>
  <w:num w:numId="12">
    <w:abstractNumId w:val="109"/>
  </w:num>
  <w:num w:numId="13">
    <w:abstractNumId w:val="87"/>
  </w:num>
  <w:num w:numId="14">
    <w:abstractNumId w:val="22"/>
  </w:num>
  <w:num w:numId="15">
    <w:abstractNumId w:val="58"/>
  </w:num>
  <w:num w:numId="16">
    <w:abstractNumId w:val="74"/>
  </w:num>
  <w:num w:numId="17">
    <w:abstractNumId w:val="101"/>
  </w:num>
  <w:num w:numId="18">
    <w:abstractNumId w:val="76"/>
  </w:num>
  <w:num w:numId="19">
    <w:abstractNumId w:val="46"/>
  </w:num>
  <w:num w:numId="20">
    <w:abstractNumId w:val="20"/>
  </w:num>
  <w:num w:numId="21">
    <w:abstractNumId w:val="26"/>
  </w:num>
  <w:num w:numId="22">
    <w:abstractNumId w:val="98"/>
  </w:num>
  <w:num w:numId="23">
    <w:abstractNumId w:val="6"/>
  </w:num>
  <w:num w:numId="24">
    <w:abstractNumId w:val="93"/>
  </w:num>
  <w:num w:numId="25">
    <w:abstractNumId w:val="38"/>
  </w:num>
  <w:num w:numId="26">
    <w:abstractNumId w:val="65"/>
  </w:num>
  <w:num w:numId="27">
    <w:abstractNumId w:val="110"/>
  </w:num>
  <w:num w:numId="28">
    <w:abstractNumId w:val="81"/>
  </w:num>
  <w:num w:numId="29">
    <w:abstractNumId w:val="59"/>
  </w:num>
  <w:num w:numId="30">
    <w:abstractNumId w:val="70"/>
  </w:num>
  <w:num w:numId="31">
    <w:abstractNumId w:val="69"/>
  </w:num>
  <w:num w:numId="32">
    <w:abstractNumId w:val="5"/>
  </w:num>
  <w:num w:numId="33">
    <w:abstractNumId w:val="3"/>
  </w:num>
  <w:num w:numId="34">
    <w:abstractNumId w:val="34"/>
  </w:num>
  <w:num w:numId="35">
    <w:abstractNumId w:val="49"/>
  </w:num>
  <w:num w:numId="36">
    <w:abstractNumId w:val="51"/>
  </w:num>
  <w:num w:numId="37">
    <w:abstractNumId w:val="42"/>
  </w:num>
  <w:num w:numId="38">
    <w:abstractNumId w:val="2"/>
  </w:num>
  <w:num w:numId="39">
    <w:abstractNumId w:val="39"/>
  </w:num>
  <w:num w:numId="40">
    <w:abstractNumId w:val="99"/>
  </w:num>
  <w:num w:numId="41">
    <w:abstractNumId w:val="86"/>
  </w:num>
  <w:num w:numId="42">
    <w:abstractNumId w:val="32"/>
  </w:num>
  <w:num w:numId="43">
    <w:abstractNumId w:val="16"/>
  </w:num>
  <w:num w:numId="44">
    <w:abstractNumId w:val="104"/>
  </w:num>
  <w:num w:numId="45">
    <w:abstractNumId w:val="24"/>
  </w:num>
  <w:num w:numId="46">
    <w:abstractNumId w:val="64"/>
  </w:num>
  <w:num w:numId="47">
    <w:abstractNumId w:val="90"/>
  </w:num>
  <w:num w:numId="48">
    <w:abstractNumId w:val="33"/>
  </w:num>
  <w:num w:numId="49">
    <w:abstractNumId w:val="89"/>
  </w:num>
  <w:num w:numId="50">
    <w:abstractNumId w:val="21"/>
  </w:num>
  <w:num w:numId="51">
    <w:abstractNumId w:val="85"/>
  </w:num>
  <w:num w:numId="52">
    <w:abstractNumId w:val="67"/>
  </w:num>
  <w:num w:numId="53">
    <w:abstractNumId w:val="66"/>
  </w:num>
  <w:num w:numId="54">
    <w:abstractNumId w:val="107"/>
  </w:num>
  <w:num w:numId="55">
    <w:abstractNumId w:val="63"/>
  </w:num>
  <w:num w:numId="56">
    <w:abstractNumId w:val="60"/>
  </w:num>
  <w:num w:numId="57">
    <w:abstractNumId w:val="4"/>
  </w:num>
  <w:num w:numId="58">
    <w:abstractNumId w:val="45"/>
  </w:num>
  <w:num w:numId="59">
    <w:abstractNumId w:val="29"/>
  </w:num>
  <w:num w:numId="60">
    <w:abstractNumId w:val="96"/>
  </w:num>
  <w:num w:numId="61">
    <w:abstractNumId w:val="10"/>
  </w:num>
  <w:num w:numId="62">
    <w:abstractNumId w:val="100"/>
  </w:num>
  <w:num w:numId="63">
    <w:abstractNumId w:val="19"/>
  </w:num>
  <w:num w:numId="64">
    <w:abstractNumId w:val="80"/>
  </w:num>
  <w:num w:numId="65">
    <w:abstractNumId w:val="97"/>
  </w:num>
  <w:num w:numId="66">
    <w:abstractNumId w:val="106"/>
  </w:num>
  <w:num w:numId="67">
    <w:abstractNumId w:val="62"/>
  </w:num>
  <w:num w:numId="68">
    <w:abstractNumId w:val="18"/>
  </w:num>
  <w:num w:numId="69">
    <w:abstractNumId w:val="15"/>
  </w:num>
  <w:num w:numId="70">
    <w:abstractNumId w:val="102"/>
  </w:num>
  <w:num w:numId="71">
    <w:abstractNumId w:val="47"/>
  </w:num>
  <w:num w:numId="72">
    <w:abstractNumId w:val="9"/>
  </w:num>
  <w:num w:numId="73">
    <w:abstractNumId w:val="95"/>
  </w:num>
  <w:num w:numId="74">
    <w:abstractNumId w:val="37"/>
  </w:num>
  <w:num w:numId="75">
    <w:abstractNumId w:val="36"/>
  </w:num>
  <w:num w:numId="76">
    <w:abstractNumId w:val="50"/>
  </w:num>
  <w:num w:numId="77">
    <w:abstractNumId w:val="111"/>
  </w:num>
  <w:num w:numId="78">
    <w:abstractNumId w:val="17"/>
  </w:num>
  <w:num w:numId="79">
    <w:abstractNumId w:val="56"/>
  </w:num>
  <w:num w:numId="80">
    <w:abstractNumId w:val="105"/>
  </w:num>
  <w:num w:numId="81">
    <w:abstractNumId w:val="53"/>
  </w:num>
  <w:num w:numId="82">
    <w:abstractNumId w:val="108"/>
  </w:num>
  <w:num w:numId="83">
    <w:abstractNumId w:val="71"/>
  </w:num>
  <w:num w:numId="84">
    <w:abstractNumId w:val="91"/>
  </w:num>
  <w:num w:numId="85">
    <w:abstractNumId w:val="40"/>
  </w:num>
  <w:num w:numId="86">
    <w:abstractNumId w:val="114"/>
  </w:num>
  <w:num w:numId="87">
    <w:abstractNumId w:val="112"/>
  </w:num>
  <w:num w:numId="88">
    <w:abstractNumId w:val="25"/>
  </w:num>
  <w:num w:numId="89">
    <w:abstractNumId w:val="14"/>
  </w:num>
  <w:num w:numId="90">
    <w:abstractNumId w:val="8"/>
  </w:num>
  <w:num w:numId="91">
    <w:abstractNumId w:val="92"/>
  </w:num>
  <w:num w:numId="92">
    <w:abstractNumId w:val="30"/>
  </w:num>
  <w:num w:numId="93">
    <w:abstractNumId w:val="68"/>
  </w:num>
  <w:num w:numId="94">
    <w:abstractNumId w:val="83"/>
  </w:num>
  <w:num w:numId="95">
    <w:abstractNumId w:val="73"/>
  </w:num>
  <w:num w:numId="96">
    <w:abstractNumId w:val="1"/>
  </w:num>
  <w:num w:numId="97">
    <w:abstractNumId w:val="88"/>
  </w:num>
  <w:num w:numId="98">
    <w:abstractNumId w:val="72"/>
  </w:num>
  <w:num w:numId="99">
    <w:abstractNumId w:val="77"/>
  </w:num>
  <w:num w:numId="100">
    <w:abstractNumId w:val="103"/>
  </w:num>
  <w:num w:numId="101">
    <w:abstractNumId w:val="52"/>
  </w:num>
  <w:num w:numId="102">
    <w:abstractNumId w:val="12"/>
  </w:num>
  <w:num w:numId="103">
    <w:abstractNumId w:val="79"/>
  </w:num>
  <w:num w:numId="104">
    <w:abstractNumId w:val="94"/>
  </w:num>
  <w:num w:numId="105">
    <w:abstractNumId w:val="61"/>
  </w:num>
  <w:num w:numId="106">
    <w:abstractNumId w:val="82"/>
  </w:num>
  <w:num w:numId="107">
    <w:abstractNumId w:val="75"/>
  </w:num>
  <w:num w:numId="108">
    <w:abstractNumId w:val="41"/>
  </w:num>
  <w:num w:numId="109">
    <w:abstractNumId w:val="84"/>
  </w:num>
  <w:num w:numId="110">
    <w:abstractNumId w:val="54"/>
  </w:num>
  <w:num w:numId="111">
    <w:abstractNumId w:val="11"/>
  </w:num>
  <w:num w:numId="112">
    <w:abstractNumId w:val="0"/>
  </w:num>
  <w:num w:numId="113">
    <w:abstractNumId w:val="28"/>
  </w:num>
  <w:num w:numId="114">
    <w:abstractNumId w:val="113"/>
  </w:num>
  <w:num w:numId="1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DD256F"/>
    <w:rsid w:val="000003E2"/>
    <w:rsid w:val="000005A6"/>
    <w:rsid w:val="0000102D"/>
    <w:rsid w:val="00001469"/>
    <w:rsid w:val="000014E3"/>
    <w:rsid w:val="000018A3"/>
    <w:rsid w:val="000018FD"/>
    <w:rsid w:val="00001B33"/>
    <w:rsid w:val="00001E8C"/>
    <w:rsid w:val="0000230E"/>
    <w:rsid w:val="000028BC"/>
    <w:rsid w:val="00002973"/>
    <w:rsid w:val="00002D77"/>
    <w:rsid w:val="000033A6"/>
    <w:rsid w:val="0000372D"/>
    <w:rsid w:val="00003C39"/>
    <w:rsid w:val="000048B5"/>
    <w:rsid w:val="00004A92"/>
    <w:rsid w:val="00004ADF"/>
    <w:rsid w:val="00004DB4"/>
    <w:rsid w:val="00004E58"/>
    <w:rsid w:val="00005071"/>
    <w:rsid w:val="0000568D"/>
    <w:rsid w:val="00005CB5"/>
    <w:rsid w:val="000061CF"/>
    <w:rsid w:val="000064FC"/>
    <w:rsid w:val="00007207"/>
    <w:rsid w:val="00007BBD"/>
    <w:rsid w:val="00010147"/>
    <w:rsid w:val="0001033D"/>
    <w:rsid w:val="0001046B"/>
    <w:rsid w:val="00010B7F"/>
    <w:rsid w:val="00010E18"/>
    <w:rsid w:val="00011A25"/>
    <w:rsid w:val="000121BF"/>
    <w:rsid w:val="000122EE"/>
    <w:rsid w:val="00012AFC"/>
    <w:rsid w:val="000130AF"/>
    <w:rsid w:val="000136FC"/>
    <w:rsid w:val="000139E7"/>
    <w:rsid w:val="00013E5C"/>
    <w:rsid w:val="00013FF0"/>
    <w:rsid w:val="000140AF"/>
    <w:rsid w:val="00014263"/>
    <w:rsid w:val="00014850"/>
    <w:rsid w:val="0001497A"/>
    <w:rsid w:val="00014DF5"/>
    <w:rsid w:val="000155A0"/>
    <w:rsid w:val="000157AA"/>
    <w:rsid w:val="000158A1"/>
    <w:rsid w:val="00015DD2"/>
    <w:rsid w:val="00015DF7"/>
    <w:rsid w:val="00016321"/>
    <w:rsid w:val="00016D21"/>
    <w:rsid w:val="00016FD1"/>
    <w:rsid w:val="00017658"/>
    <w:rsid w:val="000176B6"/>
    <w:rsid w:val="00017D54"/>
    <w:rsid w:val="00020074"/>
    <w:rsid w:val="000203A5"/>
    <w:rsid w:val="00020728"/>
    <w:rsid w:val="00020766"/>
    <w:rsid w:val="00020D46"/>
    <w:rsid w:val="00020DB9"/>
    <w:rsid w:val="00020F79"/>
    <w:rsid w:val="0002110B"/>
    <w:rsid w:val="00021700"/>
    <w:rsid w:val="00021782"/>
    <w:rsid w:val="000217BF"/>
    <w:rsid w:val="000224B7"/>
    <w:rsid w:val="000225C5"/>
    <w:rsid w:val="0002292A"/>
    <w:rsid w:val="00022A86"/>
    <w:rsid w:val="00022EDA"/>
    <w:rsid w:val="0002301E"/>
    <w:rsid w:val="000231BD"/>
    <w:rsid w:val="000231DC"/>
    <w:rsid w:val="00023BEB"/>
    <w:rsid w:val="00023C73"/>
    <w:rsid w:val="00023F8A"/>
    <w:rsid w:val="00024562"/>
    <w:rsid w:val="00024820"/>
    <w:rsid w:val="00025255"/>
    <w:rsid w:val="00025DD8"/>
    <w:rsid w:val="00025E29"/>
    <w:rsid w:val="00025EAF"/>
    <w:rsid w:val="0002612F"/>
    <w:rsid w:val="00026A17"/>
    <w:rsid w:val="00027348"/>
    <w:rsid w:val="000275C9"/>
    <w:rsid w:val="000279AA"/>
    <w:rsid w:val="00030A89"/>
    <w:rsid w:val="00031700"/>
    <w:rsid w:val="000317CB"/>
    <w:rsid w:val="000317E9"/>
    <w:rsid w:val="0003186E"/>
    <w:rsid w:val="00031B72"/>
    <w:rsid w:val="0003243D"/>
    <w:rsid w:val="00032450"/>
    <w:rsid w:val="0003260A"/>
    <w:rsid w:val="000326A4"/>
    <w:rsid w:val="00032BA9"/>
    <w:rsid w:val="00033956"/>
    <w:rsid w:val="00033EBB"/>
    <w:rsid w:val="0003408C"/>
    <w:rsid w:val="000343F2"/>
    <w:rsid w:val="0003468B"/>
    <w:rsid w:val="00034C0D"/>
    <w:rsid w:val="00035352"/>
    <w:rsid w:val="00035464"/>
    <w:rsid w:val="00035EB9"/>
    <w:rsid w:val="0003626E"/>
    <w:rsid w:val="00036357"/>
    <w:rsid w:val="00036813"/>
    <w:rsid w:val="000369DC"/>
    <w:rsid w:val="00036C1D"/>
    <w:rsid w:val="000379B9"/>
    <w:rsid w:val="00037DB8"/>
    <w:rsid w:val="000411AF"/>
    <w:rsid w:val="0004146D"/>
    <w:rsid w:val="00041525"/>
    <w:rsid w:val="00041800"/>
    <w:rsid w:val="00041AC3"/>
    <w:rsid w:val="00042574"/>
    <w:rsid w:val="000429ED"/>
    <w:rsid w:val="00043335"/>
    <w:rsid w:val="000436FE"/>
    <w:rsid w:val="000438A3"/>
    <w:rsid w:val="00043C00"/>
    <w:rsid w:val="00043E96"/>
    <w:rsid w:val="00043EED"/>
    <w:rsid w:val="000444AA"/>
    <w:rsid w:val="000444F4"/>
    <w:rsid w:val="00044579"/>
    <w:rsid w:val="000446C9"/>
    <w:rsid w:val="00044D1E"/>
    <w:rsid w:val="00044DDC"/>
    <w:rsid w:val="00044FE0"/>
    <w:rsid w:val="000451ED"/>
    <w:rsid w:val="00045D1C"/>
    <w:rsid w:val="00045DCB"/>
    <w:rsid w:val="00045F39"/>
    <w:rsid w:val="000468DA"/>
    <w:rsid w:val="00046B18"/>
    <w:rsid w:val="00046BF9"/>
    <w:rsid w:val="00046C4A"/>
    <w:rsid w:val="00046CA9"/>
    <w:rsid w:val="00046DD2"/>
    <w:rsid w:val="00046E32"/>
    <w:rsid w:val="000474F7"/>
    <w:rsid w:val="00047621"/>
    <w:rsid w:val="00050004"/>
    <w:rsid w:val="000500E7"/>
    <w:rsid w:val="000501F1"/>
    <w:rsid w:val="00050236"/>
    <w:rsid w:val="00050420"/>
    <w:rsid w:val="0005154F"/>
    <w:rsid w:val="00051731"/>
    <w:rsid w:val="000517E2"/>
    <w:rsid w:val="00051BE5"/>
    <w:rsid w:val="00052B89"/>
    <w:rsid w:val="00052D38"/>
    <w:rsid w:val="000539E4"/>
    <w:rsid w:val="00053E2E"/>
    <w:rsid w:val="00053F3F"/>
    <w:rsid w:val="00054612"/>
    <w:rsid w:val="0005486C"/>
    <w:rsid w:val="00054D34"/>
    <w:rsid w:val="00055534"/>
    <w:rsid w:val="00055816"/>
    <w:rsid w:val="00055C3F"/>
    <w:rsid w:val="000561D7"/>
    <w:rsid w:val="000562C7"/>
    <w:rsid w:val="000569CC"/>
    <w:rsid w:val="00056AA5"/>
    <w:rsid w:val="00057032"/>
    <w:rsid w:val="000578C2"/>
    <w:rsid w:val="00057AD2"/>
    <w:rsid w:val="0006013C"/>
    <w:rsid w:val="00060342"/>
    <w:rsid w:val="000604A6"/>
    <w:rsid w:val="000606B7"/>
    <w:rsid w:val="00060C85"/>
    <w:rsid w:val="00060DFA"/>
    <w:rsid w:val="00062017"/>
    <w:rsid w:val="0006271B"/>
    <w:rsid w:val="00062874"/>
    <w:rsid w:val="0006295C"/>
    <w:rsid w:val="00062AA3"/>
    <w:rsid w:val="00062D8E"/>
    <w:rsid w:val="0006325D"/>
    <w:rsid w:val="00063342"/>
    <w:rsid w:val="000636DE"/>
    <w:rsid w:val="00063893"/>
    <w:rsid w:val="000639D3"/>
    <w:rsid w:val="00063A04"/>
    <w:rsid w:val="00063BD0"/>
    <w:rsid w:val="00063EE6"/>
    <w:rsid w:val="0006463F"/>
    <w:rsid w:val="00064ADF"/>
    <w:rsid w:val="00064BC0"/>
    <w:rsid w:val="00065914"/>
    <w:rsid w:val="00065B7B"/>
    <w:rsid w:val="00065D51"/>
    <w:rsid w:val="00065FA5"/>
    <w:rsid w:val="00066688"/>
    <w:rsid w:val="00066ACB"/>
    <w:rsid w:val="00066B5B"/>
    <w:rsid w:val="00066C7F"/>
    <w:rsid w:val="00066F8C"/>
    <w:rsid w:val="0006751E"/>
    <w:rsid w:val="00067AEB"/>
    <w:rsid w:val="00067BBB"/>
    <w:rsid w:val="00067D96"/>
    <w:rsid w:val="000700F7"/>
    <w:rsid w:val="00070247"/>
    <w:rsid w:val="00070D92"/>
    <w:rsid w:val="00070E4B"/>
    <w:rsid w:val="00070E8D"/>
    <w:rsid w:val="00071243"/>
    <w:rsid w:val="0007147E"/>
    <w:rsid w:val="00072075"/>
    <w:rsid w:val="00072361"/>
    <w:rsid w:val="0007246C"/>
    <w:rsid w:val="000725CF"/>
    <w:rsid w:val="000729B8"/>
    <w:rsid w:val="00072D7F"/>
    <w:rsid w:val="0007305C"/>
    <w:rsid w:val="000730ED"/>
    <w:rsid w:val="000732D5"/>
    <w:rsid w:val="000735AF"/>
    <w:rsid w:val="00073BC2"/>
    <w:rsid w:val="000745DB"/>
    <w:rsid w:val="00074C4E"/>
    <w:rsid w:val="00075C45"/>
    <w:rsid w:val="00075E3A"/>
    <w:rsid w:val="00075E54"/>
    <w:rsid w:val="00075F13"/>
    <w:rsid w:val="00076117"/>
    <w:rsid w:val="000764FD"/>
    <w:rsid w:val="00076703"/>
    <w:rsid w:val="0007679D"/>
    <w:rsid w:val="00076ECB"/>
    <w:rsid w:val="00077397"/>
    <w:rsid w:val="000778E2"/>
    <w:rsid w:val="00080509"/>
    <w:rsid w:val="000808F7"/>
    <w:rsid w:val="0008095D"/>
    <w:rsid w:val="00080A0F"/>
    <w:rsid w:val="0008140D"/>
    <w:rsid w:val="000816EB"/>
    <w:rsid w:val="0008177E"/>
    <w:rsid w:val="00081B15"/>
    <w:rsid w:val="00081D4A"/>
    <w:rsid w:val="0008231D"/>
    <w:rsid w:val="00082700"/>
    <w:rsid w:val="00082A1A"/>
    <w:rsid w:val="000830E6"/>
    <w:rsid w:val="0008328D"/>
    <w:rsid w:val="0008332B"/>
    <w:rsid w:val="000837F0"/>
    <w:rsid w:val="000839C3"/>
    <w:rsid w:val="00083C0A"/>
    <w:rsid w:val="00083C1E"/>
    <w:rsid w:val="00084008"/>
    <w:rsid w:val="000841ED"/>
    <w:rsid w:val="00084531"/>
    <w:rsid w:val="00084634"/>
    <w:rsid w:val="00084A03"/>
    <w:rsid w:val="00084E9F"/>
    <w:rsid w:val="00085C6B"/>
    <w:rsid w:val="000866A2"/>
    <w:rsid w:val="000868AD"/>
    <w:rsid w:val="000872AC"/>
    <w:rsid w:val="000877EF"/>
    <w:rsid w:val="000878F1"/>
    <w:rsid w:val="00087B6F"/>
    <w:rsid w:val="00087FC9"/>
    <w:rsid w:val="0009036A"/>
    <w:rsid w:val="00090454"/>
    <w:rsid w:val="00090ADC"/>
    <w:rsid w:val="00090C35"/>
    <w:rsid w:val="00090D7E"/>
    <w:rsid w:val="0009141B"/>
    <w:rsid w:val="000914B8"/>
    <w:rsid w:val="00091702"/>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26"/>
    <w:rsid w:val="00094A55"/>
    <w:rsid w:val="00094FB5"/>
    <w:rsid w:val="00095136"/>
    <w:rsid w:val="000951D6"/>
    <w:rsid w:val="00095382"/>
    <w:rsid w:val="00095388"/>
    <w:rsid w:val="000955B9"/>
    <w:rsid w:val="00095CD6"/>
    <w:rsid w:val="000960F5"/>
    <w:rsid w:val="00096746"/>
    <w:rsid w:val="00096E12"/>
    <w:rsid w:val="00097097"/>
    <w:rsid w:val="000974B2"/>
    <w:rsid w:val="000975B1"/>
    <w:rsid w:val="000976C1"/>
    <w:rsid w:val="00097B67"/>
    <w:rsid w:val="00097E3C"/>
    <w:rsid w:val="000A044E"/>
    <w:rsid w:val="000A04A2"/>
    <w:rsid w:val="000A0989"/>
    <w:rsid w:val="000A1026"/>
    <w:rsid w:val="000A1547"/>
    <w:rsid w:val="000A1589"/>
    <w:rsid w:val="000A199C"/>
    <w:rsid w:val="000A1CBE"/>
    <w:rsid w:val="000A36BE"/>
    <w:rsid w:val="000A4309"/>
    <w:rsid w:val="000A4AE5"/>
    <w:rsid w:val="000A4C9E"/>
    <w:rsid w:val="000A5126"/>
    <w:rsid w:val="000A5A58"/>
    <w:rsid w:val="000A6410"/>
    <w:rsid w:val="000A67B6"/>
    <w:rsid w:val="000A6A70"/>
    <w:rsid w:val="000A6D3A"/>
    <w:rsid w:val="000A6F48"/>
    <w:rsid w:val="000A700E"/>
    <w:rsid w:val="000A7216"/>
    <w:rsid w:val="000A74D2"/>
    <w:rsid w:val="000A750C"/>
    <w:rsid w:val="000A78D8"/>
    <w:rsid w:val="000A79CF"/>
    <w:rsid w:val="000B024A"/>
    <w:rsid w:val="000B0362"/>
    <w:rsid w:val="000B06FC"/>
    <w:rsid w:val="000B0D32"/>
    <w:rsid w:val="000B0EE6"/>
    <w:rsid w:val="000B1CD7"/>
    <w:rsid w:val="000B1DB7"/>
    <w:rsid w:val="000B2333"/>
    <w:rsid w:val="000B23C8"/>
    <w:rsid w:val="000B28AE"/>
    <w:rsid w:val="000B28F3"/>
    <w:rsid w:val="000B31E0"/>
    <w:rsid w:val="000B3557"/>
    <w:rsid w:val="000B41B2"/>
    <w:rsid w:val="000B48F7"/>
    <w:rsid w:val="000B4A82"/>
    <w:rsid w:val="000B4BDA"/>
    <w:rsid w:val="000B4FF4"/>
    <w:rsid w:val="000B5098"/>
    <w:rsid w:val="000B5590"/>
    <w:rsid w:val="000B568F"/>
    <w:rsid w:val="000B5992"/>
    <w:rsid w:val="000B5D5E"/>
    <w:rsid w:val="000B63D2"/>
    <w:rsid w:val="000B6B2E"/>
    <w:rsid w:val="000B6BC7"/>
    <w:rsid w:val="000B6C66"/>
    <w:rsid w:val="000B717E"/>
    <w:rsid w:val="000C0519"/>
    <w:rsid w:val="000C0671"/>
    <w:rsid w:val="000C0D45"/>
    <w:rsid w:val="000C1A11"/>
    <w:rsid w:val="000C1CEC"/>
    <w:rsid w:val="000C1E2D"/>
    <w:rsid w:val="000C2197"/>
    <w:rsid w:val="000C2339"/>
    <w:rsid w:val="000C25F5"/>
    <w:rsid w:val="000C26F5"/>
    <w:rsid w:val="000C28F2"/>
    <w:rsid w:val="000C2C2E"/>
    <w:rsid w:val="000C2C7F"/>
    <w:rsid w:val="000C2D52"/>
    <w:rsid w:val="000C3232"/>
    <w:rsid w:val="000C338D"/>
    <w:rsid w:val="000C34C1"/>
    <w:rsid w:val="000C37A8"/>
    <w:rsid w:val="000C3957"/>
    <w:rsid w:val="000C3A06"/>
    <w:rsid w:val="000C3D52"/>
    <w:rsid w:val="000C40B3"/>
    <w:rsid w:val="000C4768"/>
    <w:rsid w:val="000C4B1F"/>
    <w:rsid w:val="000C4C03"/>
    <w:rsid w:val="000C51AC"/>
    <w:rsid w:val="000C52A2"/>
    <w:rsid w:val="000C5B58"/>
    <w:rsid w:val="000C5B78"/>
    <w:rsid w:val="000C60FC"/>
    <w:rsid w:val="000C63C4"/>
    <w:rsid w:val="000C6560"/>
    <w:rsid w:val="000C6584"/>
    <w:rsid w:val="000C698C"/>
    <w:rsid w:val="000C6A05"/>
    <w:rsid w:val="000C6B26"/>
    <w:rsid w:val="000C6DAE"/>
    <w:rsid w:val="000C7371"/>
    <w:rsid w:val="000C73B9"/>
    <w:rsid w:val="000C74D4"/>
    <w:rsid w:val="000C7889"/>
    <w:rsid w:val="000C7C71"/>
    <w:rsid w:val="000C7D9C"/>
    <w:rsid w:val="000C7DF8"/>
    <w:rsid w:val="000D0271"/>
    <w:rsid w:val="000D057C"/>
    <w:rsid w:val="000D0BE9"/>
    <w:rsid w:val="000D0E23"/>
    <w:rsid w:val="000D1028"/>
    <w:rsid w:val="000D14E3"/>
    <w:rsid w:val="000D15CB"/>
    <w:rsid w:val="000D26CD"/>
    <w:rsid w:val="000D28CF"/>
    <w:rsid w:val="000D2C5E"/>
    <w:rsid w:val="000D2D1C"/>
    <w:rsid w:val="000D2F52"/>
    <w:rsid w:val="000D333A"/>
    <w:rsid w:val="000D3B03"/>
    <w:rsid w:val="000D3B07"/>
    <w:rsid w:val="000D3BE8"/>
    <w:rsid w:val="000D3DED"/>
    <w:rsid w:val="000D49EB"/>
    <w:rsid w:val="000D4D13"/>
    <w:rsid w:val="000D4E12"/>
    <w:rsid w:val="000D50A0"/>
    <w:rsid w:val="000D5454"/>
    <w:rsid w:val="000D5A34"/>
    <w:rsid w:val="000D5D3B"/>
    <w:rsid w:val="000D5D86"/>
    <w:rsid w:val="000D5DC0"/>
    <w:rsid w:val="000D61FD"/>
    <w:rsid w:val="000D6A9B"/>
    <w:rsid w:val="000D6BCB"/>
    <w:rsid w:val="000D6D8F"/>
    <w:rsid w:val="000D7213"/>
    <w:rsid w:val="000D7307"/>
    <w:rsid w:val="000D7617"/>
    <w:rsid w:val="000D77D1"/>
    <w:rsid w:val="000D7ABF"/>
    <w:rsid w:val="000D7B5F"/>
    <w:rsid w:val="000D7CF9"/>
    <w:rsid w:val="000E0052"/>
    <w:rsid w:val="000E01A1"/>
    <w:rsid w:val="000E0AF5"/>
    <w:rsid w:val="000E0C83"/>
    <w:rsid w:val="000E0F10"/>
    <w:rsid w:val="000E1521"/>
    <w:rsid w:val="000E15A7"/>
    <w:rsid w:val="000E165C"/>
    <w:rsid w:val="000E17B3"/>
    <w:rsid w:val="000E18FC"/>
    <w:rsid w:val="000E1B4F"/>
    <w:rsid w:val="000E1E69"/>
    <w:rsid w:val="000E2265"/>
    <w:rsid w:val="000E22E0"/>
    <w:rsid w:val="000E2820"/>
    <w:rsid w:val="000E2BE4"/>
    <w:rsid w:val="000E34CD"/>
    <w:rsid w:val="000E35F2"/>
    <w:rsid w:val="000E3BB8"/>
    <w:rsid w:val="000E3D2D"/>
    <w:rsid w:val="000E3F53"/>
    <w:rsid w:val="000E41A3"/>
    <w:rsid w:val="000E4352"/>
    <w:rsid w:val="000E4F17"/>
    <w:rsid w:val="000E518E"/>
    <w:rsid w:val="000E51C0"/>
    <w:rsid w:val="000E553F"/>
    <w:rsid w:val="000E567C"/>
    <w:rsid w:val="000E56D0"/>
    <w:rsid w:val="000E5B46"/>
    <w:rsid w:val="000E6C67"/>
    <w:rsid w:val="000E6CD7"/>
    <w:rsid w:val="000E6F8A"/>
    <w:rsid w:val="000E70DA"/>
    <w:rsid w:val="000E7291"/>
    <w:rsid w:val="000E7A93"/>
    <w:rsid w:val="000E7DC4"/>
    <w:rsid w:val="000E7F24"/>
    <w:rsid w:val="000E7FCD"/>
    <w:rsid w:val="000F030C"/>
    <w:rsid w:val="000F0456"/>
    <w:rsid w:val="000F04EC"/>
    <w:rsid w:val="000F0542"/>
    <w:rsid w:val="000F087F"/>
    <w:rsid w:val="000F0CF0"/>
    <w:rsid w:val="000F1117"/>
    <w:rsid w:val="000F192B"/>
    <w:rsid w:val="000F2990"/>
    <w:rsid w:val="000F2A73"/>
    <w:rsid w:val="000F2EC9"/>
    <w:rsid w:val="000F2EF4"/>
    <w:rsid w:val="000F3016"/>
    <w:rsid w:val="000F3044"/>
    <w:rsid w:val="000F3234"/>
    <w:rsid w:val="000F4214"/>
    <w:rsid w:val="000F42F3"/>
    <w:rsid w:val="000F438A"/>
    <w:rsid w:val="000F460F"/>
    <w:rsid w:val="000F49E8"/>
    <w:rsid w:val="000F4C78"/>
    <w:rsid w:val="000F509F"/>
    <w:rsid w:val="000F52DA"/>
    <w:rsid w:val="000F59FB"/>
    <w:rsid w:val="000F5AC0"/>
    <w:rsid w:val="000F5E14"/>
    <w:rsid w:val="000F6058"/>
    <w:rsid w:val="000F68A0"/>
    <w:rsid w:val="000F6B1C"/>
    <w:rsid w:val="000F6E38"/>
    <w:rsid w:val="000F6E4A"/>
    <w:rsid w:val="000F6EE3"/>
    <w:rsid w:val="000F7633"/>
    <w:rsid w:val="000F7CB8"/>
    <w:rsid w:val="000F7D3C"/>
    <w:rsid w:val="00100112"/>
    <w:rsid w:val="0010063A"/>
    <w:rsid w:val="001007FD"/>
    <w:rsid w:val="00101376"/>
    <w:rsid w:val="001013A6"/>
    <w:rsid w:val="00101B38"/>
    <w:rsid w:val="00101F63"/>
    <w:rsid w:val="001022D3"/>
    <w:rsid w:val="0010234E"/>
    <w:rsid w:val="001026CF"/>
    <w:rsid w:val="001033F3"/>
    <w:rsid w:val="0010345C"/>
    <w:rsid w:val="0010369A"/>
    <w:rsid w:val="001036AD"/>
    <w:rsid w:val="001038D1"/>
    <w:rsid w:val="00103BDD"/>
    <w:rsid w:val="00103FA1"/>
    <w:rsid w:val="00104087"/>
    <w:rsid w:val="001044B7"/>
    <w:rsid w:val="001044EA"/>
    <w:rsid w:val="001048FE"/>
    <w:rsid w:val="00104DD4"/>
    <w:rsid w:val="001051C9"/>
    <w:rsid w:val="00105921"/>
    <w:rsid w:val="001059DB"/>
    <w:rsid w:val="00105F72"/>
    <w:rsid w:val="001060C7"/>
    <w:rsid w:val="001061C5"/>
    <w:rsid w:val="001068B7"/>
    <w:rsid w:val="00106B06"/>
    <w:rsid w:val="00106F25"/>
    <w:rsid w:val="00107599"/>
    <w:rsid w:val="00107A8E"/>
    <w:rsid w:val="0011023E"/>
    <w:rsid w:val="00110717"/>
    <w:rsid w:val="00110D00"/>
    <w:rsid w:val="00110DBF"/>
    <w:rsid w:val="001116D4"/>
    <w:rsid w:val="00111BAC"/>
    <w:rsid w:val="00111D4E"/>
    <w:rsid w:val="00111E23"/>
    <w:rsid w:val="00111FA8"/>
    <w:rsid w:val="001126AB"/>
    <w:rsid w:val="001127CC"/>
    <w:rsid w:val="0011287C"/>
    <w:rsid w:val="001133FC"/>
    <w:rsid w:val="00113552"/>
    <w:rsid w:val="00113582"/>
    <w:rsid w:val="001137A6"/>
    <w:rsid w:val="001139E6"/>
    <w:rsid w:val="00113BA7"/>
    <w:rsid w:val="00114189"/>
    <w:rsid w:val="0011427C"/>
    <w:rsid w:val="00114F3A"/>
    <w:rsid w:val="00115730"/>
    <w:rsid w:val="0011587B"/>
    <w:rsid w:val="001158CD"/>
    <w:rsid w:val="00115A74"/>
    <w:rsid w:val="00116051"/>
    <w:rsid w:val="001165AE"/>
    <w:rsid w:val="001167C6"/>
    <w:rsid w:val="001167C8"/>
    <w:rsid w:val="00116B75"/>
    <w:rsid w:val="00116D81"/>
    <w:rsid w:val="001173A8"/>
    <w:rsid w:val="00117404"/>
    <w:rsid w:val="0012016D"/>
    <w:rsid w:val="001203D4"/>
    <w:rsid w:val="0012063F"/>
    <w:rsid w:val="00120A6A"/>
    <w:rsid w:val="00120A86"/>
    <w:rsid w:val="001213BB"/>
    <w:rsid w:val="0012158F"/>
    <w:rsid w:val="00121CFD"/>
    <w:rsid w:val="00121D25"/>
    <w:rsid w:val="001220A1"/>
    <w:rsid w:val="0012279F"/>
    <w:rsid w:val="00122852"/>
    <w:rsid w:val="00122BA4"/>
    <w:rsid w:val="001230A0"/>
    <w:rsid w:val="001230F3"/>
    <w:rsid w:val="001234DF"/>
    <w:rsid w:val="00123F0A"/>
    <w:rsid w:val="00124A3D"/>
    <w:rsid w:val="00125135"/>
    <w:rsid w:val="001252F2"/>
    <w:rsid w:val="00125470"/>
    <w:rsid w:val="00125A67"/>
    <w:rsid w:val="00125EEF"/>
    <w:rsid w:val="0012608D"/>
    <w:rsid w:val="001260BC"/>
    <w:rsid w:val="00126125"/>
    <w:rsid w:val="00126CBD"/>
    <w:rsid w:val="00126E90"/>
    <w:rsid w:val="00127157"/>
    <w:rsid w:val="001272F9"/>
    <w:rsid w:val="001273FD"/>
    <w:rsid w:val="0012767A"/>
    <w:rsid w:val="00127E76"/>
    <w:rsid w:val="001304AD"/>
    <w:rsid w:val="00130697"/>
    <w:rsid w:val="00130D6C"/>
    <w:rsid w:val="00130DE5"/>
    <w:rsid w:val="0013119E"/>
    <w:rsid w:val="0013204C"/>
    <w:rsid w:val="0013206D"/>
    <w:rsid w:val="00132615"/>
    <w:rsid w:val="00132A09"/>
    <w:rsid w:val="00132A1B"/>
    <w:rsid w:val="00132E59"/>
    <w:rsid w:val="0013309F"/>
    <w:rsid w:val="00133139"/>
    <w:rsid w:val="001332D2"/>
    <w:rsid w:val="0013379B"/>
    <w:rsid w:val="00133BDB"/>
    <w:rsid w:val="00133E33"/>
    <w:rsid w:val="001346BE"/>
    <w:rsid w:val="00134E3C"/>
    <w:rsid w:val="00135556"/>
    <w:rsid w:val="0013555C"/>
    <w:rsid w:val="0013565E"/>
    <w:rsid w:val="00135A39"/>
    <w:rsid w:val="00135FBD"/>
    <w:rsid w:val="0013624A"/>
    <w:rsid w:val="00136A9A"/>
    <w:rsid w:val="00136B9D"/>
    <w:rsid w:val="00136BB8"/>
    <w:rsid w:val="001372F3"/>
    <w:rsid w:val="001374C9"/>
    <w:rsid w:val="00137861"/>
    <w:rsid w:val="00137C75"/>
    <w:rsid w:val="001406FF"/>
    <w:rsid w:val="0014081B"/>
    <w:rsid w:val="00140BD7"/>
    <w:rsid w:val="00140D9B"/>
    <w:rsid w:val="00140E08"/>
    <w:rsid w:val="00141331"/>
    <w:rsid w:val="00141BE5"/>
    <w:rsid w:val="00141E8A"/>
    <w:rsid w:val="00142014"/>
    <w:rsid w:val="001420C3"/>
    <w:rsid w:val="0014231A"/>
    <w:rsid w:val="001423FD"/>
    <w:rsid w:val="00142E2F"/>
    <w:rsid w:val="00142E7D"/>
    <w:rsid w:val="00142E8B"/>
    <w:rsid w:val="00143309"/>
    <w:rsid w:val="0014344C"/>
    <w:rsid w:val="00143975"/>
    <w:rsid w:val="00143D08"/>
    <w:rsid w:val="00143F15"/>
    <w:rsid w:val="00143F1C"/>
    <w:rsid w:val="00143F60"/>
    <w:rsid w:val="00143FDE"/>
    <w:rsid w:val="001444F7"/>
    <w:rsid w:val="001445D9"/>
    <w:rsid w:val="0014483D"/>
    <w:rsid w:val="00144B78"/>
    <w:rsid w:val="00144BF1"/>
    <w:rsid w:val="0014520A"/>
    <w:rsid w:val="00145561"/>
    <w:rsid w:val="001455E9"/>
    <w:rsid w:val="0014596A"/>
    <w:rsid w:val="00145CC9"/>
    <w:rsid w:val="00145CD4"/>
    <w:rsid w:val="001464BB"/>
    <w:rsid w:val="00146FA2"/>
    <w:rsid w:val="00147584"/>
    <w:rsid w:val="00147900"/>
    <w:rsid w:val="00147BFC"/>
    <w:rsid w:val="00147DB1"/>
    <w:rsid w:val="00147E48"/>
    <w:rsid w:val="001508C9"/>
    <w:rsid w:val="00150E78"/>
    <w:rsid w:val="001511B5"/>
    <w:rsid w:val="0015156E"/>
    <w:rsid w:val="0015159B"/>
    <w:rsid w:val="001516EE"/>
    <w:rsid w:val="00151AC8"/>
    <w:rsid w:val="00151BA1"/>
    <w:rsid w:val="00151EEF"/>
    <w:rsid w:val="00152FE0"/>
    <w:rsid w:val="001536D8"/>
    <w:rsid w:val="00153F4B"/>
    <w:rsid w:val="001541EB"/>
    <w:rsid w:val="001543D4"/>
    <w:rsid w:val="0015445C"/>
    <w:rsid w:val="0015450F"/>
    <w:rsid w:val="00154B6D"/>
    <w:rsid w:val="00154E9A"/>
    <w:rsid w:val="0015523D"/>
    <w:rsid w:val="00155FB6"/>
    <w:rsid w:val="00156AC5"/>
    <w:rsid w:val="00156F5B"/>
    <w:rsid w:val="00157106"/>
    <w:rsid w:val="00157457"/>
    <w:rsid w:val="0015748D"/>
    <w:rsid w:val="001575B8"/>
    <w:rsid w:val="001575CC"/>
    <w:rsid w:val="001575F4"/>
    <w:rsid w:val="00157CE3"/>
    <w:rsid w:val="00157DE4"/>
    <w:rsid w:val="00157EEF"/>
    <w:rsid w:val="0016071A"/>
    <w:rsid w:val="00160787"/>
    <w:rsid w:val="00160818"/>
    <w:rsid w:val="001608C9"/>
    <w:rsid w:val="001614D4"/>
    <w:rsid w:val="00161A39"/>
    <w:rsid w:val="00161B38"/>
    <w:rsid w:val="00161BBB"/>
    <w:rsid w:val="00161CAF"/>
    <w:rsid w:val="0016204C"/>
    <w:rsid w:val="00162573"/>
    <w:rsid w:val="00162669"/>
    <w:rsid w:val="001626DD"/>
    <w:rsid w:val="0016283C"/>
    <w:rsid w:val="00162AF4"/>
    <w:rsid w:val="00162C8A"/>
    <w:rsid w:val="00163357"/>
    <w:rsid w:val="0016353C"/>
    <w:rsid w:val="0016426E"/>
    <w:rsid w:val="00165EAD"/>
    <w:rsid w:val="00165FED"/>
    <w:rsid w:val="001662C0"/>
    <w:rsid w:val="001664D3"/>
    <w:rsid w:val="00166753"/>
    <w:rsid w:val="001667A9"/>
    <w:rsid w:val="00167185"/>
    <w:rsid w:val="0016766F"/>
    <w:rsid w:val="00167739"/>
    <w:rsid w:val="00170327"/>
    <w:rsid w:val="00170450"/>
    <w:rsid w:val="00170650"/>
    <w:rsid w:val="0017134C"/>
    <w:rsid w:val="001715BD"/>
    <w:rsid w:val="00172B99"/>
    <w:rsid w:val="00172E95"/>
    <w:rsid w:val="00173329"/>
    <w:rsid w:val="00173821"/>
    <w:rsid w:val="00174BD5"/>
    <w:rsid w:val="001754A4"/>
    <w:rsid w:val="00175D8D"/>
    <w:rsid w:val="00176294"/>
    <w:rsid w:val="00176395"/>
    <w:rsid w:val="00176886"/>
    <w:rsid w:val="0017692B"/>
    <w:rsid w:val="00176E6E"/>
    <w:rsid w:val="00176E78"/>
    <w:rsid w:val="0017711F"/>
    <w:rsid w:val="00177D11"/>
    <w:rsid w:val="0018015B"/>
    <w:rsid w:val="00180C95"/>
    <w:rsid w:val="00180E29"/>
    <w:rsid w:val="0018108B"/>
    <w:rsid w:val="00181424"/>
    <w:rsid w:val="001815B8"/>
    <w:rsid w:val="001816A6"/>
    <w:rsid w:val="0018228D"/>
    <w:rsid w:val="00182367"/>
    <w:rsid w:val="001826DB"/>
    <w:rsid w:val="0018280C"/>
    <w:rsid w:val="00182BAC"/>
    <w:rsid w:val="0018313C"/>
    <w:rsid w:val="00183957"/>
    <w:rsid w:val="00183BDB"/>
    <w:rsid w:val="0018413C"/>
    <w:rsid w:val="001844E5"/>
    <w:rsid w:val="00184530"/>
    <w:rsid w:val="001847E6"/>
    <w:rsid w:val="00184DA8"/>
    <w:rsid w:val="00185085"/>
    <w:rsid w:val="001851BD"/>
    <w:rsid w:val="00185D0E"/>
    <w:rsid w:val="00186113"/>
    <w:rsid w:val="00186249"/>
    <w:rsid w:val="0018696A"/>
    <w:rsid w:val="00186A2D"/>
    <w:rsid w:val="00186C23"/>
    <w:rsid w:val="00186F1C"/>
    <w:rsid w:val="00187858"/>
    <w:rsid w:val="001878D9"/>
    <w:rsid w:val="00187B32"/>
    <w:rsid w:val="00187B4D"/>
    <w:rsid w:val="00187F67"/>
    <w:rsid w:val="0019008D"/>
    <w:rsid w:val="0019022B"/>
    <w:rsid w:val="0019037D"/>
    <w:rsid w:val="00190F9B"/>
    <w:rsid w:val="0019126B"/>
    <w:rsid w:val="00191483"/>
    <w:rsid w:val="0019155A"/>
    <w:rsid w:val="00191C4F"/>
    <w:rsid w:val="001921F0"/>
    <w:rsid w:val="00192350"/>
    <w:rsid w:val="00192892"/>
    <w:rsid w:val="00192C4F"/>
    <w:rsid w:val="00192CCC"/>
    <w:rsid w:val="00193278"/>
    <w:rsid w:val="0019388E"/>
    <w:rsid w:val="00193C5E"/>
    <w:rsid w:val="00193EA6"/>
    <w:rsid w:val="00194F95"/>
    <w:rsid w:val="00195201"/>
    <w:rsid w:val="00195857"/>
    <w:rsid w:val="00195A1C"/>
    <w:rsid w:val="00195DE7"/>
    <w:rsid w:val="00195DFE"/>
    <w:rsid w:val="00196123"/>
    <w:rsid w:val="00196771"/>
    <w:rsid w:val="00196E4C"/>
    <w:rsid w:val="00196F3D"/>
    <w:rsid w:val="0019711B"/>
    <w:rsid w:val="001976BC"/>
    <w:rsid w:val="0019788A"/>
    <w:rsid w:val="0019799A"/>
    <w:rsid w:val="00197C0F"/>
    <w:rsid w:val="00197F36"/>
    <w:rsid w:val="00197F8E"/>
    <w:rsid w:val="001A02FE"/>
    <w:rsid w:val="001A0769"/>
    <w:rsid w:val="001A0BFC"/>
    <w:rsid w:val="001A0F7A"/>
    <w:rsid w:val="001A116E"/>
    <w:rsid w:val="001A1315"/>
    <w:rsid w:val="001A1A11"/>
    <w:rsid w:val="001A2056"/>
    <w:rsid w:val="001A2326"/>
    <w:rsid w:val="001A25C7"/>
    <w:rsid w:val="001A26F2"/>
    <w:rsid w:val="001A27A6"/>
    <w:rsid w:val="001A2A9D"/>
    <w:rsid w:val="001A2AD1"/>
    <w:rsid w:val="001A3215"/>
    <w:rsid w:val="001A3375"/>
    <w:rsid w:val="001A35C2"/>
    <w:rsid w:val="001A3637"/>
    <w:rsid w:val="001A37C6"/>
    <w:rsid w:val="001A3C77"/>
    <w:rsid w:val="001A409E"/>
    <w:rsid w:val="001A4780"/>
    <w:rsid w:val="001A4B57"/>
    <w:rsid w:val="001A5936"/>
    <w:rsid w:val="001A5C8D"/>
    <w:rsid w:val="001A6136"/>
    <w:rsid w:val="001A6342"/>
    <w:rsid w:val="001A652B"/>
    <w:rsid w:val="001A657D"/>
    <w:rsid w:val="001A713F"/>
    <w:rsid w:val="001A71CB"/>
    <w:rsid w:val="001A7384"/>
    <w:rsid w:val="001A772C"/>
    <w:rsid w:val="001A788E"/>
    <w:rsid w:val="001A7F1C"/>
    <w:rsid w:val="001B0143"/>
    <w:rsid w:val="001B0472"/>
    <w:rsid w:val="001B0B8E"/>
    <w:rsid w:val="001B102B"/>
    <w:rsid w:val="001B1100"/>
    <w:rsid w:val="001B11CD"/>
    <w:rsid w:val="001B1B4D"/>
    <w:rsid w:val="001B1BE8"/>
    <w:rsid w:val="001B1D8E"/>
    <w:rsid w:val="001B1F4A"/>
    <w:rsid w:val="001B20B4"/>
    <w:rsid w:val="001B21B7"/>
    <w:rsid w:val="001B25DC"/>
    <w:rsid w:val="001B2678"/>
    <w:rsid w:val="001B40F8"/>
    <w:rsid w:val="001B503E"/>
    <w:rsid w:val="001B55DF"/>
    <w:rsid w:val="001B5903"/>
    <w:rsid w:val="001B5EAC"/>
    <w:rsid w:val="001B616C"/>
    <w:rsid w:val="001B627A"/>
    <w:rsid w:val="001B6C5E"/>
    <w:rsid w:val="001B75FB"/>
    <w:rsid w:val="001B76F4"/>
    <w:rsid w:val="001B77C3"/>
    <w:rsid w:val="001C00B3"/>
    <w:rsid w:val="001C0611"/>
    <w:rsid w:val="001C0AEC"/>
    <w:rsid w:val="001C114E"/>
    <w:rsid w:val="001C18F7"/>
    <w:rsid w:val="001C1B66"/>
    <w:rsid w:val="001C1CC5"/>
    <w:rsid w:val="001C1E10"/>
    <w:rsid w:val="001C1E86"/>
    <w:rsid w:val="001C2900"/>
    <w:rsid w:val="001C2C05"/>
    <w:rsid w:val="001C36D2"/>
    <w:rsid w:val="001C3A5E"/>
    <w:rsid w:val="001C3C8B"/>
    <w:rsid w:val="001C3F9F"/>
    <w:rsid w:val="001C40C5"/>
    <w:rsid w:val="001C4117"/>
    <w:rsid w:val="001C41F9"/>
    <w:rsid w:val="001C43AD"/>
    <w:rsid w:val="001C4643"/>
    <w:rsid w:val="001C46D0"/>
    <w:rsid w:val="001C499B"/>
    <w:rsid w:val="001C4AC0"/>
    <w:rsid w:val="001C4B0F"/>
    <w:rsid w:val="001C5048"/>
    <w:rsid w:val="001C5199"/>
    <w:rsid w:val="001C51E6"/>
    <w:rsid w:val="001C5377"/>
    <w:rsid w:val="001C5504"/>
    <w:rsid w:val="001C57B1"/>
    <w:rsid w:val="001C5BD7"/>
    <w:rsid w:val="001C62B5"/>
    <w:rsid w:val="001C62F4"/>
    <w:rsid w:val="001C685A"/>
    <w:rsid w:val="001C6E80"/>
    <w:rsid w:val="001C7153"/>
    <w:rsid w:val="001C7405"/>
    <w:rsid w:val="001C77D6"/>
    <w:rsid w:val="001C78B4"/>
    <w:rsid w:val="001C7A9D"/>
    <w:rsid w:val="001C7BD4"/>
    <w:rsid w:val="001C7CA1"/>
    <w:rsid w:val="001D09D0"/>
    <w:rsid w:val="001D14AC"/>
    <w:rsid w:val="001D169E"/>
    <w:rsid w:val="001D19A9"/>
    <w:rsid w:val="001D1AF1"/>
    <w:rsid w:val="001D2208"/>
    <w:rsid w:val="001D25CB"/>
    <w:rsid w:val="001D285A"/>
    <w:rsid w:val="001D2ABC"/>
    <w:rsid w:val="001D2C3C"/>
    <w:rsid w:val="001D2CD5"/>
    <w:rsid w:val="001D2FB6"/>
    <w:rsid w:val="001D3489"/>
    <w:rsid w:val="001D3540"/>
    <w:rsid w:val="001D371D"/>
    <w:rsid w:val="001D38C2"/>
    <w:rsid w:val="001D39FD"/>
    <w:rsid w:val="001D46DF"/>
    <w:rsid w:val="001D48A4"/>
    <w:rsid w:val="001D48C9"/>
    <w:rsid w:val="001D5589"/>
    <w:rsid w:val="001D599D"/>
    <w:rsid w:val="001D70BF"/>
    <w:rsid w:val="001D7BCD"/>
    <w:rsid w:val="001E00D9"/>
    <w:rsid w:val="001E03C7"/>
    <w:rsid w:val="001E04DE"/>
    <w:rsid w:val="001E05B5"/>
    <w:rsid w:val="001E0A77"/>
    <w:rsid w:val="001E0AE6"/>
    <w:rsid w:val="001E0F47"/>
    <w:rsid w:val="001E13C5"/>
    <w:rsid w:val="001E17C4"/>
    <w:rsid w:val="001E18AC"/>
    <w:rsid w:val="001E1926"/>
    <w:rsid w:val="001E1ADF"/>
    <w:rsid w:val="001E233C"/>
    <w:rsid w:val="001E2796"/>
    <w:rsid w:val="001E27EC"/>
    <w:rsid w:val="001E2DC3"/>
    <w:rsid w:val="001E2E8E"/>
    <w:rsid w:val="001E35BF"/>
    <w:rsid w:val="001E35D2"/>
    <w:rsid w:val="001E37CF"/>
    <w:rsid w:val="001E39C5"/>
    <w:rsid w:val="001E4A04"/>
    <w:rsid w:val="001E4B1D"/>
    <w:rsid w:val="001E5479"/>
    <w:rsid w:val="001E55CD"/>
    <w:rsid w:val="001E5737"/>
    <w:rsid w:val="001E5BBC"/>
    <w:rsid w:val="001E5F29"/>
    <w:rsid w:val="001E6802"/>
    <w:rsid w:val="001E691E"/>
    <w:rsid w:val="001E6B0E"/>
    <w:rsid w:val="001E6D5D"/>
    <w:rsid w:val="001E740B"/>
    <w:rsid w:val="001E7E60"/>
    <w:rsid w:val="001F0158"/>
    <w:rsid w:val="001F018E"/>
    <w:rsid w:val="001F019F"/>
    <w:rsid w:val="001F051D"/>
    <w:rsid w:val="001F07B9"/>
    <w:rsid w:val="001F0904"/>
    <w:rsid w:val="001F0B04"/>
    <w:rsid w:val="001F0C13"/>
    <w:rsid w:val="001F126D"/>
    <w:rsid w:val="001F157A"/>
    <w:rsid w:val="001F1868"/>
    <w:rsid w:val="001F1A82"/>
    <w:rsid w:val="001F1B25"/>
    <w:rsid w:val="001F2257"/>
    <w:rsid w:val="001F2A1C"/>
    <w:rsid w:val="001F2A57"/>
    <w:rsid w:val="001F2DCA"/>
    <w:rsid w:val="001F2E4D"/>
    <w:rsid w:val="001F30EE"/>
    <w:rsid w:val="001F3221"/>
    <w:rsid w:val="001F33A0"/>
    <w:rsid w:val="001F3573"/>
    <w:rsid w:val="001F3AE4"/>
    <w:rsid w:val="001F3C0E"/>
    <w:rsid w:val="001F3C4B"/>
    <w:rsid w:val="001F3E2C"/>
    <w:rsid w:val="001F41C2"/>
    <w:rsid w:val="001F4483"/>
    <w:rsid w:val="001F4B16"/>
    <w:rsid w:val="001F4C39"/>
    <w:rsid w:val="001F62EA"/>
    <w:rsid w:val="001F65A3"/>
    <w:rsid w:val="001F6856"/>
    <w:rsid w:val="001F6EF6"/>
    <w:rsid w:val="001F73D9"/>
    <w:rsid w:val="001F7478"/>
    <w:rsid w:val="001F7EDD"/>
    <w:rsid w:val="001F7FCA"/>
    <w:rsid w:val="00200212"/>
    <w:rsid w:val="002008BE"/>
    <w:rsid w:val="0020111B"/>
    <w:rsid w:val="002019C7"/>
    <w:rsid w:val="00201A3B"/>
    <w:rsid w:val="00201FE8"/>
    <w:rsid w:val="00201FEF"/>
    <w:rsid w:val="002024FC"/>
    <w:rsid w:val="0020264D"/>
    <w:rsid w:val="002027BD"/>
    <w:rsid w:val="00202936"/>
    <w:rsid w:val="00202AE4"/>
    <w:rsid w:val="002031C1"/>
    <w:rsid w:val="00203830"/>
    <w:rsid w:val="00203AFC"/>
    <w:rsid w:val="00203D79"/>
    <w:rsid w:val="00204411"/>
    <w:rsid w:val="002051D4"/>
    <w:rsid w:val="00205678"/>
    <w:rsid w:val="00205758"/>
    <w:rsid w:val="00205B56"/>
    <w:rsid w:val="00205C40"/>
    <w:rsid w:val="00205EF7"/>
    <w:rsid w:val="0020640C"/>
    <w:rsid w:val="002069B7"/>
    <w:rsid w:val="00206B72"/>
    <w:rsid w:val="00206E76"/>
    <w:rsid w:val="00206F81"/>
    <w:rsid w:val="00207016"/>
    <w:rsid w:val="002104A6"/>
    <w:rsid w:val="00210673"/>
    <w:rsid w:val="00210D2D"/>
    <w:rsid w:val="00211245"/>
    <w:rsid w:val="00211634"/>
    <w:rsid w:val="0021164B"/>
    <w:rsid w:val="00211EF5"/>
    <w:rsid w:val="002121E4"/>
    <w:rsid w:val="0021222A"/>
    <w:rsid w:val="002125F9"/>
    <w:rsid w:val="002125FF"/>
    <w:rsid w:val="00212C1C"/>
    <w:rsid w:val="00213330"/>
    <w:rsid w:val="002137DF"/>
    <w:rsid w:val="00213957"/>
    <w:rsid w:val="00213A28"/>
    <w:rsid w:val="00213D3C"/>
    <w:rsid w:val="00213DCF"/>
    <w:rsid w:val="00213EEE"/>
    <w:rsid w:val="00214143"/>
    <w:rsid w:val="0021448A"/>
    <w:rsid w:val="00214773"/>
    <w:rsid w:val="00214FEB"/>
    <w:rsid w:val="0021514C"/>
    <w:rsid w:val="00215773"/>
    <w:rsid w:val="00215B62"/>
    <w:rsid w:val="00216014"/>
    <w:rsid w:val="00216207"/>
    <w:rsid w:val="002168AE"/>
    <w:rsid w:val="0021698E"/>
    <w:rsid w:val="00216C14"/>
    <w:rsid w:val="00216CCB"/>
    <w:rsid w:val="00216E8F"/>
    <w:rsid w:val="00216FD9"/>
    <w:rsid w:val="0021707D"/>
    <w:rsid w:val="00217811"/>
    <w:rsid w:val="00220005"/>
    <w:rsid w:val="0022005D"/>
    <w:rsid w:val="00220E16"/>
    <w:rsid w:val="00221055"/>
    <w:rsid w:val="00221421"/>
    <w:rsid w:val="00221450"/>
    <w:rsid w:val="002214C9"/>
    <w:rsid w:val="00221D4E"/>
    <w:rsid w:val="00221EF8"/>
    <w:rsid w:val="00221F4F"/>
    <w:rsid w:val="00222296"/>
    <w:rsid w:val="002224A3"/>
    <w:rsid w:val="00223627"/>
    <w:rsid w:val="00223C32"/>
    <w:rsid w:val="00223D80"/>
    <w:rsid w:val="00224131"/>
    <w:rsid w:val="00224D32"/>
    <w:rsid w:val="00224DB1"/>
    <w:rsid w:val="00225079"/>
    <w:rsid w:val="002252F7"/>
    <w:rsid w:val="0022588B"/>
    <w:rsid w:val="0022618F"/>
    <w:rsid w:val="00226660"/>
    <w:rsid w:val="00226B61"/>
    <w:rsid w:val="00226C0B"/>
    <w:rsid w:val="00226CB0"/>
    <w:rsid w:val="00227508"/>
    <w:rsid w:val="00227B03"/>
    <w:rsid w:val="00227F84"/>
    <w:rsid w:val="002308E1"/>
    <w:rsid w:val="002309E8"/>
    <w:rsid w:val="00230AC8"/>
    <w:rsid w:val="00230C63"/>
    <w:rsid w:val="00230E2A"/>
    <w:rsid w:val="002310A7"/>
    <w:rsid w:val="00231728"/>
    <w:rsid w:val="002319E2"/>
    <w:rsid w:val="00231FDB"/>
    <w:rsid w:val="0023225E"/>
    <w:rsid w:val="00232528"/>
    <w:rsid w:val="00232824"/>
    <w:rsid w:val="0023298F"/>
    <w:rsid w:val="002329B1"/>
    <w:rsid w:val="00232D34"/>
    <w:rsid w:val="00232EC1"/>
    <w:rsid w:val="002331FD"/>
    <w:rsid w:val="0023329F"/>
    <w:rsid w:val="0023340B"/>
    <w:rsid w:val="0023366B"/>
    <w:rsid w:val="0023372E"/>
    <w:rsid w:val="00233C8B"/>
    <w:rsid w:val="00233D11"/>
    <w:rsid w:val="00233F8F"/>
    <w:rsid w:val="00234111"/>
    <w:rsid w:val="002344EC"/>
    <w:rsid w:val="0023468B"/>
    <w:rsid w:val="00234B4B"/>
    <w:rsid w:val="00234B5F"/>
    <w:rsid w:val="00234DBF"/>
    <w:rsid w:val="00235448"/>
    <w:rsid w:val="002354BB"/>
    <w:rsid w:val="0023599E"/>
    <w:rsid w:val="00235F58"/>
    <w:rsid w:val="00236332"/>
    <w:rsid w:val="002366DD"/>
    <w:rsid w:val="00236E9F"/>
    <w:rsid w:val="00237BC1"/>
    <w:rsid w:val="0024010C"/>
    <w:rsid w:val="0024061C"/>
    <w:rsid w:val="00241021"/>
    <w:rsid w:val="0024107A"/>
    <w:rsid w:val="002411DC"/>
    <w:rsid w:val="002411E8"/>
    <w:rsid w:val="002417AE"/>
    <w:rsid w:val="00241BC8"/>
    <w:rsid w:val="00241D41"/>
    <w:rsid w:val="0024280E"/>
    <w:rsid w:val="002429EB"/>
    <w:rsid w:val="00242F37"/>
    <w:rsid w:val="00243224"/>
    <w:rsid w:val="002434A7"/>
    <w:rsid w:val="00243846"/>
    <w:rsid w:val="00243CBD"/>
    <w:rsid w:val="00244291"/>
    <w:rsid w:val="00244882"/>
    <w:rsid w:val="00244CD1"/>
    <w:rsid w:val="0024556F"/>
    <w:rsid w:val="00245616"/>
    <w:rsid w:val="00246013"/>
    <w:rsid w:val="00246794"/>
    <w:rsid w:val="00246834"/>
    <w:rsid w:val="00246851"/>
    <w:rsid w:val="002468AE"/>
    <w:rsid w:val="00246D02"/>
    <w:rsid w:val="00246D9D"/>
    <w:rsid w:val="00247828"/>
    <w:rsid w:val="00247C1D"/>
    <w:rsid w:val="00250D47"/>
    <w:rsid w:val="00251203"/>
    <w:rsid w:val="00251555"/>
    <w:rsid w:val="00251786"/>
    <w:rsid w:val="0025183D"/>
    <w:rsid w:val="00251ACE"/>
    <w:rsid w:val="00251D59"/>
    <w:rsid w:val="00251FA9"/>
    <w:rsid w:val="00252017"/>
    <w:rsid w:val="00252036"/>
    <w:rsid w:val="00252B31"/>
    <w:rsid w:val="00252DC2"/>
    <w:rsid w:val="00253025"/>
    <w:rsid w:val="002530CD"/>
    <w:rsid w:val="00253109"/>
    <w:rsid w:val="00253678"/>
    <w:rsid w:val="00253C48"/>
    <w:rsid w:val="002541D0"/>
    <w:rsid w:val="00254571"/>
    <w:rsid w:val="0025488C"/>
    <w:rsid w:val="002548B1"/>
    <w:rsid w:val="0025561E"/>
    <w:rsid w:val="002557C7"/>
    <w:rsid w:val="00256013"/>
    <w:rsid w:val="00256B58"/>
    <w:rsid w:val="00256D3D"/>
    <w:rsid w:val="00256E13"/>
    <w:rsid w:val="00257066"/>
    <w:rsid w:val="002578DF"/>
    <w:rsid w:val="00257E08"/>
    <w:rsid w:val="00260461"/>
    <w:rsid w:val="00260656"/>
    <w:rsid w:val="002606F8"/>
    <w:rsid w:val="00260B69"/>
    <w:rsid w:val="00261101"/>
    <w:rsid w:val="0026126F"/>
    <w:rsid w:val="00261743"/>
    <w:rsid w:val="00261879"/>
    <w:rsid w:val="00261BE2"/>
    <w:rsid w:val="00261C6D"/>
    <w:rsid w:val="00261D4C"/>
    <w:rsid w:val="002629FA"/>
    <w:rsid w:val="00262B60"/>
    <w:rsid w:val="00262F5B"/>
    <w:rsid w:val="00262F63"/>
    <w:rsid w:val="00263072"/>
    <w:rsid w:val="002633FC"/>
    <w:rsid w:val="0026377E"/>
    <w:rsid w:val="00264169"/>
    <w:rsid w:val="00264752"/>
    <w:rsid w:val="002650E3"/>
    <w:rsid w:val="00265B1A"/>
    <w:rsid w:val="002663A5"/>
    <w:rsid w:val="00266603"/>
    <w:rsid w:val="002674BC"/>
    <w:rsid w:val="00267C19"/>
    <w:rsid w:val="00267FCC"/>
    <w:rsid w:val="0027098C"/>
    <w:rsid w:val="00270A70"/>
    <w:rsid w:val="00270C5C"/>
    <w:rsid w:val="00270F23"/>
    <w:rsid w:val="002713F9"/>
    <w:rsid w:val="00271861"/>
    <w:rsid w:val="00271934"/>
    <w:rsid w:val="002721B5"/>
    <w:rsid w:val="00272416"/>
    <w:rsid w:val="00272D29"/>
    <w:rsid w:val="00272E23"/>
    <w:rsid w:val="00273102"/>
    <w:rsid w:val="002731AD"/>
    <w:rsid w:val="002734D5"/>
    <w:rsid w:val="002736D9"/>
    <w:rsid w:val="00273C7F"/>
    <w:rsid w:val="00273DE8"/>
    <w:rsid w:val="002741A6"/>
    <w:rsid w:val="00274494"/>
    <w:rsid w:val="00274AA1"/>
    <w:rsid w:val="00274B71"/>
    <w:rsid w:val="002758BA"/>
    <w:rsid w:val="00275A0E"/>
    <w:rsid w:val="00275E59"/>
    <w:rsid w:val="002765F4"/>
    <w:rsid w:val="00276974"/>
    <w:rsid w:val="002769EA"/>
    <w:rsid w:val="00276BA1"/>
    <w:rsid w:val="00277476"/>
    <w:rsid w:val="00277B3D"/>
    <w:rsid w:val="00277DD9"/>
    <w:rsid w:val="002802DC"/>
    <w:rsid w:val="00280706"/>
    <w:rsid w:val="00280F8D"/>
    <w:rsid w:val="00281606"/>
    <w:rsid w:val="002817E2"/>
    <w:rsid w:val="00281859"/>
    <w:rsid w:val="00281B29"/>
    <w:rsid w:val="00281EC3"/>
    <w:rsid w:val="00282592"/>
    <w:rsid w:val="00282A44"/>
    <w:rsid w:val="00283084"/>
    <w:rsid w:val="00283251"/>
    <w:rsid w:val="00283421"/>
    <w:rsid w:val="00283CD8"/>
    <w:rsid w:val="00283D22"/>
    <w:rsid w:val="0028412B"/>
    <w:rsid w:val="00284582"/>
    <w:rsid w:val="00284EBB"/>
    <w:rsid w:val="002851FB"/>
    <w:rsid w:val="0028552E"/>
    <w:rsid w:val="00285712"/>
    <w:rsid w:val="0028583B"/>
    <w:rsid w:val="00286598"/>
    <w:rsid w:val="0028663A"/>
    <w:rsid w:val="00286B0E"/>
    <w:rsid w:val="00286B4B"/>
    <w:rsid w:val="00286BD1"/>
    <w:rsid w:val="00287088"/>
    <w:rsid w:val="0028710A"/>
    <w:rsid w:val="00287283"/>
    <w:rsid w:val="0028732F"/>
    <w:rsid w:val="00287BFE"/>
    <w:rsid w:val="00287E08"/>
    <w:rsid w:val="00290222"/>
    <w:rsid w:val="0029079D"/>
    <w:rsid w:val="00290973"/>
    <w:rsid w:val="002913B9"/>
    <w:rsid w:val="00291524"/>
    <w:rsid w:val="002917E3"/>
    <w:rsid w:val="002919AB"/>
    <w:rsid w:val="00291BF2"/>
    <w:rsid w:val="00291D71"/>
    <w:rsid w:val="00291EBC"/>
    <w:rsid w:val="00292313"/>
    <w:rsid w:val="00292614"/>
    <w:rsid w:val="002927F4"/>
    <w:rsid w:val="00292C86"/>
    <w:rsid w:val="002935F9"/>
    <w:rsid w:val="00293ACE"/>
    <w:rsid w:val="00293C3E"/>
    <w:rsid w:val="00293F49"/>
    <w:rsid w:val="0029439C"/>
    <w:rsid w:val="0029493A"/>
    <w:rsid w:val="00294A4E"/>
    <w:rsid w:val="00294D6F"/>
    <w:rsid w:val="0029520D"/>
    <w:rsid w:val="00295279"/>
    <w:rsid w:val="00295D3A"/>
    <w:rsid w:val="0029603B"/>
    <w:rsid w:val="00296737"/>
    <w:rsid w:val="00296E62"/>
    <w:rsid w:val="002972DF"/>
    <w:rsid w:val="0029749B"/>
    <w:rsid w:val="0029765E"/>
    <w:rsid w:val="00297CD8"/>
    <w:rsid w:val="002A0465"/>
    <w:rsid w:val="002A0633"/>
    <w:rsid w:val="002A06C3"/>
    <w:rsid w:val="002A0826"/>
    <w:rsid w:val="002A0DD3"/>
    <w:rsid w:val="002A117C"/>
    <w:rsid w:val="002A12F1"/>
    <w:rsid w:val="002A1346"/>
    <w:rsid w:val="002A16A3"/>
    <w:rsid w:val="002A19B0"/>
    <w:rsid w:val="002A1D39"/>
    <w:rsid w:val="002A1D74"/>
    <w:rsid w:val="002A1F07"/>
    <w:rsid w:val="002A2043"/>
    <w:rsid w:val="002A25CB"/>
    <w:rsid w:val="002A2C89"/>
    <w:rsid w:val="002A2D73"/>
    <w:rsid w:val="002A339F"/>
    <w:rsid w:val="002A33AF"/>
    <w:rsid w:val="002A393F"/>
    <w:rsid w:val="002A395B"/>
    <w:rsid w:val="002A431A"/>
    <w:rsid w:val="002A432B"/>
    <w:rsid w:val="002A4B46"/>
    <w:rsid w:val="002A4B7E"/>
    <w:rsid w:val="002A4BB1"/>
    <w:rsid w:val="002A4C04"/>
    <w:rsid w:val="002A4D2A"/>
    <w:rsid w:val="002A4F48"/>
    <w:rsid w:val="002A4F95"/>
    <w:rsid w:val="002A5379"/>
    <w:rsid w:val="002A5403"/>
    <w:rsid w:val="002A59FD"/>
    <w:rsid w:val="002A5DA0"/>
    <w:rsid w:val="002A60EC"/>
    <w:rsid w:val="002A65FE"/>
    <w:rsid w:val="002A69BC"/>
    <w:rsid w:val="002A69C8"/>
    <w:rsid w:val="002A6B6D"/>
    <w:rsid w:val="002A6DDE"/>
    <w:rsid w:val="002A7272"/>
    <w:rsid w:val="002A72F5"/>
    <w:rsid w:val="002A7556"/>
    <w:rsid w:val="002A7E8B"/>
    <w:rsid w:val="002B013E"/>
    <w:rsid w:val="002B0E2D"/>
    <w:rsid w:val="002B0F56"/>
    <w:rsid w:val="002B16E0"/>
    <w:rsid w:val="002B1A2F"/>
    <w:rsid w:val="002B1B05"/>
    <w:rsid w:val="002B1D72"/>
    <w:rsid w:val="002B1EB2"/>
    <w:rsid w:val="002B2350"/>
    <w:rsid w:val="002B2A81"/>
    <w:rsid w:val="002B2C2C"/>
    <w:rsid w:val="002B3111"/>
    <w:rsid w:val="002B32FC"/>
    <w:rsid w:val="002B3BCE"/>
    <w:rsid w:val="002B3D5E"/>
    <w:rsid w:val="002B3E02"/>
    <w:rsid w:val="002B407B"/>
    <w:rsid w:val="002B417F"/>
    <w:rsid w:val="002B4505"/>
    <w:rsid w:val="002B468E"/>
    <w:rsid w:val="002B4DA6"/>
    <w:rsid w:val="002B4F0D"/>
    <w:rsid w:val="002B5024"/>
    <w:rsid w:val="002B525E"/>
    <w:rsid w:val="002B566A"/>
    <w:rsid w:val="002B59CA"/>
    <w:rsid w:val="002B5AE4"/>
    <w:rsid w:val="002B5AFB"/>
    <w:rsid w:val="002B5BA7"/>
    <w:rsid w:val="002B5FB0"/>
    <w:rsid w:val="002B6384"/>
    <w:rsid w:val="002B6416"/>
    <w:rsid w:val="002B69F7"/>
    <w:rsid w:val="002B6BE2"/>
    <w:rsid w:val="002B709D"/>
    <w:rsid w:val="002B70F6"/>
    <w:rsid w:val="002B7189"/>
    <w:rsid w:val="002B7900"/>
    <w:rsid w:val="002B7948"/>
    <w:rsid w:val="002C0060"/>
    <w:rsid w:val="002C0078"/>
    <w:rsid w:val="002C0AED"/>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2F"/>
    <w:rsid w:val="002C58E1"/>
    <w:rsid w:val="002C5DE6"/>
    <w:rsid w:val="002C5E42"/>
    <w:rsid w:val="002C6236"/>
    <w:rsid w:val="002C62A6"/>
    <w:rsid w:val="002C6444"/>
    <w:rsid w:val="002C6677"/>
    <w:rsid w:val="002C6D69"/>
    <w:rsid w:val="002C6F73"/>
    <w:rsid w:val="002C70A1"/>
    <w:rsid w:val="002C7C1A"/>
    <w:rsid w:val="002C7E63"/>
    <w:rsid w:val="002D006A"/>
    <w:rsid w:val="002D04A7"/>
    <w:rsid w:val="002D05B5"/>
    <w:rsid w:val="002D0E5F"/>
    <w:rsid w:val="002D11A3"/>
    <w:rsid w:val="002D16DB"/>
    <w:rsid w:val="002D18FC"/>
    <w:rsid w:val="002D19B4"/>
    <w:rsid w:val="002D19F6"/>
    <w:rsid w:val="002D20A7"/>
    <w:rsid w:val="002D20EC"/>
    <w:rsid w:val="002D21E4"/>
    <w:rsid w:val="002D22A0"/>
    <w:rsid w:val="002D27B5"/>
    <w:rsid w:val="002D2B57"/>
    <w:rsid w:val="002D2F09"/>
    <w:rsid w:val="002D30DF"/>
    <w:rsid w:val="002D33D6"/>
    <w:rsid w:val="002D34BC"/>
    <w:rsid w:val="002D35D0"/>
    <w:rsid w:val="002D3A6B"/>
    <w:rsid w:val="002D3D98"/>
    <w:rsid w:val="002D3F35"/>
    <w:rsid w:val="002D4593"/>
    <w:rsid w:val="002D4703"/>
    <w:rsid w:val="002D4769"/>
    <w:rsid w:val="002D4A5F"/>
    <w:rsid w:val="002D4BBD"/>
    <w:rsid w:val="002D535D"/>
    <w:rsid w:val="002D548B"/>
    <w:rsid w:val="002D58C0"/>
    <w:rsid w:val="002D58E5"/>
    <w:rsid w:val="002D5EC3"/>
    <w:rsid w:val="002D60FB"/>
    <w:rsid w:val="002D6996"/>
    <w:rsid w:val="002D6AB5"/>
    <w:rsid w:val="002D7D47"/>
    <w:rsid w:val="002E025C"/>
    <w:rsid w:val="002E0263"/>
    <w:rsid w:val="002E0B8F"/>
    <w:rsid w:val="002E0C25"/>
    <w:rsid w:val="002E0D3A"/>
    <w:rsid w:val="002E116E"/>
    <w:rsid w:val="002E12C5"/>
    <w:rsid w:val="002E149C"/>
    <w:rsid w:val="002E1AA5"/>
    <w:rsid w:val="002E1E43"/>
    <w:rsid w:val="002E26B3"/>
    <w:rsid w:val="002E2D95"/>
    <w:rsid w:val="002E31A4"/>
    <w:rsid w:val="002E374F"/>
    <w:rsid w:val="002E3C2E"/>
    <w:rsid w:val="002E45C4"/>
    <w:rsid w:val="002E604B"/>
    <w:rsid w:val="002E6559"/>
    <w:rsid w:val="002E66AB"/>
    <w:rsid w:val="002E679B"/>
    <w:rsid w:val="002E685A"/>
    <w:rsid w:val="002E6ABC"/>
    <w:rsid w:val="002E6AC8"/>
    <w:rsid w:val="002E75A6"/>
    <w:rsid w:val="002E75F5"/>
    <w:rsid w:val="002E7A37"/>
    <w:rsid w:val="002F00FF"/>
    <w:rsid w:val="002F11F3"/>
    <w:rsid w:val="002F148F"/>
    <w:rsid w:val="002F1911"/>
    <w:rsid w:val="002F1D8C"/>
    <w:rsid w:val="002F1EE5"/>
    <w:rsid w:val="002F2CDC"/>
    <w:rsid w:val="002F2D68"/>
    <w:rsid w:val="002F3582"/>
    <w:rsid w:val="002F3F2F"/>
    <w:rsid w:val="002F45ED"/>
    <w:rsid w:val="002F460A"/>
    <w:rsid w:val="002F46E1"/>
    <w:rsid w:val="002F46F2"/>
    <w:rsid w:val="002F4F71"/>
    <w:rsid w:val="002F52A7"/>
    <w:rsid w:val="002F5553"/>
    <w:rsid w:val="002F5C0F"/>
    <w:rsid w:val="002F5F03"/>
    <w:rsid w:val="002F6316"/>
    <w:rsid w:val="002F660C"/>
    <w:rsid w:val="002F68FD"/>
    <w:rsid w:val="002F6A62"/>
    <w:rsid w:val="002F6C84"/>
    <w:rsid w:val="002F6FE1"/>
    <w:rsid w:val="002F7233"/>
    <w:rsid w:val="002F79F4"/>
    <w:rsid w:val="002F7FCB"/>
    <w:rsid w:val="0030063B"/>
    <w:rsid w:val="003006A0"/>
    <w:rsid w:val="003007B5"/>
    <w:rsid w:val="00300AA0"/>
    <w:rsid w:val="00301371"/>
    <w:rsid w:val="0030137B"/>
    <w:rsid w:val="0030172B"/>
    <w:rsid w:val="00301897"/>
    <w:rsid w:val="00301B2D"/>
    <w:rsid w:val="00301E85"/>
    <w:rsid w:val="00301ED5"/>
    <w:rsid w:val="00302084"/>
    <w:rsid w:val="00302635"/>
    <w:rsid w:val="00302826"/>
    <w:rsid w:val="00302CD5"/>
    <w:rsid w:val="00302DEE"/>
    <w:rsid w:val="00302EA9"/>
    <w:rsid w:val="00303552"/>
    <w:rsid w:val="0030379A"/>
    <w:rsid w:val="0030383E"/>
    <w:rsid w:val="003038AA"/>
    <w:rsid w:val="00303ADC"/>
    <w:rsid w:val="00303AFA"/>
    <w:rsid w:val="00303B82"/>
    <w:rsid w:val="00303C15"/>
    <w:rsid w:val="00304142"/>
    <w:rsid w:val="00304161"/>
    <w:rsid w:val="00304560"/>
    <w:rsid w:val="00304678"/>
    <w:rsid w:val="00304717"/>
    <w:rsid w:val="00304CD8"/>
    <w:rsid w:val="00304D95"/>
    <w:rsid w:val="00305460"/>
    <w:rsid w:val="00305763"/>
    <w:rsid w:val="00305947"/>
    <w:rsid w:val="00306732"/>
    <w:rsid w:val="00306A0B"/>
    <w:rsid w:val="003070FA"/>
    <w:rsid w:val="00307186"/>
    <w:rsid w:val="0030763F"/>
    <w:rsid w:val="003077A5"/>
    <w:rsid w:val="00307F9B"/>
    <w:rsid w:val="003103BE"/>
    <w:rsid w:val="00310D49"/>
    <w:rsid w:val="00310F45"/>
    <w:rsid w:val="00311460"/>
    <w:rsid w:val="00311824"/>
    <w:rsid w:val="003121A6"/>
    <w:rsid w:val="00312777"/>
    <w:rsid w:val="003127D5"/>
    <w:rsid w:val="00312878"/>
    <w:rsid w:val="00312888"/>
    <w:rsid w:val="00312B67"/>
    <w:rsid w:val="00312DF5"/>
    <w:rsid w:val="003131DA"/>
    <w:rsid w:val="00313290"/>
    <w:rsid w:val="003132D1"/>
    <w:rsid w:val="00313783"/>
    <w:rsid w:val="00313C71"/>
    <w:rsid w:val="00313C7C"/>
    <w:rsid w:val="00314513"/>
    <w:rsid w:val="00314563"/>
    <w:rsid w:val="003148D6"/>
    <w:rsid w:val="00314BF3"/>
    <w:rsid w:val="003153EE"/>
    <w:rsid w:val="003155D2"/>
    <w:rsid w:val="003155D5"/>
    <w:rsid w:val="0031567F"/>
    <w:rsid w:val="00315A8B"/>
    <w:rsid w:val="0031643E"/>
    <w:rsid w:val="003165AF"/>
    <w:rsid w:val="00316616"/>
    <w:rsid w:val="00316E30"/>
    <w:rsid w:val="003174A2"/>
    <w:rsid w:val="003174DD"/>
    <w:rsid w:val="00317969"/>
    <w:rsid w:val="00317C18"/>
    <w:rsid w:val="00317DE3"/>
    <w:rsid w:val="00320566"/>
    <w:rsid w:val="00320678"/>
    <w:rsid w:val="00320996"/>
    <w:rsid w:val="00320A82"/>
    <w:rsid w:val="00320DBB"/>
    <w:rsid w:val="00321505"/>
    <w:rsid w:val="00321887"/>
    <w:rsid w:val="003218FA"/>
    <w:rsid w:val="003223DE"/>
    <w:rsid w:val="003226F3"/>
    <w:rsid w:val="003228AC"/>
    <w:rsid w:val="0032290E"/>
    <w:rsid w:val="00322B57"/>
    <w:rsid w:val="00322C1B"/>
    <w:rsid w:val="00322FCD"/>
    <w:rsid w:val="0032310A"/>
    <w:rsid w:val="0032348D"/>
    <w:rsid w:val="00323783"/>
    <w:rsid w:val="003239FE"/>
    <w:rsid w:val="00323DC0"/>
    <w:rsid w:val="00323F7B"/>
    <w:rsid w:val="00324208"/>
    <w:rsid w:val="003245AA"/>
    <w:rsid w:val="00324674"/>
    <w:rsid w:val="00324AF7"/>
    <w:rsid w:val="00325134"/>
    <w:rsid w:val="00325827"/>
    <w:rsid w:val="003258A7"/>
    <w:rsid w:val="003259A3"/>
    <w:rsid w:val="00325A7A"/>
    <w:rsid w:val="00325ABC"/>
    <w:rsid w:val="0032670D"/>
    <w:rsid w:val="00326ED8"/>
    <w:rsid w:val="00326F1D"/>
    <w:rsid w:val="00327D35"/>
    <w:rsid w:val="003308AC"/>
    <w:rsid w:val="00330B40"/>
    <w:rsid w:val="00330B78"/>
    <w:rsid w:val="003311C4"/>
    <w:rsid w:val="0033180A"/>
    <w:rsid w:val="00331E9C"/>
    <w:rsid w:val="00331FBE"/>
    <w:rsid w:val="0033253F"/>
    <w:rsid w:val="0033295D"/>
    <w:rsid w:val="0033296A"/>
    <w:rsid w:val="00332DFF"/>
    <w:rsid w:val="00333128"/>
    <w:rsid w:val="00333223"/>
    <w:rsid w:val="0033335F"/>
    <w:rsid w:val="00333CC1"/>
    <w:rsid w:val="00333DBC"/>
    <w:rsid w:val="003346CE"/>
    <w:rsid w:val="00334DF1"/>
    <w:rsid w:val="0033515F"/>
    <w:rsid w:val="00335467"/>
    <w:rsid w:val="00335474"/>
    <w:rsid w:val="003356C8"/>
    <w:rsid w:val="00335AFA"/>
    <w:rsid w:val="003367A4"/>
    <w:rsid w:val="003367B9"/>
    <w:rsid w:val="00336A6A"/>
    <w:rsid w:val="00337748"/>
    <w:rsid w:val="00337797"/>
    <w:rsid w:val="003377BE"/>
    <w:rsid w:val="00337F41"/>
    <w:rsid w:val="003407F9"/>
    <w:rsid w:val="0034081B"/>
    <w:rsid w:val="00340821"/>
    <w:rsid w:val="00340878"/>
    <w:rsid w:val="00340B20"/>
    <w:rsid w:val="00340B7E"/>
    <w:rsid w:val="00340BFC"/>
    <w:rsid w:val="00340D58"/>
    <w:rsid w:val="00340F8A"/>
    <w:rsid w:val="00341011"/>
    <w:rsid w:val="0034111B"/>
    <w:rsid w:val="00341440"/>
    <w:rsid w:val="003414D2"/>
    <w:rsid w:val="003416BB"/>
    <w:rsid w:val="003417AD"/>
    <w:rsid w:val="00341A8C"/>
    <w:rsid w:val="003422F0"/>
    <w:rsid w:val="0034257E"/>
    <w:rsid w:val="003425B1"/>
    <w:rsid w:val="00342877"/>
    <w:rsid w:val="00342895"/>
    <w:rsid w:val="0034333F"/>
    <w:rsid w:val="00343A7E"/>
    <w:rsid w:val="00343DB9"/>
    <w:rsid w:val="00344502"/>
    <w:rsid w:val="00344F56"/>
    <w:rsid w:val="0034538F"/>
    <w:rsid w:val="00345754"/>
    <w:rsid w:val="003459BC"/>
    <w:rsid w:val="00345B71"/>
    <w:rsid w:val="003461BF"/>
    <w:rsid w:val="0034641E"/>
    <w:rsid w:val="003469F1"/>
    <w:rsid w:val="00346A8C"/>
    <w:rsid w:val="00346C96"/>
    <w:rsid w:val="00346F98"/>
    <w:rsid w:val="00347009"/>
    <w:rsid w:val="00347056"/>
    <w:rsid w:val="00347992"/>
    <w:rsid w:val="00347A62"/>
    <w:rsid w:val="00347C30"/>
    <w:rsid w:val="00347D0F"/>
    <w:rsid w:val="00347E52"/>
    <w:rsid w:val="003501F6"/>
    <w:rsid w:val="00350AC3"/>
    <w:rsid w:val="00350E74"/>
    <w:rsid w:val="00351338"/>
    <w:rsid w:val="00351892"/>
    <w:rsid w:val="00351D3A"/>
    <w:rsid w:val="0035204D"/>
    <w:rsid w:val="00352335"/>
    <w:rsid w:val="00352505"/>
    <w:rsid w:val="00352584"/>
    <w:rsid w:val="00352649"/>
    <w:rsid w:val="003528AE"/>
    <w:rsid w:val="00352904"/>
    <w:rsid w:val="00352A62"/>
    <w:rsid w:val="00352B17"/>
    <w:rsid w:val="0035309B"/>
    <w:rsid w:val="0035403B"/>
    <w:rsid w:val="00354A12"/>
    <w:rsid w:val="00355379"/>
    <w:rsid w:val="00355AC5"/>
    <w:rsid w:val="00355E65"/>
    <w:rsid w:val="0035613B"/>
    <w:rsid w:val="003561CB"/>
    <w:rsid w:val="00356253"/>
    <w:rsid w:val="00356AA4"/>
    <w:rsid w:val="003571FB"/>
    <w:rsid w:val="0035750A"/>
    <w:rsid w:val="00357658"/>
    <w:rsid w:val="00357680"/>
    <w:rsid w:val="00357982"/>
    <w:rsid w:val="00357D33"/>
    <w:rsid w:val="0036027D"/>
    <w:rsid w:val="0036059C"/>
    <w:rsid w:val="003605E3"/>
    <w:rsid w:val="003607FD"/>
    <w:rsid w:val="003608F6"/>
    <w:rsid w:val="00360AD9"/>
    <w:rsid w:val="00360C49"/>
    <w:rsid w:val="00360CF1"/>
    <w:rsid w:val="00360DA1"/>
    <w:rsid w:val="00360DAA"/>
    <w:rsid w:val="003611C4"/>
    <w:rsid w:val="003614B0"/>
    <w:rsid w:val="003614B8"/>
    <w:rsid w:val="0036150C"/>
    <w:rsid w:val="003617B8"/>
    <w:rsid w:val="00362919"/>
    <w:rsid w:val="00362B31"/>
    <w:rsid w:val="00362BB5"/>
    <w:rsid w:val="00362C4B"/>
    <w:rsid w:val="003634EA"/>
    <w:rsid w:val="003636FB"/>
    <w:rsid w:val="00363A15"/>
    <w:rsid w:val="00363CDC"/>
    <w:rsid w:val="00363ECF"/>
    <w:rsid w:val="003646FB"/>
    <w:rsid w:val="00364B2A"/>
    <w:rsid w:val="00364C5E"/>
    <w:rsid w:val="00365560"/>
    <w:rsid w:val="00365701"/>
    <w:rsid w:val="0036573A"/>
    <w:rsid w:val="00365C66"/>
    <w:rsid w:val="00365E23"/>
    <w:rsid w:val="0036635B"/>
    <w:rsid w:val="0036668C"/>
    <w:rsid w:val="003668D2"/>
    <w:rsid w:val="003669A6"/>
    <w:rsid w:val="00366BFF"/>
    <w:rsid w:val="0036747E"/>
    <w:rsid w:val="003701AC"/>
    <w:rsid w:val="00370645"/>
    <w:rsid w:val="003708D0"/>
    <w:rsid w:val="00371090"/>
    <w:rsid w:val="003725BF"/>
    <w:rsid w:val="00372773"/>
    <w:rsid w:val="0037281D"/>
    <w:rsid w:val="003728D7"/>
    <w:rsid w:val="00372FB3"/>
    <w:rsid w:val="0037312C"/>
    <w:rsid w:val="003731C3"/>
    <w:rsid w:val="00373F94"/>
    <w:rsid w:val="00374200"/>
    <w:rsid w:val="003742E9"/>
    <w:rsid w:val="00374549"/>
    <w:rsid w:val="00374761"/>
    <w:rsid w:val="0037484D"/>
    <w:rsid w:val="00374C13"/>
    <w:rsid w:val="00374DC9"/>
    <w:rsid w:val="0037517D"/>
    <w:rsid w:val="00375406"/>
    <w:rsid w:val="003756A8"/>
    <w:rsid w:val="00375DF8"/>
    <w:rsid w:val="0037647F"/>
    <w:rsid w:val="00376B6A"/>
    <w:rsid w:val="00376F70"/>
    <w:rsid w:val="0037705C"/>
    <w:rsid w:val="0037727F"/>
    <w:rsid w:val="003777E2"/>
    <w:rsid w:val="00377A00"/>
    <w:rsid w:val="00377E05"/>
    <w:rsid w:val="0038054D"/>
    <w:rsid w:val="00380FD2"/>
    <w:rsid w:val="003810E3"/>
    <w:rsid w:val="00381260"/>
    <w:rsid w:val="00381E70"/>
    <w:rsid w:val="00381F15"/>
    <w:rsid w:val="00381FA2"/>
    <w:rsid w:val="00381FB9"/>
    <w:rsid w:val="003821E7"/>
    <w:rsid w:val="00382326"/>
    <w:rsid w:val="0038258C"/>
    <w:rsid w:val="00382636"/>
    <w:rsid w:val="00382F70"/>
    <w:rsid w:val="00382F73"/>
    <w:rsid w:val="003831BC"/>
    <w:rsid w:val="003832AD"/>
    <w:rsid w:val="00383718"/>
    <w:rsid w:val="003837CD"/>
    <w:rsid w:val="00383846"/>
    <w:rsid w:val="00383BA8"/>
    <w:rsid w:val="0038417A"/>
    <w:rsid w:val="0038461D"/>
    <w:rsid w:val="0038480A"/>
    <w:rsid w:val="00384AB5"/>
    <w:rsid w:val="00384BC3"/>
    <w:rsid w:val="00384C92"/>
    <w:rsid w:val="00384D9B"/>
    <w:rsid w:val="00384DD8"/>
    <w:rsid w:val="00384F61"/>
    <w:rsid w:val="003852C5"/>
    <w:rsid w:val="0038555F"/>
    <w:rsid w:val="0038567B"/>
    <w:rsid w:val="00385912"/>
    <w:rsid w:val="00385979"/>
    <w:rsid w:val="00385A4E"/>
    <w:rsid w:val="00385D3D"/>
    <w:rsid w:val="003861D5"/>
    <w:rsid w:val="00386D50"/>
    <w:rsid w:val="003876EA"/>
    <w:rsid w:val="00387EAE"/>
    <w:rsid w:val="00387EC3"/>
    <w:rsid w:val="003900E9"/>
    <w:rsid w:val="0039048C"/>
    <w:rsid w:val="00390685"/>
    <w:rsid w:val="00390736"/>
    <w:rsid w:val="00390D13"/>
    <w:rsid w:val="00390D22"/>
    <w:rsid w:val="0039114E"/>
    <w:rsid w:val="00391591"/>
    <w:rsid w:val="00391716"/>
    <w:rsid w:val="0039191D"/>
    <w:rsid w:val="00391ABF"/>
    <w:rsid w:val="00391E30"/>
    <w:rsid w:val="00391E36"/>
    <w:rsid w:val="00392145"/>
    <w:rsid w:val="003922C1"/>
    <w:rsid w:val="003924E4"/>
    <w:rsid w:val="0039291E"/>
    <w:rsid w:val="00392B07"/>
    <w:rsid w:val="003936DF"/>
    <w:rsid w:val="00393895"/>
    <w:rsid w:val="003939CA"/>
    <w:rsid w:val="00393CE6"/>
    <w:rsid w:val="00393EDF"/>
    <w:rsid w:val="00394211"/>
    <w:rsid w:val="0039438A"/>
    <w:rsid w:val="00394791"/>
    <w:rsid w:val="003947BF"/>
    <w:rsid w:val="00394BB3"/>
    <w:rsid w:val="00394D2B"/>
    <w:rsid w:val="00395020"/>
    <w:rsid w:val="00395229"/>
    <w:rsid w:val="00395286"/>
    <w:rsid w:val="0039554C"/>
    <w:rsid w:val="00395EDC"/>
    <w:rsid w:val="00395F99"/>
    <w:rsid w:val="00396437"/>
    <w:rsid w:val="0039687E"/>
    <w:rsid w:val="00396A34"/>
    <w:rsid w:val="00396DC3"/>
    <w:rsid w:val="0039769A"/>
    <w:rsid w:val="00397DE5"/>
    <w:rsid w:val="003A0277"/>
    <w:rsid w:val="003A0316"/>
    <w:rsid w:val="003A063D"/>
    <w:rsid w:val="003A090B"/>
    <w:rsid w:val="003A094A"/>
    <w:rsid w:val="003A12D7"/>
    <w:rsid w:val="003A13DE"/>
    <w:rsid w:val="003A17C3"/>
    <w:rsid w:val="003A21F8"/>
    <w:rsid w:val="003A284B"/>
    <w:rsid w:val="003A2A56"/>
    <w:rsid w:val="003A2D67"/>
    <w:rsid w:val="003A36CE"/>
    <w:rsid w:val="003A4362"/>
    <w:rsid w:val="003A46E9"/>
    <w:rsid w:val="003A472D"/>
    <w:rsid w:val="003A4883"/>
    <w:rsid w:val="003A4A86"/>
    <w:rsid w:val="003A4C36"/>
    <w:rsid w:val="003A4FFA"/>
    <w:rsid w:val="003A510B"/>
    <w:rsid w:val="003A5438"/>
    <w:rsid w:val="003A54F3"/>
    <w:rsid w:val="003A550E"/>
    <w:rsid w:val="003A5967"/>
    <w:rsid w:val="003A5C62"/>
    <w:rsid w:val="003A5D4F"/>
    <w:rsid w:val="003A6191"/>
    <w:rsid w:val="003A684C"/>
    <w:rsid w:val="003A6A5D"/>
    <w:rsid w:val="003A6EBC"/>
    <w:rsid w:val="003A77A6"/>
    <w:rsid w:val="003A7D3E"/>
    <w:rsid w:val="003A7DBA"/>
    <w:rsid w:val="003B01FF"/>
    <w:rsid w:val="003B0B3A"/>
    <w:rsid w:val="003B0DB6"/>
    <w:rsid w:val="003B0E84"/>
    <w:rsid w:val="003B0FA7"/>
    <w:rsid w:val="003B10A8"/>
    <w:rsid w:val="003B1636"/>
    <w:rsid w:val="003B197A"/>
    <w:rsid w:val="003B2537"/>
    <w:rsid w:val="003B2CAD"/>
    <w:rsid w:val="003B3072"/>
    <w:rsid w:val="003B310A"/>
    <w:rsid w:val="003B3320"/>
    <w:rsid w:val="003B33B7"/>
    <w:rsid w:val="003B3441"/>
    <w:rsid w:val="003B41FC"/>
    <w:rsid w:val="003B45C0"/>
    <w:rsid w:val="003B4634"/>
    <w:rsid w:val="003B4B2A"/>
    <w:rsid w:val="003B4DB9"/>
    <w:rsid w:val="003B4F05"/>
    <w:rsid w:val="003B61EE"/>
    <w:rsid w:val="003B631E"/>
    <w:rsid w:val="003B664A"/>
    <w:rsid w:val="003B6FEC"/>
    <w:rsid w:val="003B70FD"/>
    <w:rsid w:val="003B769E"/>
    <w:rsid w:val="003B7C0A"/>
    <w:rsid w:val="003C0190"/>
    <w:rsid w:val="003C021F"/>
    <w:rsid w:val="003C048B"/>
    <w:rsid w:val="003C0C33"/>
    <w:rsid w:val="003C0EB4"/>
    <w:rsid w:val="003C0FB8"/>
    <w:rsid w:val="003C105F"/>
    <w:rsid w:val="003C11D6"/>
    <w:rsid w:val="003C162E"/>
    <w:rsid w:val="003C2F67"/>
    <w:rsid w:val="003C30BF"/>
    <w:rsid w:val="003C3307"/>
    <w:rsid w:val="003C33A6"/>
    <w:rsid w:val="003C346F"/>
    <w:rsid w:val="003C37A3"/>
    <w:rsid w:val="003C41A5"/>
    <w:rsid w:val="003C4BBF"/>
    <w:rsid w:val="003C4C2D"/>
    <w:rsid w:val="003C521E"/>
    <w:rsid w:val="003C524B"/>
    <w:rsid w:val="003C54A5"/>
    <w:rsid w:val="003C5606"/>
    <w:rsid w:val="003C590E"/>
    <w:rsid w:val="003C594E"/>
    <w:rsid w:val="003C5985"/>
    <w:rsid w:val="003C5E63"/>
    <w:rsid w:val="003C6565"/>
    <w:rsid w:val="003C6B85"/>
    <w:rsid w:val="003C7091"/>
    <w:rsid w:val="003C78AC"/>
    <w:rsid w:val="003C7E88"/>
    <w:rsid w:val="003D04CC"/>
    <w:rsid w:val="003D04D6"/>
    <w:rsid w:val="003D0AB5"/>
    <w:rsid w:val="003D0BAF"/>
    <w:rsid w:val="003D0C96"/>
    <w:rsid w:val="003D0D3C"/>
    <w:rsid w:val="003D1C3F"/>
    <w:rsid w:val="003D1E1C"/>
    <w:rsid w:val="003D1F75"/>
    <w:rsid w:val="003D1FF9"/>
    <w:rsid w:val="003D2743"/>
    <w:rsid w:val="003D28ED"/>
    <w:rsid w:val="003D2999"/>
    <w:rsid w:val="003D2A68"/>
    <w:rsid w:val="003D2DC7"/>
    <w:rsid w:val="003D3EC6"/>
    <w:rsid w:val="003D42CE"/>
    <w:rsid w:val="003D4660"/>
    <w:rsid w:val="003D4A8D"/>
    <w:rsid w:val="003D4ABD"/>
    <w:rsid w:val="003D583D"/>
    <w:rsid w:val="003D58FC"/>
    <w:rsid w:val="003D5A9B"/>
    <w:rsid w:val="003D5AB0"/>
    <w:rsid w:val="003D5D51"/>
    <w:rsid w:val="003D5F07"/>
    <w:rsid w:val="003D6860"/>
    <w:rsid w:val="003D6A24"/>
    <w:rsid w:val="003D6A9A"/>
    <w:rsid w:val="003D6AE2"/>
    <w:rsid w:val="003D6E8E"/>
    <w:rsid w:val="003D7508"/>
    <w:rsid w:val="003D771E"/>
    <w:rsid w:val="003D7742"/>
    <w:rsid w:val="003D77AF"/>
    <w:rsid w:val="003D7AFE"/>
    <w:rsid w:val="003E020B"/>
    <w:rsid w:val="003E039A"/>
    <w:rsid w:val="003E0406"/>
    <w:rsid w:val="003E0471"/>
    <w:rsid w:val="003E0DBA"/>
    <w:rsid w:val="003E10F4"/>
    <w:rsid w:val="003E126E"/>
    <w:rsid w:val="003E151E"/>
    <w:rsid w:val="003E1535"/>
    <w:rsid w:val="003E1C08"/>
    <w:rsid w:val="003E1C42"/>
    <w:rsid w:val="003E2025"/>
    <w:rsid w:val="003E2428"/>
    <w:rsid w:val="003E263D"/>
    <w:rsid w:val="003E28F4"/>
    <w:rsid w:val="003E2B36"/>
    <w:rsid w:val="003E2D0C"/>
    <w:rsid w:val="003E31BE"/>
    <w:rsid w:val="003E35CF"/>
    <w:rsid w:val="003E3B0F"/>
    <w:rsid w:val="003E3CBD"/>
    <w:rsid w:val="003E3E94"/>
    <w:rsid w:val="003E3E9A"/>
    <w:rsid w:val="003E4222"/>
    <w:rsid w:val="003E4721"/>
    <w:rsid w:val="003E5158"/>
    <w:rsid w:val="003E5405"/>
    <w:rsid w:val="003E6423"/>
    <w:rsid w:val="003E6513"/>
    <w:rsid w:val="003E6F40"/>
    <w:rsid w:val="003E710B"/>
    <w:rsid w:val="003E7A91"/>
    <w:rsid w:val="003E7B17"/>
    <w:rsid w:val="003E7B8C"/>
    <w:rsid w:val="003E7FB2"/>
    <w:rsid w:val="003F165A"/>
    <w:rsid w:val="003F1776"/>
    <w:rsid w:val="003F1843"/>
    <w:rsid w:val="003F1A2F"/>
    <w:rsid w:val="003F1B52"/>
    <w:rsid w:val="003F20A4"/>
    <w:rsid w:val="003F20DE"/>
    <w:rsid w:val="003F2154"/>
    <w:rsid w:val="003F2488"/>
    <w:rsid w:val="003F2764"/>
    <w:rsid w:val="003F3325"/>
    <w:rsid w:val="003F340D"/>
    <w:rsid w:val="003F3BAE"/>
    <w:rsid w:val="003F3FAB"/>
    <w:rsid w:val="003F40D1"/>
    <w:rsid w:val="003F4F84"/>
    <w:rsid w:val="003F516E"/>
    <w:rsid w:val="003F5716"/>
    <w:rsid w:val="003F60C2"/>
    <w:rsid w:val="003F698E"/>
    <w:rsid w:val="003F6A6E"/>
    <w:rsid w:val="003F6A94"/>
    <w:rsid w:val="003F73F1"/>
    <w:rsid w:val="003F74D8"/>
    <w:rsid w:val="003F75A5"/>
    <w:rsid w:val="003F76F6"/>
    <w:rsid w:val="003F7758"/>
    <w:rsid w:val="003F7A92"/>
    <w:rsid w:val="003F7B4F"/>
    <w:rsid w:val="00400486"/>
    <w:rsid w:val="004008A0"/>
    <w:rsid w:val="00400E28"/>
    <w:rsid w:val="00401287"/>
    <w:rsid w:val="0040181B"/>
    <w:rsid w:val="00401DE2"/>
    <w:rsid w:val="00401EE3"/>
    <w:rsid w:val="0040218F"/>
    <w:rsid w:val="00402274"/>
    <w:rsid w:val="004028B6"/>
    <w:rsid w:val="00402AD4"/>
    <w:rsid w:val="00402E78"/>
    <w:rsid w:val="004040FE"/>
    <w:rsid w:val="00404212"/>
    <w:rsid w:val="004044C1"/>
    <w:rsid w:val="00404785"/>
    <w:rsid w:val="00404B18"/>
    <w:rsid w:val="00404B4D"/>
    <w:rsid w:val="00404F2A"/>
    <w:rsid w:val="004052AB"/>
    <w:rsid w:val="0040554F"/>
    <w:rsid w:val="00405705"/>
    <w:rsid w:val="00405FB4"/>
    <w:rsid w:val="004062D7"/>
    <w:rsid w:val="004063BD"/>
    <w:rsid w:val="004064E0"/>
    <w:rsid w:val="00406AC5"/>
    <w:rsid w:val="00406B8E"/>
    <w:rsid w:val="00406E5A"/>
    <w:rsid w:val="00406E86"/>
    <w:rsid w:val="004071AA"/>
    <w:rsid w:val="004071E1"/>
    <w:rsid w:val="00407B1E"/>
    <w:rsid w:val="00407B24"/>
    <w:rsid w:val="00410064"/>
    <w:rsid w:val="00410386"/>
    <w:rsid w:val="00410BBB"/>
    <w:rsid w:val="004115F5"/>
    <w:rsid w:val="00411607"/>
    <w:rsid w:val="00411C04"/>
    <w:rsid w:val="00411F9F"/>
    <w:rsid w:val="00412054"/>
    <w:rsid w:val="00412366"/>
    <w:rsid w:val="00412488"/>
    <w:rsid w:val="00412EFF"/>
    <w:rsid w:val="00414424"/>
    <w:rsid w:val="00414470"/>
    <w:rsid w:val="00414636"/>
    <w:rsid w:val="00414936"/>
    <w:rsid w:val="00414D29"/>
    <w:rsid w:val="00414FAD"/>
    <w:rsid w:val="00415284"/>
    <w:rsid w:val="00415552"/>
    <w:rsid w:val="0041562D"/>
    <w:rsid w:val="00415807"/>
    <w:rsid w:val="004165A5"/>
    <w:rsid w:val="00416D3B"/>
    <w:rsid w:val="00416F71"/>
    <w:rsid w:val="00417094"/>
    <w:rsid w:val="004171B0"/>
    <w:rsid w:val="00417431"/>
    <w:rsid w:val="00417B83"/>
    <w:rsid w:val="00420984"/>
    <w:rsid w:val="00420A6E"/>
    <w:rsid w:val="00420BA9"/>
    <w:rsid w:val="004214FD"/>
    <w:rsid w:val="004216A1"/>
    <w:rsid w:val="004216E4"/>
    <w:rsid w:val="00421760"/>
    <w:rsid w:val="0042195B"/>
    <w:rsid w:val="00421A02"/>
    <w:rsid w:val="00421E11"/>
    <w:rsid w:val="00421FC1"/>
    <w:rsid w:val="0042213B"/>
    <w:rsid w:val="00422195"/>
    <w:rsid w:val="004226E7"/>
    <w:rsid w:val="00422C3B"/>
    <w:rsid w:val="00422DF0"/>
    <w:rsid w:val="00423689"/>
    <w:rsid w:val="0042379C"/>
    <w:rsid w:val="004237D9"/>
    <w:rsid w:val="004237DE"/>
    <w:rsid w:val="00423847"/>
    <w:rsid w:val="00423B1B"/>
    <w:rsid w:val="00423C21"/>
    <w:rsid w:val="00423D4D"/>
    <w:rsid w:val="0042443E"/>
    <w:rsid w:val="00424720"/>
    <w:rsid w:val="0042500C"/>
    <w:rsid w:val="004256F0"/>
    <w:rsid w:val="004257F8"/>
    <w:rsid w:val="00425B7D"/>
    <w:rsid w:val="0042695B"/>
    <w:rsid w:val="004271DB"/>
    <w:rsid w:val="004273AC"/>
    <w:rsid w:val="004276C1"/>
    <w:rsid w:val="0042785D"/>
    <w:rsid w:val="00430244"/>
    <w:rsid w:val="00430559"/>
    <w:rsid w:val="0043169B"/>
    <w:rsid w:val="00431ED7"/>
    <w:rsid w:val="00432C13"/>
    <w:rsid w:val="00432EBC"/>
    <w:rsid w:val="00433D7E"/>
    <w:rsid w:val="00434D5D"/>
    <w:rsid w:val="00434FF6"/>
    <w:rsid w:val="00435BF1"/>
    <w:rsid w:val="00436A99"/>
    <w:rsid w:val="00436B43"/>
    <w:rsid w:val="00436BF9"/>
    <w:rsid w:val="00436FF7"/>
    <w:rsid w:val="0043720F"/>
    <w:rsid w:val="004372FF"/>
    <w:rsid w:val="00437592"/>
    <w:rsid w:val="00437B42"/>
    <w:rsid w:val="00437C9C"/>
    <w:rsid w:val="0044008A"/>
    <w:rsid w:val="0044058B"/>
    <w:rsid w:val="004416EF"/>
    <w:rsid w:val="00441C5C"/>
    <w:rsid w:val="00441E22"/>
    <w:rsid w:val="00442016"/>
    <w:rsid w:val="00442327"/>
    <w:rsid w:val="0044288D"/>
    <w:rsid w:val="00442947"/>
    <w:rsid w:val="00442EB8"/>
    <w:rsid w:val="00442EC8"/>
    <w:rsid w:val="0044308C"/>
    <w:rsid w:val="004434AD"/>
    <w:rsid w:val="00443790"/>
    <w:rsid w:val="00443F4D"/>
    <w:rsid w:val="004443BB"/>
    <w:rsid w:val="0044443D"/>
    <w:rsid w:val="004449C4"/>
    <w:rsid w:val="00444B47"/>
    <w:rsid w:val="00444B5E"/>
    <w:rsid w:val="00445260"/>
    <w:rsid w:val="004456B2"/>
    <w:rsid w:val="004458D6"/>
    <w:rsid w:val="00445BC5"/>
    <w:rsid w:val="00446087"/>
    <w:rsid w:val="0044611D"/>
    <w:rsid w:val="00446595"/>
    <w:rsid w:val="0044691D"/>
    <w:rsid w:val="00446D39"/>
    <w:rsid w:val="00446FAD"/>
    <w:rsid w:val="00447064"/>
    <w:rsid w:val="004470CE"/>
    <w:rsid w:val="004476C3"/>
    <w:rsid w:val="0045093D"/>
    <w:rsid w:val="00450AF0"/>
    <w:rsid w:val="00450C2E"/>
    <w:rsid w:val="00450C3E"/>
    <w:rsid w:val="00450C9D"/>
    <w:rsid w:val="00450D05"/>
    <w:rsid w:val="00450E4B"/>
    <w:rsid w:val="00450FB6"/>
    <w:rsid w:val="004510C4"/>
    <w:rsid w:val="004519EA"/>
    <w:rsid w:val="00451A26"/>
    <w:rsid w:val="00451E2F"/>
    <w:rsid w:val="00452755"/>
    <w:rsid w:val="00452A0A"/>
    <w:rsid w:val="00452B48"/>
    <w:rsid w:val="00452EB4"/>
    <w:rsid w:val="00452F46"/>
    <w:rsid w:val="00452FD7"/>
    <w:rsid w:val="00453244"/>
    <w:rsid w:val="00453B5B"/>
    <w:rsid w:val="00453C6F"/>
    <w:rsid w:val="00453E59"/>
    <w:rsid w:val="00454442"/>
    <w:rsid w:val="004544DA"/>
    <w:rsid w:val="004546AB"/>
    <w:rsid w:val="00455127"/>
    <w:rsid w:val="0045548A"/>
    <w:rsid w:val="00455A2B"/>
    <w:rsid w:val="00455C8B"/>
    <w:rsid w:val="00456124"/>
    <w:rsid w:val="00456237"/>
    <w:rsid w:val="0045644C"/>
    <w:rsid w:val="00456738"/>
    <w:rsid w:val="004568C0"/>
    <w:rsid w:val="00456A16"/>
    <w:rsid w:val="00456A88"/>
    <w:rsid w:val="00456CA0"/>
    <w:rsid w:val="00456E1F"/>
    <w:rsid w:val="004572B1"/>
    <w:rsid w:val="0045732D"/>
    <w:rsid w:val="004575DE"/>
    <w:rsid w:val="00460271"/>
    <w:rsid w:val="00460850"/>
    <w:rsid w:val="00460B03"/>
    <w:rsid w:val="00460B37"/>
    <w:rsid w:val="0046177A"/>
    <w:rsid w:val="0046197F"/>
    <w:rsid w:val="00461C30"/>
    <w:rsid w:val="00462113"/>
    <w:rsid w:val="00462917"/>
    <w:rsid w:val="0046305C"/>
    <w:rsid w:val="00463435"/>
    <w:rsid w:val="00463536"/>
    <w:rsid w:val="00463731"/>
    <w:rsid w:val="0046403B"/>
    <w:rsid w:val="00464220"/>
    <w:rsid w:val="0046433D"/>
    <w:rsid w:val="00464D6A"/>
    <w:rsid w:val="00464E85"/>
    <w:rsid w:val="0046517B"/>
    <w:rsid w:val="00465293"/>
    <w:rsid w:val="00465C2D"/>
    <w:rsid w:val="00465FDB"/>
    <w:rsid w:val="00466038"/>
    <w:rsid w:val="00466490"/>
    <w:rsid w:val="00466DA6"/>
    <w:rsid w:val="00466E88"/>
    <w:rsid w:val="0046703B"/>
    <w:rsid w:val="004676FF"/>
    <w:rsid w:val="00467B5D"/>
    <w:rsid w:val="00467D56"/>
    <w:rsid w:val="00471044"/>
    <w:rsid w:val="0047110B"/>
    <w:rsid w:val="0047192C"/>
    <w:rsid w:val="00472192"/>
    <w:rsid w:val="00472374"/>
    <w:rsid w:val="00472C8E"/>
    <w:rsid w:val="004730B6"/>
    <w:rsid w:val="0047333D"/>
    <w:rsid w:val="00473624"/>
    <w:rsid w:val="004738EA"/>
    <w:rsid w:val="00473CFC"/>
    <w:rsid w:val="00474031"/>
    <w:rsid w:val="0047429B"/>
    <w:rsid w:val="0047450B"/>
    <w:rsid w:val="00474B33"/>
    <w:rsid w:val="00474C30"/>
    <w:rsid w:val="00474D75"/>
    <w:rsid w:val="00474E89"/>
    <w:rsid w:val="00475139"/>
    <w:rsid w:val="004751CA"/>
    <w:rsid w:val="004756BB"/>
    <w:rsid w:val="00475935"/>
    <w:rsid w:val="00475C66"/>
    <w:rsid w:val="0047667D"/>
    <w:rsid w:val="004772AB"/>
    <w:rsid w:val="0047739F"/>
    <w:rsid w:val="00477E57"/>
    <w:rsid w:val="00480223"/>
    <w:rsid w:val="00480867"/>
    <w:rsid w:val="00481620"/>
    <w:rsid w:val="00481794"/>
    <w:rsid w:val="00481BA3"/>
    <w:rsid w:val="004822A7"/>
    <w:rsid w:val="0048239B"/>
    <w:rsid w:val="00482834"/>
    <w:rsid w:val="004836ED"/>
    <w:rsid w:val="0048374D"/>
    <w:rsid w:val="00483758"/>
    <w:rsid w:val="004838CA"/>
    <w:rsid w:val="004838E4"/>
    <w:rsid w:val="0048432C"/>
    <w:rsid w:val="004843F9"/>
    <w:rsid w:val="00484611"/>
    <w:rsid w:val="00485272"/>
    <w:rsid w:val="00485F83"/>
    <w:rsid w:val="004860B6"/>
    <w:rsid w:val="00486140"/>
    <w:rsid w:val="0048716A"/>
    <w:rsid w:val="00487501"/>
    <w:rsid w:val="0048770D"/>
    <w:rsid w:val="004877B8"/>
    <w:rsid w:val="00487C22"/>
    <w:rsid w:val="00487D34"/>
    <w:rsid w:val="004900D9"/>
    <w:rsid w:val="00490414"/>
    <w:rsid w:val="0049043B"/>
    <w:rsid w:val="00490A07"/>
    <w:rsid w:val="004910DF"/>
    <w:rsid w:val="00491B2C"/>
    <w:rsid w:val="00491C77"/>
    <w:rsid w:val="00491E7A"/>
    <w:rsid w:val="00492045"/>
    <w:rsid w:val="0049239F"/>
    <w:rsid w:val="00492F01"/>
    <w:rsid w:val="00493172"/>
    <w:rsid w:val="004931F9"/>
    <w:rsid w:val="00493283"/>
    <w:rsid w:val="004936CE"/>
    <w:rsid w:val="00494449"/>
    <w:rsid w:val="00495181"/>
    <w:rsid w:val="0049558A"/>
    <w:rsid w:val="004957E0"/>
    <w:rsid w:val="00495834"/>
    <w:rsid w:val="00495B68"/>
    <w:rsid w:val="00495E00"/>
    <w:rsid w:val="004960DF"/>
    <w:rsid w:val="00496263"/>
    <w:rsid w:val="0049685F"/>
    <w:rsid w:val="004970D0"/>
    <w:rsid w:val="004974A2"/>
    <w:rsid w:val="00497CC5"/>
    <w:rsid w:val="00497DC0"/>
    <w:rsid w:val="00497E65"/>
    <w:rsid w:val="004A0847"/>
    <w:rsid w:val="004A0AEE"/>
    <w:rsid w:val="004A0B68"/>
    <w:rsid w:val="004A0D0A"/>
    <w:rsid w:val="004A119C"/>
    <w:rsid w:val="004A1263"/>
    <w:rsid w:val="004A12BA"/>
    <w:rsid w:val="004A19A1"/>
    <w:rsid w:val="004A2129"/>
    <w:rsid w:val="004A2327"/>
    <w:rsid w:val="004A23DA"/>
    <w:rsid w:val="004A23DE"/>
    <w:rsid w:val="004A26AB"/>
    <w:rsid w:val="004A2AA4"/>
    <w:rsid w:val="004A2ADC"/>
    <w:rsid w:val="004A2B24"/>
    <w:rsid w:val="004A2C55"/>
    <w:rsid w:val="004A2CA7"/>
    <w:rsid w:val="004A3249"/>
    <w:rsid w:val="004A37A5"/>
    <w:rsid w:val="004A3C0E"/>
    <w:rsid w:val="004A3E7A"/>
    <w:rsid w:val="004A4151"/>
    <w:rsid w:val="004A4490"/>
    <w:rsid w:val="004A48E2"/>
    <w:rsid w:val="004A4A91"/>
    <w:rsid w:val="004A4F19"/>
    <w:rsid w:val="004A4F80"/>
    <w:rsid w:val="004A522D"/>
    <w:rsid w:val="004A5E7D"/>
    <w:rsid w:val="004A63A3"/>
    <w:rsid w:val="004A65C5"/>
    <w:rsid w:val="004A66BC"/>
    <w:rsid w:val="004A6BFE"/>
    <w:rsid w:val="004A7556"/>
    <w:rsid w:val="004B059F"/>
    <w:rsid w:val="004B0E6E"/>
    <w:rsid w:val="004B1019"/>
    <w:rsid w:val="004B1282"/>
    <w:rsid w:val="004B1566"/>
    <w:rsid w:val="004B1638"/>
    <w:rsid w:val="004B19D0"/>
    <w:rsid w:val="004B1ECA"/>
    <w:rsid w:val="004B1F23"/>
    <w:rsid w:val="004B2396"/>
    <w:rsid w:val="004B24CB"/>
    <w:rsid w:val="004B35F0"/>
    <w:rsid w:val="004B3729"/>
    <w:rsid w:val="004B3C43"/>
    <w:rsid w:val="004B3D3A"/>
    <w:rsid w:val="004B3F31"/>
    <w:rsid w:val="004B42EB"/>
    <w:rsid w:val="004B4380"/>
    <w:rsid w:val="004B44CB"/>
    <w:rsid w:val="004B45D5"/>
    <w:rsid w:val="004B4ABF"/>
    <w:rsid w:val="004B4BD8"/>
    <w:rsid w:val="004B4C91"/>
    <w:rsid w:val="004B4CF8"/>
    <w:rsid w:val="004B4E46"/>
    <w:rsid w:val="004B591D"/>
    <w:rsid w:val="004B6EF5"/>
    <w:rsid w:val="004B7280"/>
    <w:rsid w:val="004B7FBD"/>
    <w:rsid w:val="004C04D9"/>
    <w:rsid w:val="004C05AD"/>
    <w:rsid w:val="004C0850"/>
    <w:rsid w:val="004C0857"/>
    <w:rsid w:val="004C09F5"/>
    <w:rsid w:val="004C147B"/>
    <w:rsid w:val="004C19DB"/>
    <w:rsid w:val="004C1AB2"/>
    <w:rsid w:val="004C1F0F"/>
    <w:rsid w:val="004C1F63"/>
    <w:rsid w:val="004C23FD"/>
    <w:rsid w:val="004C3385"/>
    <w:rsid w:val="004C3C22"/>
    <w:rsid w:val="004C3C92"/>
    <w:rsid w:val="004C43DB"/>
    <w:rsid w:val="004C469A"/>
    <w:rsid w:val="004C47F9"/>
    <w:rsid w:val="004C4CF6"/>
    <w:rsid w:val="004C5C3B"/>
    <w:rsid w:val="004C5C6B"/>
    <w:rsid w:val="004C5DDD"/>
    <w:rsid w:val="004C6114"/>
    <w:rsid w:val="004C6307"/>
    <w:rsid w:val="004C6949"/>
    <w:rsid w:val="004C6983"/>
    <w:rsid w:val="004C69CF"/>
    <w:rsid w:val="004C69D4"/>
    <w:rsid w:val="004C6FF3"/>
    <w:rsid w:val="004C726D"/>
    <w:rsid w:val="004C7495"/>
    <w:rsid w:val="004D0024"/>
    <w:rsid w:val="004D0614"/>
    <w:rsid w:val="004D104F"/>
    <w:rsid w:val="004D13B9"/>
    <w:rsid w:val="004D16F6"/>
    <w:rsid w:val="004D1B47"/>
    <w:rsid w:val="004D1BE3"/>
    <w:rsid w:val="004D1F83"/>
    <w:rsid w:val="004D2158"/>
    <w:rsid w:val="004D21A7"/>
    <w:rsid w:val="004D255A"/>
    <w:rsid w:val="004D261C"/>
    <w:rsid w:val="004D26DB"/>
    <w:rsid w:val="004D3381"/>
    <w:rsid w:val="004D36FF"/>
    <w:rsid w:val="004D3FD8"/>
    <w:rsid w:val="004D40C2"/>
    <w:rsid w:val="004D40E1"/>
    <w:rsid w:val="004D4540"/>
    <w:rsid w:val="004D52DC"/>
    <w:rsid w:val="004D584B"/>
    <w:rsid w:val="004D59C6"/>
    <w:rsid w:val="004D5AE9"/>
    <w:rsid w:val="004D5C91"/>
    <w:rsid w:val="004D5F68"/>
    <w:rsid w:val="004D601D"/>
    <w:rsid w:val="004D61ED"/>
    <w:rsid w:val="004D6533"/>
    <w:rsid w:val="004D67E4"/>
    <w:rsid w:val="004D691E"/>
    <w:rsid w:val="004D6B48"/>
    <w:rsid w:val="004D6C5B"/>
    <w:rsid w:val="004D75A0"/>
    <w:rsid w:val="004D7871"/>
    <w:rsid w:val="004D7ABB"/>
    <w:rsid w:val="004D7FF8"/>
    <w:rsid w:val="004E000C"/>
    <w:rsid w:val="004E00E8"/>
    <w:rsid w:val="004E0EB8"/>
    <w:rsid w:val="004E1821"/>
    <w:rsid w:val="004E1FDB"/>
    <w:rsid w:val="004E2195"/>
    <w:rsid w:val="004E2446"/>
    <w:rsid w:val="004E24BB"/>
    <w:rsid w:val="004E2B62"/>
    <w:rsid w:val="004E2D89"/>
    <w:rsid w:val="004E2E92"/>
    <w:rsid w:val="004E30D1"/>
    <w:rsid w:val="004E32ED"/>
    <w:rsid w:val="004E32FD"/>
    <w:rsid w:val="004E3677"/>
    <w:rsid w:val="004E3810"/>
    <w:rsid w:val="004E3823"/>
    <w:rsid w:val="004E3838"/>
    <w:rsid w:val="004E3D10"/>
    <w:rsid w:val="004E4013"/>
    <w:rsid w:val="004E41AF"/>
    <w:rsid w:val="004E47B0"/>
    <w:rsid w:val="004E49A5"/>
    <w:rsid w:val="004E4B1E"/>
    <w:rsid w:val="004E4C1B"/>
    <w:rsid w:val="004E4E17"/>
    <w:rsid w:val="004E502E"/>
    <w:rsid w:val="004E56B0"/>
    <w:rsid w:val="004E5991"/>
    <w:rsid w:val="004E5C32"/>
    <w:rsid w:val="004E5ECA"/>
    <w:rsid w:val="004E6D38"/>
    <w:rsid w:val="004E6DA5"/>
    <w:rsid w:val="004E71FB"/>
    <w:rsid w:val="004E742A"/>
    <w:rsid w:val="004E75AC"/>
    <w:rsid w:val="004E789C"/>
    <w:rsid w:val="004E7A65"/>
    <w:rsid w:val="004E7AEF"/>
    <w:rsid w:val="004E7F14"/>
    <w:rsid w:val="004F0486"/>
    <w:rsid w:val="004F0563"/>
    <w:rsid w:val="004F069C"/>
    <w:rsid w:val="004F0A14"/>
    <w:rsid w:val="004F0C1C"/>
    <w:rsid w:val="004F10AF"/>
    <w:rsid w:val="004F1142"/>
    <w:rsid w:val="004F260D"/>
    <w:rsid w:val="004F2989"/>
    <w:rsid w:val="004F30C8"/>
    <w:rsid w:val="004F3164"/>
    <w:rsid w:val="004F32DA"/>
    <w:rsid w:val="004F3359"/>
    <w:rsid w:val="004F38F7"/>
    <w:rsid w:val="004F3DC4"/>
    <w:rsid w:val="004F405D"/>
    <w:rsid w:val="004F42CB"/>
    <w:rsid w:val="004F4600"/>
    <w:rsid w:val="004F4855"/>
    <w:rsid w:val="004F4A04"/>
    <w:rsid w:val="004F4C1D"/>
    <w:rsid w:val="004F4F6D"/>
    <w:rsid w:val="004F4F84"/>
    <w:rsid w:val="004F50BF"/>
    <w:rsid w:val="004F550A"/>
    <w:rsid w:val="004F596C"/>
    <w:rsid w:val="004F5BD1"/>
    <w:rsid w:val="004F60FB"/>
    <w:rsid w:val="004F63E6"/>
    <w:rsid w:val="004F6AAD"/>
    <w:rsid w:val="004F6C98"/>
    <w:rsid w:val="004F77D4"/>
    <w:rsid w:val="004F784C"/>
    <w:rsid w:val="004F78D8"/>
    <w:rsid w:val="004F7901"/>
    <w:rsid w:val="00500220"/>
    <w:rsid w:val="0050036A"/>
    <w:rsid w:val="00500789"/>
    <w:rsid w:val="00500BCF"/>
    <w:rsid w:val="0050170E"/>
    <w:rsid w:val="00501A4C"/>
    <w:rsid w:val="00501FDE"/>
    <w:rsid w:val="005028D9"/>
    <w:rsid w:val="00502B2A"/>
    <w:rsid w:val="005030F5"/>
    <w:rsid w:val="00503394"/>
    <w:rsid w:val="00503A6E"/>
    <w:rsid w:val="00503CDD"/>
    <w:rsid w:val="00503D57"/>
    <w:rsid w:val="00503DB3"/>
    <w:rsid w:val="00503FD2"/>
    <w:rsid w:val="005047DA"/>
    <w:rsid w:val="00504A6D"/>
    <w:rsid w:val="00504CFC"/>
    <w:rsid w:val="005052E6"/>
    <w:rsid w:val="00505735"/>
    <w:rsid w:val="00505979"/>
    <w:rsid w:val="00505E15"/>
    <w:rsid w:val="00506131"/>
    <w:rsid w:val="005067BD"/>
    <w:rsid w:val="00506B18"/>
    <w:rsid w:val="00507BE6"/>
    <w:rsid w:val="00507DFB"/>
    <w:rsid w:val="00511241"/>
    <w:rsid w:val="00511826"/>
    <w:rsid w:val="00512072"/>
    <w:rsid w:val="0051209F"/>
    <w:rsid w:val="005122D4"/>
    <w:rsid w:val="00512685"/>
    <w:rsid w:val="005129E1"/>
    <w:rsid w:val="00512EFF"/>
    <w:rsid w:val="00513872"/>
    <w:rsid w:val="005138D2"/>
    <w:rsid w:val="005142BD"/>
    <w:rsid w:val="005153DF"/>
    <w:rsid w:val="00515426"/>
    <w:rsid w:val="00515452"/>
    <w:rsid w:val="00515893"/>
    <w:rsid w:val="0051589A"/>
    <w:rsid w:val="00515AEA"/>
    <w:rsid w:val="00515E02"/>
    <w:rsid w:val="00515E0D"/>
    <w:rsid w:val="0051607A"/>
    <w:rsid w:val="0051617A"/>
    <w:rsid w:val="00516AC0"/>
    <w:rsid w:val="00517010"/>
    <w:rsid w:val="00517DC4"/>
    <w:rsid w:val="00517E80"/>
    <w:rsid w:val="005201CD"/>
    <w:rsid w:val="005202C6"/>
    <w:rsid w:val="0052094C"/>
    <w:rsid w:val="00520E13"/>
    <w:rsid w:val="00521302"/>
    <w:rsid w:val="005213BD"/>
    <w:rsid w:val="005215E0"/>
    <w:rsid w:val="00521DDA"/>
    <w:rsid w:val="00522095"/>
    <w:rsid w:val="0052254F"/>
    <w:rsid w:val="005225C4"/>
    <w:rsid w:val="00522B46"/>
    <w:rsid w:val="005230E3"/>
    <w:rsid w:val="005238D9"/>
    <w:rsid w:val="00523956"/>
    <w:rsid w:val="0052419D"/>
    <w:rsid w:val="005246E2"/>
    <w:rsid w:val="00524BC1"/>
    <w:rsid w:val="00524C31"/>
    <w:rsid w:val="00524C4E"/>
    <w:rsid w:val="00524C5F"/>
    <w:rsid w:val="00524EE7"/>
    <w:rsid w:val="00525A58"/>
    <w:rsid w:val="00525ABA"/>
    <w:rsid w:val="00526D0E"/>
    <w:rsid w:val="0052795F"/>
    <w:rsid w:val="00527DBD"/>
    <w:rsid w:val="00527F62"/>
    <w:rsid w:val="00530219"/>
    <w:rsid w:val="0053033B"/>
    <w:rsid w:val="005303FF"/>
    <w:rsid w:val="00531053"/>
    <w:rsid w:val="00531481"/>
    <w:rsid w:val="00531C1D"/>
    <w:rsid w:val="0053208E"/>
    <w:rsid w:val="00532349"/>
    <w:rsid w:val="005325AA"/>
    <w:rsid w:val="00532A7B"/>
    <w:rsid w:val="00532A9E"/>
    <w:rsid w:val="00532E48"/>
    <w:rsid w:val="005330CC"/>
    <w:rsid w:val="005336A8"/>
    <w:rsid w:val="0053393A"/>
    <w:rsid w:val="00533BF8"/>
    <w:rsid w:val="00533EA7"/>
    <w:rsid w:val="00534261"/>
    <w:rsid w:val="00534404"/>
    <w:rsid w:val="0053528F"/>
    <w:rsid w:val="00535656"/>
    <w:rsid w:val="00535F02"/>
    <w:rsid w:val="00535FF6"/>
    <w:rsid w:val="00536315"/>
    <w:rsid w:val="00536362"/>
    <w:rsid w:val="00536B42"/>
    <w:rsid w:val="0053770E"/>
    <w:rsid w:val="00537775"/>
    <w:rsid w:val="005377EA"/>
    <w:rsid w:val="00537BA9"/>
    <w:rsid w:val="00540476"/>
    <w:rsid w:val="005404FE"/>
    <w:rsid w:val="00540BCA"/>
    <w:rsid w:val="00540FDE"/>
    <w:rsid w:val="00541245"/>
    <w:rsid w:val="00541319"/>
    <w:rsid w:val="0054147B"/>
    <w:rsid w:val="0054148A"/>
    <w:rsid w:val="005414DA"/>
    <w:rsid w:val="00541825"/>
    <w:rsid w:val="00541D70"/>
    <w:rsid w:val="00541FC4"/>
    <w:rsid w:val="00542063"/>
    <w:rsid w:val="0054213F"/>
    <w:rsid w:val="005421E8"/>
    <w:rsid w:val="00542449"/>
    <w:rsid w:val="005428A2"/>
    <w:rsid w:val="005428D1"/>
    <w:rsid w:val="00542B7D"/>
    <w:rsid w:val="00542CF6"/>
    <w:rsid w:val="00542F75"/>
    <w:rsid w:val="0054344F"/>
    <w:rsid w:val="00543607"/>
    <w:rsid w:val="00543700"/>
    <w:rsid w:val="00544713"/>
    <w:rsid w:val="00544A5D"/>
    <w:rsid w:val="0054505B"/>
    <w:rsid w:val="005455C1"/>
    <w:rsid w:val="0054583D"/>
    <w:rsid w:val="0054585F"/>
    <w:rsid w:val="005459A5"/>
    <w:rsid w:val="00545F29"/>
    <w:rsid w:val="0054606F"/>
    <w:rsid w:val="0054615F"/>
    <w:rsid w:val="00546427"/>
    <w:rsid w:val="0054674E"/>
    <w:rsid w:val="00546851"/>
    <w:rsid w:val="0054750A"/>
    <w:rsid w:val="00547893"/>
    <w:rsid w:val="00547A70"/>
    <w:rsid w:val="00547A8E"/>
    <w:rsid w:val="00547E52"/>
    <w:rsid w:val="00550191"/>
    <w:rsid w:val="00550495"/>
    <w:rsid w:val="005507F2"/>
    <w:rsid w:val="00550B4C"/>
    <w:rsid w:val="00550D5E"/>
    <w:rsid w:val="00550FDD"/>
    <w:rsid w:val="00551695"/>
    <w:rsid w:val="00551D55"/>
    <w:rsid w:val="00551D5C"/>
    <w:rsid w:val="00551DF8"/>
    <w:rsid w:val="00551F5A"/>
    <w:rsid w:val="00551FC6"/>
    <w:rsid w:val="00552077"/>
    <w:rsid w:val="0055233C"/>
    <w:rsid w:val="00552374"/>
    <w:rsid w:val="005524DF"/>
    <w:rsid w:val="00552516"/>
    <w:rsid w:val="00552ABE"/>
    <w:rsid w:val="00552D04"/>
    <w:rsid w:val="0055339A"/>
    <w:rsid w:val="0055354A"/>
    <w:rsid w:val="005537A5"/>
    <w:rsid w:val="005538DB"/>
    <w:rsid w:val="00553949"/>
    <w:rsid w:val="00553AF5"/>
    <w:rsid w:val="00553B1D"/>
    <w:rsid w:val="00553E68"/>
    <w:rsid w:val="0055406E"/>
    <w:rsid w:val="00554240"/>
    <w:rsid w:val="00554A8C"/>
    <w:rsid w:val="0055619C"/>
    <w:rsid w:val="00556469"/>
    <w:rsid w:val="00556565"/>
    <w:rsid w:val="00557CAA"/>
    <w:rsid w:val="00557DC6"/>
    <w:rsid w:val="005602B5"/>
    <w:rsid w:val="005602EE"/>
    <w:rsid w:val="005607B6"/>
    <w:rsid w:val="005607C5"/>
    <w:rsid w:val="00560CD6"/>
    <w:rsid w:val="005610B6"/>
    <w:rsid w:val="0056124D"/>
    <w:rsid w:val="00561AC7"/>
    <w:rsid w:val="00561B63"/>
    <w:rsid w:val="005620D3"/>
    <w:rsid w:val="005621D4"/>
    <w:rsid w:val="005623D7"/>
    <w:rsid w:val="005627B1"/>
    <w:rsid w:val="00562862"/>
    <w:rsid w:val="00562922"/>
    <w:rsid w:val="005629E7"/>
    <w:rsid w:val="00562A24"/>
    <w:rsid w:val="00562C7E"/>
    <w:rsid w:val="00562FD5"/>
    <w:rsid w:val="00563059"/>
    <w:rsid w:val="005631AA"/>
    <w:rsid w:val="00563685"/>
    <w:rsid w:val="005636C8"/>
    <w:rsid w:val="00563752"/>
    <w:rsid w:val="00563B99"/>
    <w:rsid w:val="00563EE6"/>
    <w:rsid w:val="00564199"/>
    <w:rsid w:val="005641EF"/>
    <w:rsid w:val="005642A8"/>
    <w:rsid w:val="005642B4"/>
    <w:rsid w:val="00564918"/>
    <w:rsid w:val="00564FFD"/>
    <w:rsid w:val="005653EE"/>
    <w:rsid w:val="0056555C"/>
    <w:rsid w:val="00565A76"/>
    <w:rsid w:val="00566008"/>
    <w:rsid w:val="0056637D"/>
    <w:rsid w:val="00566518"/>
    <w:rsid w:val="00566AF5"/>
    <w:rsid w:val="00566B1D"/>
    <w:rsid w:val="005670E7"/>
    <w:rsid w:val="005671F2"/>
    <w:rsid w:val="005673A2"/>
    <w:rsid w:val="0056780E"/>
    <w:rsid w:val="00567B0D"/>
    <w:rsid w:val="00570BD8"/>
    <w:rsid w:val="00571100"/>
    <w:rsid w:val="00571AE6"/>
    <w:rsid w:val="00571E22"/>
    <w:rsid w:val="00571FBA"/>
    <w:rsid w:val="005720BF"/>
    <w:rsid w:val="00572729"/>
    <w:rsid w:val="0057323E"/>
    <w:rsid w:val="00573521"/>
    <w:rsid w:val="0057385B"/>
    <w:rsid w:val="00573C5F"/>
    <w:rsid w:val="00573E58"/>
    <w:rsid w:val="0057428B"/>
    <w:rsid w:val="00574629"/>
    <w:rsid w:val="005748E7"/>
    <w:rsid w:val="0057514C"/>
    <w:rsid w:val="00575646"/>
    <w:rsid w:val="005757AF"/>
    <w:rsid w:val="0057630C"/>
    <w:rsid w:val="005769A0"/>
    <w:rsid w:val="0057704B"/>
    <w:rsid w:val="0057732F"/>
    <w:rsid w:val="0057734E"/>
    <w:rsid w:val="0057744D"/>
    <w:rsid w:val="005778ED"/>
    <w:rsid w:val="005809B6"/>
    <w:rsid w:val="00580B70"/>
    <w:rsid w:val="00581B40"/>
    <w:rsid w:val="00581D3A"/>
    <w:rsid w:val="00581E9D"/>
    <w:rsid w:val="0058205F"/>
    <w:rsid w:val="005820A2"/>
    <w:rsid w:val="0058226A"/>
    <w:rsid w:val="00582418"/>
    <w:rsid w:val="00582C47"/>
    <w:rsid w:val="00582C5C"/>
    <w:rsid w:val="00583050"/>
    <w:rsid w:val="0058316E"/>
    <w:rsid w:val="00583300"/>
    <w:rsid w:val="005834C8"/>
    <w:rsid w:val="00583522"/>
    <w:rsid w:val="0058454D"/>
    <w:rsid w:val="00584742"/>
    <w:rsid w:val="00584AEF"/>
    <w:rsid w:val="00585364"/>
    <w:rsid w:val="00585A6A"/>
    <w:rsid w:val="00585B64"/>
    <w:rsid w:val="00585C46"/>
    <w:rsid w:val="00585EF3"/>
    <w:rsid w:val="00586078"/>
    <w:rsid w:val="005860FF"/>
    <w:rsid w:val="00586212"/>
    <w:rsid w:val="00586460"/>
    <w:rsid w:val="00586811"/>
    <w:rsid w:val="00586A11"/>
    <w:rsid w:val="00586A14"/>
    <w:rsid w:val="00586E40"/>
    <w:rsid w:val="00587207"/>
    <w:rsid w:val="005874FE"/>
    <w:rsid w:val="0058770B"/>
    <w:rsid w:val="0058771A"/>
    <w:rsid w:val="00587782"/>
    <w:rsid w:val="00587864"/>
    <w:rsid w:val="00587BC4"/>
    <w:rsid w:val="00587BDA"/>
    <w:rsid w:val="0059089C"/>
    <w:rsid w:val="005910FE"/>
    <w:rsid w:val="005911E9"/>
    <w:rsid w:val="005912D3"/>
    <w:rsid w:val="0059135E"/>
    <w:rsid w:val="00591782"/>
    <w:rsid w:val="00591C6D"/>
    <w:rsid w:val="00592401"/>
    <w:rsid w:val="00592768"/>
    <w:rsid w:val="00592F79"/>
    <w:rsid w:val="005932B0"/>
    <w:rsid w:val="005932EE"/>
    <w:rsid w:val="005933A4"/>
    <w:rsid w:val="005936E5"/>
    <w:rsid w:val="005937A3"/>
    <w:rsid w:val="00593B83"/>
    <w:rsid w:val="00593E59"/>
    <w:rsid w:val="00593E9C"/>
    <w:rsid w:val="00593F7B"/>
    <w:rsid w:val="0059421A"/>
    <w:rsid w:val="00595004"/>
    <w:rsid w:val="00595A3A"/>
    <w:rsid w:val="00595C0F"/>
    <w:rsid w:val="00595E52"/>
    <w:rsid w:val="00595EF1"/>
    <w:rsid w:val="00596021"/>
    <w:rsid w:val="005960CB"/>
    <w:rsid w:val="005962BE"/>
    <w:rsid w:val="00596419"/>
    <w:rsid w:val="00596609"/>
    <w:rsid w:val="00596D74"/>
    <w:rsid w:val="005973A7"/>
    <w:rsid w:val="0059787B"/>
    <w:rsid w:val="005978C8"/>
    <w:rsid w:val="00597973"/>
    <w:rsid w:val="005A0617"/>
    <w:rsid w:val="005A06DD"/>
    <w:rsid w:val="005A17CB"/>
    <w:rsid w:val="005A19C2"/>
    <w:rsid w:val="005A22E4"/>
    <w:rsid w:val="005A2B01"/>
    <w:rsid w:val="005A2D39"/>
    <w:rsid w:val="005A2DF6"/>
    <w:rsid w:val="005A30B5"/>
    <w:rsid w:val="005A3306"/>
    <w:rsid w:val="005A3406"/>
    <w:rsid w:val="005A3754"/>
    <w:rsid w:val="005A3CB0"/>
    <w:rsid w:val="005A3CDA"/>
    <w:rsid w:val="005A4184"/>
    <w:rsid w:val="005A4780"/>
    <w:rsid w:val="005A4BCE"/>
    <w:rsid w:val="005A4D7F"/>
    <w:rsid w:val="005A4FBC"/>
    <w:rsid w:val="005A5389"/>
    <w:rsid w:val="005A54A6"/>
    <w:rsid w:val="005A57C4"/>
    <w:rsid w:val="005A5856"/>
    <w:rsid w:val="005A585A"/>
    <w:rsid w:val="005A5AB2"/>
    <w:rsid w:val="005A5CA2"/>
    <w:rsid w:val="005A60EB"/>
    <w:rsid w:val="005A665B"/>
    <w:rsid w:val="005A75B1"/>
    <w:rsid w:val="005B121D"/>
    <w:rsid w:val="005B150C"/>
    <w:rsid w:val="005B170F"/>
    <w:rsid w:val="005B2635"/>
    <w:rsid w:val="005B2E29"/>
    <w:rsid w:val="005B2E57"/>
    <w:rsid w:val="005B338D"/>
    <w:rsid w:val="005B39DF"/>
    <w:rsid w:val="005B3A75"/>
    <w:rsid w:val="005B3B9D"/>
    <w:rsid w:val="005B3F08"/>
    <w:rsid w:val="005B40D8"/>
    <w:rsid w:val="005B41CC"/>
    <w:rsid w:val="005B46E2"/>
    <w:rsid w:val="005B4787"/>
    <w:rsid w:val="005B486F"/>
    <w:rsid w:val="005B49F6"/>
    <w:rsid w:val="005B4A40"/>
    <w:rsid w:val="005B5078"/>
    <w:rsid w:val="005B5389"/>
    <w:rsid w:val="005B567D"/>
    <w:rsid w:val="005B57DD"/>
    <w:rsid w:val="005B593B"/>
    <w:rsid w:val="005B5D50"/>
    <w:rsid w:val="005B6979"/>
    <w:rsid w:val="005B6DEC"/>
    <w:rsid w:val="005B6E88"/>
    <w:rsid w:val="005B7166"/>
    <w:rsid w:val="005B7363"/>
    <w:rsid w:val="005B76CF"/>
    <w:rsid w:val="005B7F43"/>
    <w:rsid w:val="005C033A"/>
    <w:rsid w:val="005C0682"/>
    <w:rsid w:val="005C0A6C"/>
    <w:rsid w:val="005C0E12"/>
    <w:rsid w:val="005C1159"/>
    <w:rsid w:val="005C1430"/>
    <w:rsid w:val="005C254C"/>
    <w:rsid w:val="005C25AC"/>
    <w:rsid w:val="005C2B04"/>
    <w:rsid w:val="005C3076"/>
    <w:rsid w:val="005C3215"/>
    <w:rsid w:val="005C3478"/>
    <w:rsid w:val="005C38AA"/>
    <w:rsid w:val="005C393A"/>
    <w:rsid w:val="005C3C88"/>
    <w:rsid w:val="005C44B9"/>
    <w:rsid w:val="005C4632"/>
    <w:rsid w:val="005C46FB"/>
    <w:rsid w:val="005C4D49"/>
    <w:rsid w:val="005C5107"/>
    <w:rsid w:val="005C5151"/>
    <w:rsid w:val="005C51EE"/>
    <w:rsid w:val="005C5338"/>
    <w:rsid w:val="005C5E9F"/>
    <w:rsid w:val="005C6566"/>
    <w:rsid w:val="005C65CE"/>
    <w:rsid w:val="005C6ED4"/>
    <w:rsid w:val="005C6F0E"/>
    <w:rsid w:val="005C70E7"/>
    <w:rsid w:val="005C7718"/>
    <w:rsid w:val="005C77AD"/>
    <w:rsid w:val="005C78B7"/>
    <w:rsid w:val="005C79A0"/>
    <w:rsid w:val="005C79B6"/>
    <w:rsid w:val="005D0233"/>
    <w:rsid w:val="005D02DD"/>
    <w:rsid w:val="005D0DFF"/>
    <w:rsid w:val="005D1436"/>
    <w:rsid w:val="005D149D"/>
    <w:rsid w:val="005D174B"/>
    <w:rsid w:val="005D1BB0"/>
    <w:rsid w:val="005D200F"/>
    <w:rsid w:val="005D2131"/>
    <w:rsid w:val="005D24D7"/>
    <w:rsid w:val="005D27D1"/>
    <w:rsid w:val="005D2B6F"/>
    <w:rsid w:val="005D2BB5"/>
    <w:rsid w:val="005D4126"/>
    <w:rsid w:val="005D44EE"/>
    <w:rsid w:val="005D456B"/>
    <w:rsid w:val="005D4A61"/>
    <w:rsid w:val="005D5048"/>
    <w:rsid w:val="005D5790"/>
    <w:rsid w:val="005D5C1C"/>
    <w:rsid w:val="005D5CF2"/>
    <w:rsid w:val="005D6614"/>
    <w:rsid w:val="005D68F3"/>
    <w:rsid w:val="005D6DC6"/>
    <w:rsid w:val="005D6DD6"/>
    <w:rsid w:val="005D70A9"/>
    <w:rsid w:val="005D737F"/>
    <w:rsid w:val="005D7598"/>
    <w:rsid w:val="005D75C9"/>
    <w:rsid w:val="005D78F6"/>
    <w:rsid w:val="005D79E2"/>
    <w:rsid w:val="005D7A3A"/>
    <w:rsid w:val="005D7B99"/>
    <w:rsid w:val="005D7BD2"/>
    <w:rsid w:val="005D7D23"/>
    <w:rsid w:val="005D7FBF"/>
    <w:rsid w:val="005E0938"/>
    <w:rsid w:val="005E0EC4"/>
    <w:rsid w:val="005E1786"/>
    <w:rsid w:val="005E1A91"/>
    <w:rsid w:val="005E2150"/>
    <w:rsid w:val="005E262D"/>
    <w:rsid w:val="005E2F8E"/>
    <w:rsid w:val="005E35B3"/>
    <w:rsid w:val="005E368E"/>
    <w:rsid w:val="005E3BA1"/>
    <w:rsid w:val="005E3C66"/>
    <w:rsid w:val="005E48AA"/>
    <w:rsid w:val="005E51EC"/>
    <w:rsid w:val="005E5652"/>
    <w:rsid w:val="005E5AA7"/>
    <w:rsid w:val="005E5C7E"/>
    <w:rsid w:val="005E61DE"/>
    <w:rsid w:val="005E6304"/>
    <w:rsid w:val="005E6E01"/>
    <w:rsid w:val="005E72D8"/>
    <w:rsid w:val="005E7452"/>
    <w:rsid w:val="005E7AE0"/>
    <w:rsid w:val="005F0B7D"/>
    <w:rsid w:val="005F0FB1"/>
    <w:rsid w:val="005F114E"/>
    <w:rsid w:val="005F13AB"/>
    <w:rsid w:val="005F1F87"/>
    <w:rsid w:val="005F2076"/>
    <w:rsid w:val="005F2354"/>
    <w:rsid w:val="005F2429"/>
    <w:rsid w:val="005F274F"/>
    <w:rsid w:val="005F3050"/>
    <w:rsid w:val="005F321C"/>
    <w:rsid w:val="005F3350"/>
    <w:rsid w:val="005F34A4"/>
    <w:rsid w:val="005F3561"/>
    <w:rsid w:val="005F3920"/>
    <w:rsid w:val="005F3971"/>
    <w:rsid w:val="005F41A2"/>
    <w:rsid w:val="005F4706"/>
    <w:rsid w:val="005F4810"/>
    <w:rsid w:val="005F4A18"/>
    <w:rsid w:val="005F4C07"/>
    <w:rsid w:val="005F4D4A"/>
    <w:rsid w:val="005F52E4"/>
    <w:rsid w:val="005F536D"/>
    <w:rsid w:val="005F57E1"/>
    <w:rsid w:val="005F5AC4"/>
    <w:rsid w:val="005F5E57"/>
    <w:rsid w:val="005F5EDF"/>
    <w:rsid w:val="005F6183"/>
    <w:rsid w:val="005F635C"/>
    <w:rsid w:val="005F7039"/>
    <w:rsid w:val="005F783A"/>
    <w:rsid w:val="005F7F36"/>
    <w:rsid w:val="00600371"/>
    <w:rsid w:val="00600462"/>
    <w:rsid w:val="006004B5"/>
    <w:rsid w:val="006005CA"/>
    <w:rsid w:val="0060090C"/>
    <w:rsid w:val="00600E75"/>
    <w:rsid w:val="00600F2E"/>
    <w:rsid w:val="006011CA"/>
    <w:rsid w:val="006017BC"/>
    <w:rsid w:val="006017FE"/>
    <w:rsid w:val="00601A8A"/>
    <w:rsid w:val="00601B01"/>
    <w:rsid w:val="00601CEB"/>
    <w:rsid w:val="006024B7"/>
    <w:rsid w:val="006029E9"/>
    <w:rsid w:val="00602D22"/>
    <w:rsid w:val="00602D7D"/>
    <w:rsid w:val="006038F5"/>
    <w:rsid w:val="00603A0F"/>
    <w:rsid w:val="00603C76"/>
    <w:rsid w:val="00603DBA"/>
    <w:rsid w:val="00603DCC"/>
    <w:rsid w:val="00603E5F"/>
    <w:rsid w:val="006046D0"/>
    <w:rsid w:val="006055BD"/>
    <w:rsid w:val="006055D6"/>
    <w:rsid w:val="00605C47"/>
    <w:rsid w:val="00605CBD"/>
    <w:rsid w:val="006061F9"/>
    <w:rsid w:val="006069B4"/>
    <w:rsid w:val="006069D1"/>
    <w:rsid w:val="00606E67"/>
    <w:rsid w:val="006078FA"/>
    <w:rsid w:val="00607C8B"/>
    <w:rsid w:val="00610A53"/>
    <w:rsid w:val="006110BB"/>
    <w:rsid w:val="006111F9"/>
    <w:rsid w:val="00611445"/>
    <w:rsid w:val="00611BC7"/>
    <w:rsid w:val="00611F42"/>
    <w:rsid w:val="00611FC2"/>
    <w:rsid w:val="006122DF"/>
    <w:rsid w:val="006123FE"/>
    <w:rsid w:val="0061263E"/>
    <w:rsid w:val="00612A69"/>
    <w:rsid w:val="00612E46"/>
    <w:rsid w:val="00613131"/>
    <w:rsid w:val="006131D7"/>
    <w:rsid w:val="006132AD"/>
    <w:rsid w:val="006132B6"/>
    <w:rsid w:val="00613838"/>
    <w:rsid w:val="00613CB4"/>
    <w:rsid w:val="00613E94"/>
    <w:rsid w:val="006141C1"/>
    <w:rsid w:val="00614245"/>
    <w:rsid w:val="00615141"/>
    <w:rsid w:val="00615609"/>
    <w:rsid w:val="00615882"/>
    <w:rsid w:val="006159EC"/>
    <w:rsid w:val="00615C61"/>
    <w:rsid w:val="00616444"/>
    <w:rsid w:val="00616875"/>
    <w:rsid w:val="0061747B"/>
    <w:rsid w:val="006176E8"/>
    <w:rsid w:val="00620068"/>
    <w:rsid w:val="00620121"/>
    <w:rsid w:val="006201C8"/>
    <w:rsid w:val="00620541"/>
    <w:rsid w:val="00620573"/>
    <w:rsid w:val="006208F8"/>
    <w:rsid w:val="00620CBA"/>
    <w:rsid w:val="006214E8"/>
    <w:rsid w:val="006218AB"/>
    <w:rsid w:val="006218C5"/>
    <w:rsid w:val="0062248D"/>
    <w:rsid w:val="0062279D"/>
    <w:rsid w:val="00622978"/>
    <w:rsid w:val="00622CE0"/>
    <w:rsid w:val="00622E40"/>
    <w:rsid w:val="00623146"/>
    <w:rsid w:val="0062350A"/>
    <w:rsid w:val="00623542"/>
    <w:rsid w:val="006239C6"/>
    <w:rsid w:val="00623C25"/>
    <w:rsid w:val="006240C0"/>
    <w:rsid w:val="00624B0A"/>
    <w:rsid w:val="00624B65"/>
    <w:rsid w:val="00624D26"/>
    <w:rsid w:val="006251CC"/>
    <w:rsid w:val="00625367"/>
    <w:rsid w:val="0062554B"/>
    <w:rsid w:val="00625D70"/>
    <w:rsid w:val="00625F92"/>
    <w:rsid w:val="00626082"/>
    <w:rsid w:val="0062616C"/>
    <w:rsid w:val="00626598"/>
    <w:rsid w:val="00626E22"/>
    <w:rsid w:val="00626E78"/>
    <w:rsid w:val="006277F0"/>
    <w:rsid w:val="00627A8A"/>
    <w:rsid w:val="00627E1A"/>
    <w:rsid w:val="00630263"/>
    <w:rsid w:val="006313F5"/>
    <w:rsid w:val="00631A22"/>
    <w:rsid w:val="00632098"/>
    <w:rsid w:val="0063234C"/>
    <w:rsid w:val="006326B6"/>
    <w:rsid w:val="00632A7C"/>
    <w:rsid w:val="00632F2C"/>
    <w:rsid w:val="006337CF"/>
    <w:rsid w:val="00633DCA"/>
    <w:rsid w:val="00633EBC"/>
    <w:rsid w:val="0063407D"/>
    <w:rsid w:val="0063466E"/>
    <w:rsid w:val="00634C71"/>
    <w:rsid w:val="006350DD"/>
    <w:rsid w:val="006351FE"/>
    <w:rsid w:val="006359A0"/>
    <w:rsid w:val="00636D7D"/>
    <w:rsid w:val="006374D2"/>
    <w:rsid w:val="00637509"/>
    <w:rsid w:val="006377DF"/>
    <w:rsid w:val="00637B7D"/>
    <w:rsid w:val="006401DE"/>
    <w:rsid w:val="00640336"/>
    <w:rsid w:val="006404D3"/>
    <w:rsid w:val="006406C5"/>
    <w:rsid w:val="006407D9"/>
    <w:rsid w:val="006409BE"/>
    <w:rsid w:val="00640B82"/>
    <w:rsid w:val="00640C41"/>
    <w:rsid w:val="00640DF6"/>
    <w:rsid w:val="006410E4"/>
    <w:rsid w:val="0064117F"/>
    <w:rsid w:val="00641630"/>
    <w:rsid w:val="006418E7"/>
    <w:rsid w:val="00641AF0"/>
    <w:rsid w:val="00641B27"/>
    <w:rsid w:val="00641DB7"/>
    <w:rsid w:val="0064262F"/>
    <w:rsid w:val="00642693"/>
    <w:rsid w:val="00642D37"/>
    <w:rsid w:val="00642F62"/>
    <w:rsid w:val="00643006"/>
    <w:rsid w:val="006431DA"/>
    <w:rsid w:val="00643A18"/>
    <w:rsid w:val="00643BE2"/>
    <w:rsid w:val="00643C26"/>
    <w:rsid w:val="00643D49"/>
    <w:rsid w:val="00644868"/>
    <w:rsid w:val="00644C14"/>
    <w:rsid w:val="00644C9F"/>
    <w:rsid w:val="00645472"/>
    <w:rsid w:val="0064556B"/>
    <w:rsid w:val="006455A7"/>
    <w:rsid w:val="006459E2"/>
    <w:rsid w:val="00645D7E"/>
    <w:rsid w:val="00646434"/>
    <w:rsid w:val="00646643"/>
    <w:rsid w:val="00646D13"/>
    <w:rsid w:val="006479BB"/>
    <w:rsid w:val="00647BC9"/>
    <w:rsid w:val="00647D67"/>
    <w:rsid w:val="0065084A"/>
    <w:rsid w:val="00650C4A"/>
    <w:rsid w:val="00650E53"/>
    <w:rsid w:val="00650ED6"/>
    <w:rsid w:val="0065101E"/>
    <w:rsid w:val="006512C1"/>
    <w:rsid w:val="0065142A"/>
    <w:rsid w:val="00651688"/>
    <w:rsid w:val="0065178C"/>
    <w:rsid w:val="00651AEA"/>
    <w:rsid w:val="00651B15"/>
    <w:rsid w:val="00652356"/>
    <w:rsid w:val="006527C9"/>
    <w:rsid w:val="00654BAE"/>
    <w:rsid w:val="00654BDE"/>
    <w:rsid w:val="00654EF6"/>
    <w:rsid w:val="00655631"/>
    <w:rsid w:val="00655BC0"/>
    <w:rsid w:val="00655CCC"/>
    <w:rsid w:val="006562D0"/>
    <w:rsid w:val="00656347"/>
    <w:rsid w:val="006563F3"/>
    <w:rsid w:val="006566AA"/>
    <w:rsid w:val="0065678B"/>
    <w:rsid w:val="00656F28"/>
    <w:rsid w:val="006574FB"/>
    <w:rsid w:val="0065763A"/>
    <w:rsid w:val="00657BFA"/>
    <w:rsid w:val="0066038B"/>
    <w:rsid w:val="00660BFA"/>
    <w:rsid w:val="00661066"/>
    <w:rsid w:val="00661608"/>
    <w:rsid w:val="00661913"/>
    <w:rsid w:val="00662113"/>
    <w:rsid w:val="00662949"/>
    <w:rsid w:val="0066355E"/>
    <w:rsid w:val="00663580"/>
    <w:rsid w:val="00663607"/>
    <w:rsid w:val="00663DFF"/>
    <w:rsid w:val="00663E55"/>
    <w:rsid w:val="00663E99"/>
    <w:rsid w:val="0066425A"/>
    <w:rsid w:val="00664277"/>
    <w:rsid w:val="006644BB"/>
    <w:rsid w:val="0066452B"/>
    <w:rsid w:val="00664A3B"/>
    <w:rsid w:val="00664AA1"/>
    <w:rsid w:val="00664FE6"/>
    <w:rsid w:val="0066581A"/>
    <w:rsid w:val="006659AB"/>
    <w:rsid w:val="006659D5"/>
    <w:rsid w:val="00665CD1"/>
    <w:rsid w:val="00665E22"/>
    <w:rsid w:val="006663F2"/>
    <w:rsid w:val="00666551"/>
    <w:rsid w:val="00666676"/>
    <w:rsid w:val="0066673C"/>
    <w:rsid w:val="00666CA7"/>
    <w:rsid w:val="00666D8E"/>
    <w:rsid w:val="006672F9"/>
    <w:rsid w:val="00667310"/>
    <w:rsid w:val="006676A1"/>
    <w:rsid w:val="0066775D"/>
    <w:rsid w:val="00667E0B"/>
    <w:rsid w:val="00667EC1"/>
    <w:rsid w:val="0067002B"/>
    <w:rsid w:val="0067038F"/>
    <w:rsid w:val="006703CD"/>
    <w:rsid w:val="00670C2F"/>
    <w:rsid w:val="00670E00"/>
    <w:rsid w:val="00670F32"/>
    <w:rsid w:val="0067107A"/>
    <w:rsid w:val="006712F9"/>
    <w:rsid w:val="006717F3"/>
    <w:rsid w:val="00671994"/>
    <w:rsid w:val="00671EA0"/>
    <w:rsid w:val="00671EF1"/>
    <w:rsid w:val="006730F1"/>
    <w:rsid w:val="00673763"/>
    <w:rsid w:val="00673872"/>
    <w:rsid w:val="006738EC"/>
    <w:rsid w:val="00673905"/>
    <w:rsid w:val="00673B25"/>
    <w:rsid w:val="00673C8D"/>
    <w:rsid w:val="00674223"/>
    <w:rsid w:val="00674ADA"/>
    <w:rsid w:val="006750FE"/>
    <w:rsid w:val="0067525C"/>
    <w:rsid w:val="00675504"/>
    <w:rsid w:val="0067554D"/>
    <w:rsid w:val="00675A2C"/>
    <w:rsid w:val="006760EE"/>
    <w:rsid w:val="006765D1"/>
    <w:rsid w:val="006766BB"/>
    <w:rsid w:val="006767A3"/>
    <w:rsid w:val="00676984"/>
    <w:rsid w:val="0067704A"/>
    <w:rsid w:val="006772D2"/>
    <w:rsid w:val="006773DB"/>
    <w:rsid w:val="0067754A"/>
    <w:rsid w:val="00677A30"/>
    <w:rsid w:val="00677C47"/>
    <w:rsid w:val="00677D1E"/>
    <w:rsid w:val="006800A3"/>
    <w:rsid w:val="006806EE"/>
    <w:rsid w:val="0068092A"/>
    <w:rsid w:val="00680C0C"/>
    <w:rsid w:val="006819B7"/>
    <w:rsid w:val="00681AFD"/>
    <w:rsid w:val="00681D2E"/>
    <w:rsid w:val="006820D2"/>
    <w:rsid w:val="00682544"/>
    <w:rsid w:val="006825B6"/>
    <w:rsid w:val="00682846"/>
    <w:rsid w:val="006834D6"/>
    <w:rsid w:val="0068360F"/>
    <w:rsid w:val="00684486"/>
    <w:rsid w:val="00684686"/>
    <w:rsid w:val="006854AB"/>
    <w:rsid w:val="006856C9"/>
    <w:rsid w:val="00685D68"/>
    <w:rsid w:val="00686930"/>
    <w:rsid w:val="00686EAE"/>
    <w:rsid w:val="006871EE"/>
    <w:rsid w:val="0068782D"/>
    <w:rsid w:val="00687A7F"/>
    <w:rsid w:val="00687AE3"/>
    <w:rsid w:val="00687CC2"/>
    <w:rsid w:val="00687E95"/>
    <w:rsid w:val="00687EF6"/>
    <w:rsid w:val="00690729"/>
    <w:rsid w:val="00690E8D"/>
    <w:rsid w:val="006910DB"/>
    <w:rsid w:val="00691380"/>
    <w:rsid w:val="006914A3"/>
    <w:rsid w:val="00691BDB"/>
    <w:rsid w:val="00691E79"/>
    <w:rsid w:val="00691E7A"/>
    <w:rsid w:val="00692111"/>
    <w:rsid w:val="00692631"/>
    <w:rsid w:val="00692FD6"/>
    <w:rsid w:val="00693497"/>
    <w:rsid w:val="00693853"/>
    <w:rsid w:val="00693ABF"/>
    <w:rsid w:val="00693B86"/>
    <w:rsid w:val="00693DD4"/>
    <w:rsid w:val="00693F9C"/>
    <w:rsid w:val="00694255"/>
    <w:rsid w:val="00694E22"/>
    <w:rsid w:val="00694FA7"/>
    <w:rsid w:val="00695271"/>
    <w:rsid w:val="006959B5"/>
    <w:rsid w:val="00696061"/>
    <w:rsid w:val="0069699C"/>
    <w:rsid w:val="006969DB"/>
    <w:rsid w:val="00696A4A"/>
    <w:rsid w:val="00697554"/>
    <w:rsid w:val="006975AC"/>
    <w:rsid w:val="00697873"/>
    <w:rsid w:val="00697CCF"/>
    <w:rsid w:val="00697DE5"/>
    <w:rsid w:val="00697FA5"/>
    <w:rsid w:val="006A092C"/>
    <w:rsid w:val="006A12E7"/>
    <w:rsid w:val="006A15AB"/>
    <w:rsid w:val="006A1646"/>
    <w:rsid w:val="006A175A"/>
    <w:rsid w:val="006A24A8"/>
    <w:rsid w:val="006A270E"/>
    <w:rsid w:val="006A29AB"/>
    <w:rsid w:val="006A40A6"/>
    <w:rsid w:val="006A464C"/>
    <w:rsid w:val="006A4916"/>
    <w:rsid w:val="006A4C58"/>
    <w:rsid w:val="006A4CD3"/>
    <w:rsid w:val="006A5414"/>
    <w:rsid w:val="006A55A3"/>
    <w:rsid w:val="006A5878"/>
    <w:rsid w:val="006A5B55"/>
    <w:rsid w:val="006A5DBD"/>
    <w:rsid w:val="006A5EBB"/>
    <w:rsid w:val="006A5FAD"/>
    <w:rsid w:val="006A6273"/>
    <w:rsid w:val="006A6605"/>
    <w:rsid w:val="006A66BD"/>
    <w:rsid w:val="006A6962"/>
    <w:rsid w:val="006A6D1E"/>
    <w:rsid w:val="006A7648"/>
    <w:rsid w:val="006A7800"/>
    <w:rsid w:val="006A7829"/>
    <w:rsid w:val="006A789B"/>
    <w:rsid w:val="006A78D9"/>
    <w:rsid w:val="006B00D5"/>
    <w:rsid w:val="006B0358"/>
    <w:rsid w:val="006B0F30"/>
    <w:rsid w:val="006B11B6"/>
    <w:rsid w:val="006B1392"/>
    <w:rsid w:val="006B1708"/>
    <w:rsid w:val="006B1855"/>
    <w:rsid w:val="006B231E"/>
    <w:rsid w:val="006B2877"/>
    <w:rsid w:val="006B2893"/>
    <w:rsid w:val="006B289A"/>
    <w:rsid w:val="006B344B"/>
    <w:rsid w:val="006B38FD"/>
    <w:rsid w:val="006B3CDF"/>
    <w:rsid w:val="006B3E5B"/>
    <w:rsid w:val="006B4117"/>
    <w:rsid w:val="006B456F"/>
    <w:rsid w:val="006B49F1"/>
    <w:rsid w:val="006B4C00"/>
    <w:rsid w:val="006B5308"/>
    <w:rsid w:val="006B5413"/>
    <w:rsid w:val="006B5538"/>
    <w:rsid w:val="006B5769"/>
    <w:rsid w:val="006B59A6"/>
    <w:rsid w:val="006B5F44"/>
    <w:rsid w:val="006B6C73"/>
    <w:rsid w:val="006B7228"/>
    <w:rsid w:val="006B7331"/>
    <w:rsid w:val="006B7491"/>
    <w:rsid w:val="006B7561"/>
    <w:rsid w:val="006B783F"/>
    <w:rsid w:val="006B7896"/>
    <w:rsid w:val="006B7AA0"/>
    <w:rsid w:val="006B7DE3"/>
    <w:rsid w:val="006B7F16"/>
    <w:rsid w:val="006C049C"/>
    <w:rsid w:val="006C071C"/>
    <w:rsid w:val="006C0E2F"/>
    <w:rsid w:val="006C0EC1"/>
    <w:rsid w:val="006C1123"/>
    <w:rsid w:val="006C1227"/>
    <w:rsid w:val="006C12B6"/>
    <w:rsid w:val="006C1412"/>
    <w:rsid w:val="006C14DD"/>
    <w:rsid w:val="006C177D"/>
    <w:rsid w:val="006C1FDD"/>
    <w:rsid w:val="006C247C"/>
    <w:rsid w:val="006C2599"/>
    <w:rsid w:val="006C28EE"/>
    <w:rsid w:val="006C2E2C"/>
    <w:rsid w:val="006C2FE3"/>
    <w:rsid w:val="006C3143"/>
    <w:rsid w:val="006C339A"/>
    <w:rsid w:val="006C3583"/>
    <w:rsid w:val="006C35C2"/>
    <w:rsid w:val="006C393A"/>
    <w:rsid w:val="006C3BD9"/>
    <w:rsid w:val="006C4C17"/>
    <w:rsid w:val="006C4CAF"/>
    <w:rsid w:val="006C5571"/>
    <w:rsid w:val="006C5904"/>
    <w:rsid w:val="006C5A3B"/>
    <w:rsid w:val="006C5CC4"/>
    <w:rsid w:val="006C67A7"/>
    <w:rsid w:val="006C6904"/>
    <w:rsid w:val="006C6B0B"/>
    <w:rsid w:val="006C6EC7"/>
    <w:rsid w:val="006C72DD"/>
    <w:rsid w:val="006C73D3"/>
    <w:rsid w:val="006C7507"/>
    <w:rsid w:val="006C7771"/>
    <w:rsid w:val="006C7BE5"/>
    <w:rsid w:val="006C7D05"/>
    <w:rsid w:val="006C7F94"/>
    <w:rsid w:val="006D0A5A"/>
    <w:rsid w:val="006D0BDE"/>
    <w:rsid w:val="006D0BE5"/>
    <w:rsid w:val="006D0CF1"/>
    <w:rsid w:val="006D0F26"/>
    <w:rsid w:val="006D0F7A"/>
    <w:rsid w:val="006D15FC"/>
    <w:rsid w:val="006D17AC"/>
    <w:rsid w:val="006D1B21"/>
    <w:rsid w:val="006D20D6"/>
    <w:rsid w:val="006D2543"/>
    <w:rsid w:val="006D2624"/>
    <w:rsid w:val="006D276D"/>
    <w:rsid w:val="006D2795"/>
    <w:rsid w:val="006D2984"/>
    <w:rsid w:val="006D29C4"/>
    <w:rsid w:val="006D2D35"/>
    <w:rsid w:val="006D376E"/>
    <w:rsid w:val="006D3C67"/>
    <w:rsid w:val="006D3E32"/>
    <w:rsid w:val="006D4CF0"/>
    <w:rsid w:val="006D4DFF"/>
    <w:rsid w:val="006D550F"/>
    <w:rsid w:val="006D5568"/>
    <w:rsid w:val="006D5571"/>
    <w:rsid w:val="006D62B8"/>
    <w:rsid w:val="006D6340"/>
    <w:rsid w:val="006D6525"/>
    <w:rsid w:val="006D75DB"/>
    <w:rsid w:val="006D76E6"/>
    <w:rsid w:val="006D7767"/>
    <w:rsid w:val="006D7819"/>
    <w:rsid w:val="006E00CA"/>
    <w:rsid w:val="006E0405"/>
    <w:rsid w:val="006E097F"/>
    <w:rsid w:val="006E0F8D"/>
    <w:rsid w:val="006E106D"/>
    <w:rsid w:val="006E159C"/>
    <w:rsid w:val="006E1CC2"/>
    <w:rsid w:val="006E1FF5"/>
    <w:rsid w:val="006E2092"/>
    <w:rsid w:val="006E22DB"/>
    <w:rsid w:val="006E24C9"/>
    <w:rsid w:val="006E2992"/>
    <w:rsid w:val="006E2E17"/>
    <w:rsid w:val="006E2F1D"/>
    <w:rsid w:val="006E2F6C"/>
    <w:rsid w:val="006E301B"/>
    <w:rsid w:val="006E3113"/>
    <w:rsid w:val="006E38C9"/>
    <w:rsid w:val="006E3A3B"/>
    <w:rsid w:val="006E4116"/>
    <w:rsid w:val="006E4445"/>
    <w:rsid w:val="006E4980"/>
    <w:rsid w:val="006E4EC9"/>
    <w:rsid w:val="006E50B3"/>
    <w:rsid w:val="006E55DF"/>
    <w:rsid w:val="006E5A2D"/>
    <w:rsid w:val="006E604F"/>
    <w:rsid w:val="006E6CDD"/>
    <w:rsid w:val="006E7383"/>
    <w:rsid w:val="006E758C"/>
    <w:rsid w:val="006E769B"/>
    <w:rsid w:val="006E77B9"/>
    <w:rsid w:val="006E7FD6"/>
    <w:rsid w:val="006F0AB0"/>
    <w:rsid w:val="006F0AF2"/>
    <w:rsid w:val="006F0D98"/>
    <w:rsid w:val="006F0F5C"/>
    <w:rsid w:val="006F0F97"/>
    <w:rsid w:val="006F0F9E"/>
    <w:rsid w:val="006F15FC"/>
    <w:rsid w:val="006F18D0"/>
    <w:rsid w:val="006F198D"/>
    <w:rsid w:val="006F1B12"/>
    <w:rsid w:val="006F1D69"/>
    <w:rsid w:val="006F20F6"/>
    <w:rsid w:val="006F2283"/>
    <w:rsid w:val="006F22B9"/>
    <w:rsid w:val="006F26A9"/>
    <w:rsid w:val="006F2738"/>
    <w:rsid w:val="006F2ACC"/>
    <w:rsid w:val="006F2B76"/>
    <w:rsid w:val="006F2C8E"/>
    <w:rsid w:val="006F325F"/>
    <w:rsid w:val="006F3422"/>
    <w:rsid w:val="006F3593"/>
    <w:rsid w:val="006F383D"/>
    <w:rsid w:val="006F3CE8"/>
    <w:rsid w:val="006F3E73"/>
    <w:rsid w:val="006F42DC"/>
    <w:rsid w:val="006F4714"/>
    <w:rsid w:val="006F4B59"/>
    <w:rsid w:val="006F5356"/>
    <w:rsid w:val="006F577D"/>
    <w:rsid w:val="006F585E"/>
    <w:rsid w:val="006F7B86"/>
    <w:rsid w:val="006F7CD7"/>
    <w:rsid w:val="0070074B"/>
    <w:rsid w:val="0070088A"/>
    <w:rsid w:val="00700D8E"/>
    <w:rsid w:val="007011C5"/>
    <w:rsid w:val="00701A32"/>
    <w:rsid w:val="00701C0D"/>
    <w:rsid w:val="00701C2C"/>
    <w:rsid w:val="00701EFE"/>
    <w:rsid w:val="0070227C"/>
    <w:rsid w:val="007022DA"/>
    <w:rsid w:val="007027E3"/>
    <w:rsid w:val="007027E9"/>
    <w:rsid w:val="00702FD5"/>
    <w:rsid w:val="007032CA"/>
    <w:rsid w:val="007038F8"/>
    <w:rsid w:val="00703BAB"/>
    <w:rsid w:val="00703C6E"/>
    <w:rsid w:val="00703D6E"/>
    <w:rsid w:val="00704625"/>
    <w:rsid w:val="0070469E"/>
    <w:rsid w:val="00704D36"/>
    <w:rsid w:val="00704F30"/>
    <w:rsid w:val="007058AA"/>
    <w:rsid w:val="00705F94"/>
    <w:rsid w:val="00706228"/>
    <w:rsid w:val="00706638"/>
    <w:rsid w:val="0070760A"/>
    <w:rsid w:val="00707C80"/>
    <w:rsid w:val="007100C5"/>
    <w:rsid w:val="00710166"/>
    <w:rsid w:val="007104B1"/>
    <w:rsid w:val="007108F4"/>
    <w:rsid w:val="00710995"/>
    <w:rsid w:val="007109A3"/>
    <w:rsid w:val="00710F38"/>
    <w:rsid w:val="00711410"/>
    <w:rsid w:val="007116C1"/>
    <w:rsid w:val="007117A0"/>
    <w:rsid w:val="007124DD"/>
    <w:rsid w:val="007125A4"/>
    <w:rsid w:val="007125E4"/>
    <w:rsid w:val="00712889"/>
    <w:rsid w:val="007128DE"/>
    <w:rsid w:val="0071290D"/>
    <w:rsid w:val="00712B40"/>
    <w:rsid w:val="00712B9E"/>
    <w:rsid w:val="00712BC5"/>
    <w:rsid w:val="0071358E"/>
    <w:rsid w:val="00713E18"/>
    <w:rsid w:val="00714081"/>
    <w:rsid w:val="00714093"/>
    <w:rsid w:val="00714593"/>
    <w:rsid w:val="00715076"/>
    <w:rsid w:val="00715326"/>
    <w:rsid w:val="007153BB"/>
    <w:rsid w:val="00715799"/>
    <w:rsid w:val="00715B99"/>
    <w:rsid w:val="00715EC3"/>
    <w:rsid w:val="0071711A"/>
    <w:rsid w:val="0071791A"/>
    <w:rsid w:val="00720008"/>
    <w:rsid w:val="0072024F"/>
    <w:rsid w:val="0072034F"/>
    <w:rsid w:val="0072054F"/>
    <w:rsid w:val="00720AD8"/>
    <w:rsid w:val="00720D17"/>
    <w:rsid w:val="00721099"/>
    <w:rsid w:val="00721626"/>
    <w:rsid w:val="00721773"/>
    <w:rsid w:val="00721777"/>
    <w:rsid w:val="00721925"/>
    <w:rsid w:val="00721C88"/>
    <w:rsid w:val="00721FED"/>
    <w:rsid w:val="00722237"/>
    <w:rsid w:val="00722543"/>
    <w:rsid w:val="00722915"/>
    <w:rsid w:val="00722EB4"/>
    <w:rsid w:val="00722EBA"/>
    <w:rsid w:val="00723170"/>
    <w:rsid w:val="00723B70"/>
    <w:rsid w:val="007244BA"/>
    <w:rsid w:val="007244EA"/>
    <w:rsid w:val="00724E53"/>
    <w:rsid w:val="0072535D"/>
    <w:rsid w:val="00725689"/>
    <w:rsid w:val="00725731"/>
    <w:rsid w:val="007259EF"/>
    <w:rsid w:val="00725C28"/>
    <w:rsid w:val="0072652D"/>
    <w:rsid w:val="007269EB"/>
    <w:rsid w:val="00726F58"/>
    <w:rsid w:val="00727533"/>
    <w:rsid w:val="00727B60"/>
    <w:rsid w:val="0073012E"/>
    <w:rsid w:val="00730817"/>
    <w:rsid w:val="007309E1"/>
    <w:rsid w:val="00730BA6"/>
    <w:rsid w:val="00730E23"/>
    <w:rsid w:val="007312E9"/>
    <w:rsid w:val="00731650"/>
    <w:rsid w:val="00731B86"/>
    <w:rsid w:val="00731E2C"/>
    <w:rsid w:val="00732055"/>
    <w:rsid w:val="0073232E"/>
    <w:rsid w:val="007325BF"/>
    <w:rsid w:val="007326C6"/>
    <w:rsid w:val="007327A3"/>
    <w:rsid w:val="00732FA8"/>
    <w:rsid w:val="007335E0"/>
    <w:rsid w:val="007337F7"/>
    <w:rsid w:val="00733941"/>
    <w:rsid w:val="0073399D"/>
    <w:rsid w:val="0073444E"/>
    <w:rsid w:val="00734496"/>
    <w:rsid w:val="007344C9"/>
    <w:rsid w:val="0073497F"/>
    <w:rsid w:val="00734A05"/>
    <w:rsid w:val="00734AEC"/>
    <w:rsid w:val="00734EEB"/>
    <w:rsid w:val="00734EF2"/>
    <w:rsid w:val="00734FA4"/>
    <w:rsid w:val="007353BD"/>
    <w:rsid w:val="0073554E"/>
    <w:rsid w:val="00735786"/>
    <w:rsid w:val="007357AB"/>
    <w:rsid w:val="00735CA2"/>
    <w:rsid w:val="00735EAA"/>
    <w:rsid w:val="0073610B"/>
    <w:rsid w:val="00736944"/>
    <w:rsid w:val="00736A63"/>
    <w:rsid w:val="00736D76"/>
    <w:rsid w:val="00737085"/>
    <w:rsid w:val="007373A2"/>
    <w:rsid w:val="00737AB0"/>
    <w:rsid w:val="007406E8"/>
    <w:rsid w:val="00740A9C"/>
    <w:rsid w:val="00740D08"/>
    <w:rsid w:val="0074132B"/>
    <w:rsid w:val="0074155B"/>
    <w:rsid w:val="00741B84"/>
    <w:rsid w:val="00741CA7"/>
    <w:rsid w:val="00741CDB"/>
    <w:rsid w:val="00742419"/>
    <w:rsid w:val="007425F8"/>
    <w:rsid w:val="007427BF"/>
    <w:rsid w:val="00742B75"/>
    <w:rsid w:val="00742CE6"/>
    <w:rsid w:val="00743248"/>
    <w:rsid w:val="007432F0"/>
    <w:rsid w:val="007436FA"/>
    <w:rsid w:val="00743AE4"/>
    <w:rsid w:val="00743D6F"/>
    <w:rsid w:val="00743E0C"/>
    <w:rsid w:val="007445B5"/>
    <w:rsid w:val="0074495E"/>
    <w:rsid w:val="00744A17"/>
    <w:rsid w:val="00744C0B"/>
    <w:rsid w:val="00744E0A"/>
    <w:rsid w:val="00744E23"/>
    <w:rsid w:val="00744F08"/>
    <w:rsid w:val="00745192"/>
    <w:rsid w:val="007453D2"/>
    <w:rsid w:val="00745421"/>
    <w:rsid w:val="0074557A"/>
    <w:rsid w:val="00745F15"/>
    <w:rsid w:val="00745FC7"/>
    <w:rsid w:val="00746482"/>
    <w:rsid w:val="0074655C"/>
    <w:rsid w:val="00746A18"/>
    <w:rsid w:val="00746DCD"/>
    <w:rsid w:val="00747053"/>
    <w:rsid w:val="00747106"/>
    <w:rsid w:val="0074733C"/>
    <w:rsid w:val="0074769C"/>
    <w:rsid w:val="007478A0"/>
    <w:rsid w:val="00747F28"/>
    <w:rsid w:val="00747FB9"/>
    <w:rsid w:val="007508AD"/>
    <w:rsid w:val="00750DBD"/>
    <w:rsid w:val="00751024"/>
    <w:rsid w:val="00751FE8"/>
    <w:rsid w:val="007524F7"/>
    <w:rsid w:val="007527D2"/>
    <w:rsid w:val="00752AC2"/>
    <w:rsid w:val="00752B9E"/>
    <w:rsid w:val="0075321D"/>
    <w:rsid w:val="007541E6"/>
    <w:rsid w:val="00754472"/>
    <w:rsid w:val="007547DE"/>
    <w:rsid w:val="007554E8"/>
    <w:rsid w:val="00755B76"/>
    <w:rsid w:val="00755D90"/>
    <w:rsid w:val="00755F72"/>
    <w:rsid w:val="007578FE"/>
    <w:rsid w:val="00757B85"/>
    <w:rsid w:val="00757E63"/>
    <w:rsid w:val="007608C3"/>
    <w:rsid w:val="00760EB1"/>
    <w:rsid w:val="00760F67"/>
    <w:rsid w:val="00761CB4"/>
    <w:rsid w:val="007623EB"/>
    <w:rsid w:val="0076242C"/>
    <w:rsid w:val="0076258B"/>
    <w:rsid w:val="00762CE9"/>
    <w:rsid w:val="00762F17"/>
    <w:rsid w:val="00762FAD"/>
    <w:rsid w:val="0076376C"/>
    <w:rsid w:val="00763A71"/>
    <w:rsid w:val="007656A8"/>
    <w:rsid w:val="00765759"/>
    <w:rsid w:val="00765F75"/>
    <w:rsid w:val="007667A1"/>
    <w:rsid w:val="007667BF"/>
    <w:rsid w:val="007669E0"/>
    <w:rsid w:val="00766C36"/>
    <w:rsid w:val="00766DB0"/>
    <w:rsid w:val="00767CEB"/>
    <w:rsid w:val="00767E82"/>
    <w:rsid w:val="007709DA"/>
    <w:rsid w:val="00770C53"/>
    <w:rsid w:val="00770E20"/>
    <w:rsid w:val="00771135"/>
    <w:rsid w:val="0077134B"/>
    <w:rsid w:val="007713EE"/>
    <w:rsid w:val="00771551"/>
    <w:rsid w:val="00771A06"/>
    <w:rsid w:val="007722A8"/>
    <w:rsid w:val="00772654"/>
    <w:rsid w:val="00772BF0"/>
    <w:rsid w:val="00772D23"/>
    <w:rsid w:val="00772FEB"/>
    <w:rsid w:val="0077344F"/>
    <w:rsid w:val="00773788"/>
    <w:rsid w:val="00773C2C"/>
    <w:rsid w:val="00774441"/>
    <w:rsid w:val="007752A9"/>
    <w:rsid w:val="00775484"/>
    <w:rsid w:val="007754A4"/>
    <w:rsid w:val="0077573C"/>
    <w:rsid w:val="00775746"/>
    <w:rsid w:val="00775AAC"/>
    <w:rsid w:val="00775B76"/>
    <w:rsid w:val="00775D93"/>
    <w:rsid w:val="00775F9F"/>
    <w:rsid w:val="00776590"/>
    <w:rsid w:val="0077677F"/>
    <w:rsid w:val="00776EE9"/>
    <w:rsid w:val="007773E0"/>
    <w:rsid w:val="007778C5"/>
    <w:rsid w:val="007800A3"/>
    <w:rsid w:val="007800A6"/>
    <w:rsid w:val="0078103E"/>
    <w:rsid w:val="007811CE"/>
    <w:rsid w:val="007813F1"/>
    <w:rsid w:val="00781BDB"/>
    <w:rsid w:val="00781C30"/>
    <w:rsid w:val="00782DCC"/>
    <w:rsid w:val="007835AF"/>
    <w:rsid w:val="007836FD"/>
    <w:rsid w:val="007837C5"/>
    <w:rsid w:val="0078384C"/>
    <w:rsid w:val="007838A5"/>
    <w:rsid w:val="00783D36"/>
    <w:rsid w:val="007846A1"/>
    <w:rsid w:val="00784C66"/>
    <w:rsid w:val="00784E13"/>
    <w:rsid w:val="00784EF8"/>
    <w:rsid w:val="00785013"/>
    <w:rsid w:val="007850CC"/>
    <w:rsid w:val="0078594D"/>
    <w:rsid w:val="00785956"/>
    <w:rsid w:val="00785B98"/>
    <w:rsid w:val="00785EFC"/>
    <w:rsid w:val="0078602F"/>
    <w:rsid w:val="007863E4"/>
    <w:rsid w:val="007867C4"/>
    <w:rsid w:val="00786FC1"/>
    <w:rsid w:val="0078797B"/>
    <w:rsid w:val="007904E4"/>
    <w:rsid w:val="007905AE"/>
    <w:rsid w:val="007907AE"/>
    <w:rsid w:val="00790966"/>
    <w:rsid w:val="007909A2"/>
    <w:rsid w:val="00790F7F"/>
    <w:rsid w:val="00791068"/>
    <w:rsid w:val="00791208"/>
    <w:rsid w:val="00791565"/>
    <w:rsid w:val="00791ADB"/>
    <w:rsid w:val="00791C11"/>
    <w:rsid w:val="007921AC"/>
    <w:rsid w:val="007924C4"/>
    <w:rsid w:val="00792C19"/>
    <w:rsid w:val="00792D43"/>
    <w:rsid w:val="0079334B"/>
    <w:rsid w:val="00793574"/>
    <w:rsid w:val="00793942"/>
    <w:rsid w:val="007939AE"/>
    <w:rsid w:val="00793A5A"/>
    <w:rsid w:val="00794927"/>
    <w:rsid w:val="00794A2E"/>
    <w:rsid w:val="00794AA0"/>
    <w:rsid w:val="00794EA4"/>
    <w:rsid w:val="00794FC8"/>
    <w:rsid w:val="007950E3"/>
    <w:rsid w:val="0079545D"/>
    <w:rsid w:val="007954C1"/>
    <w:rsid w:val="00795694"/>
    <w:rsid w:val="0079574A"/>
    <w:rsid w:val="007957E9"/>
    <w:rsid w:val="00795A6B"/>
    <w:rsid w:val="00795CC9"/>
    <w:rsid w:val="00795CE0"/>
    <w:rsid w:val="0079658D"/>
    <w:rsid w:val="00796898"/>
    <w:rsid w:val="007969A7"/>
    <w:rsid w:val="00796AA4"/>
    <w:rsid w:val="00797765"/>
    <w:rsid w:val="00797F24"/>
    <w:rsid w:val="007A01DE"/>
    <w:rsid w:val="007A031B"/>
    <w:rsid w:val="007A0B38"/>
    <w:rsid w:val="007A13F1"/>
    <w:rsid w:val="007A15FD"/>
    <w:rsid w:val="007A1619"/>
    <w:rsid w:val="007A2778"/>
    <w:rsid w:val="007A2A31"/>
    <w:rsid w:val="007A2E9B"/>
    <w:rsid w:val="007A4012"/>
    <w:rsid w:val="007A45EF"/>
    <w:rsid w:val="007A4896"/>
    <w:rsid w:val="007A498E"/>
    <w:rsid w:val="007A5CA4"/>
    <w:rsid w:val="007A6005"/>
    <w:rsid w:val="007A6050"/>
    <w:rsid w:val="007A63BE"/>
    <w:rsid w:val="007A688C"/>
    <w:rsid w:val="007A715D"/>
    <w:rsid w:val="007A721A"/>
    <w:rsid w:val="007A7446"/>
    <w:rsid w:val="007A7525"/>
    <w:rsid w:val="007A787A"/>
    <w:rsid w:val="007A7B7E"/>
    <w:rsid w:val="007A7D62"/>
    <w:rsid w:val="007A7E9B"/>
    <w:rsid w:val="007B021E"/>
    <w:rsid w:val="007B0CCE"/>
    <w:rsid w:val="007B11D4"/>
    <w:rsid w:val="007B1478"/>
    <w:rsid w:val="007B18AB"/>
    <w:rsid w:val="007B28B1"/>
    <w:rsid w:val="007B2D9F"/>
    <w:rsid w:val="007B2F75"/>
    <w:rsid w:val="007B3489"/>
    <w:rsid w:val="007B3A96"/>
    <w:rsid w:val="007B3AC3"/>
    <w:rsid w:val="007B3F6C"/>
    <w:rsid w:val="007B4685"/>
    <w:rsid w:val="007B468B"/>
    <w:rsid w:val="007B4736"/>
    <w:rsid w:val="007B48AC"/>
    <w:rsid w:val="007B4F6F"/>
    <w:rsid w:val="007B5201"/>
    <w:rsid w:val="007B533F"/>
    <w:rsid w:val="007B54D2"/>
    <w:rsid w:val="007B55D6"/>
    <w:rsid w:val="007B58BF"/>
    <w:rsid w:val="007B5A6D"/>
    <w:rsid w:val="007B5BBD"/>
    <w:rsid w:val="007B6092"/>
    <w:rsid w:val="007B66DA"/>
    <w:rsid w:val="007B6B93"/>
    <w:rsid w:val="007B6F05"/>
    <w:rsid w:val="007B71A6"/>
    <w:rsid w:val="007B7398"/>
    <w:rsid w:val="007B73F7"/>
    <w:rsid w:val="007B772F"/>
    <w:rsid w:val="007B7960"/>
    <w:rsid w:val="007B7963"/>
    <w:rsid w:val="007B7D17"/>
    <w:rsid w:val="007B7EA1"/>
    <w:rsid w:val="007C0076"/>
    <w:rsid w:val="007C0405"/>
    <w:rsid w:val="007C0463"/>
    <w:rsid w:val="007C0DF2"/>
    <w:rsid w:val="007C1043"/>
    <w:rsid w:val="007C11E9"/>
    <w:rsid w:val="007C1293"/>
    <w:rsid w:val="007C182F"/>
    <w:rsid w:val="007C1901"/>
    <w:rsid w:val="007C2157"/>
    <w:rsid w:val="007C236A"/>
    <w:rsid w:val="007C2429"/>
    <w:rsid w:val="007C2609"/>
    <w:rsid w:val="007C282B"/>
    <w:rsid w:val="007C28A6"/>
    <w:rsid w:val="007C28B1"/>
    <w:rsid w:val="007C2DD7"/>
    <w:rsid w:val="007C32CF"/>
    <w:rsid w:val="007C32D4"/>
    <w:rsid w:val="007C334A"/>
    <w:rsid w:val="007C3424"/>
    <w:rsid w:val="007C34C8"/>
    <w:rsid w:val="007C3A1E"/>
    <w:rsid w:val="007C4317"/>
    <w:rsid w:val="007C4484"/>
    <w:rsid w:val="007C46C7"/>
    <w:rsid w:val="007C483E"/>
    <w:rsid w:val="007C4CBC"/>
    <w:rsid w:val="007C55B9"/>
    <w:rsid w:val="007C58AF"/>
    <w:rsid w:val="007C5A2E"/>
    <w:rsid w:val="007C5F8D"/>
    <w:rsid w:val="007C634C"/>
    <w:rsid w:val="007C651F"/>
    <w:rsid w:val="007C6543"/>
    <w:rsid w:val="007C6651"/>
    <w:rsid w:val="007C6AD7"/>
    <w:rsid w:val="007C6E24"/>
    <w:rsid w:val="007C73EA"/>
    <w:rsid w:val="007C7948"/>
    <w:rsid w:val="007C794C"/>
    <w:rsid w:val="007C7C8D"/>
    <w:rsid w:val="007C7FCC"/>
    <w:rsid w:val="007D09E0"/>
    <w:rsid w:val="007D12C0"/>
    <w:rsid w:val="007D1917"/>
    <w:rsid w:val="007D196D"/>
    <w:rsid w:val="007D29E3"/>
    <w:rsid w:val="007D29F7"/>
    <w:rsid w:val="007D32E7"/>
    <w:rsid w:val="007D34E0"/>
    <w:rsid w:val="007D3A2E"/>
    <w:rsid w:val="007D3AAB"/>
    <w:rsid w:val="007D3D98"/>
    <w:rsid w:val="007D40B5"/>
    <w:rsid w:val="007D57CD"/>
    <w:rsid w:val="007D5844"/>
    <w:rsid w:val="007D5CB5"/>
    <w:rsid w:val="007D65A0"/>
    <w:rsid w:val="007D6AEE"/>
    <w:rsid w:val="007D733F"/>
    <w:rsid w:val="007D7343"/>
    <w:rsid w:val="007D7939"/>
    <w:rsid w:val="007D7A7C"/>
    <w:rsid w:val="007D7D82"/>
    <w:rsid w:val="007D7E2C"/>
    <w:rsid w:val="007E003B"/>
    <w:rsid w:val="007E0079"/>
    <w:rsid w:val="007E013D"/>
    <w:rsid w:val="007E0233"/>
    <w:rsid w:val="007E08DF"/>
    <w:rsid w:val="007E0E82"/>
    <w:rsid w:val="007E124E"/>
    <w:rsid w:val="007E14E3"/>
    <w:rsid w:val="007E1703"/>
    <w:rsid w:val="007E18DB"/>
    <w:rsid w:val="007E1A61"/>
    <w:rsid w:val="007E1D52"/>
    <w:rsid w:val="007E1F52"/>
    <w:rsid w:val="007E2500"/>
    <w:rsid w:val="007E2961"/>
    <w:rsid w:val="007E31A2"/>
    <w:rsid w:val="007E393B"/>
    <w:rsid w:val="007E3BB3"/>
    <w:rsid w:val="007E3F5C"/>
    <w:rsid w:val="007E4433"/>
    <w:rsid w:val="007E4530"/>
    <w:rsid w:val="007E460E"/>
    <w:rsid w:val="007E4A95"/>
    <w:rsid w:val="007E4D70"/>
    <w:rsid w:val="007E5332"/>
    <w:rsid w:val="007E53F0"/>
    <w:rsid w:val="007E54B4"/>
    <w:rsid w:val="007E562A"/>
    <w:rsid w:val="007E5958"/>
    <w:rsid w:val="007E5DA7"/>
    <w:rsid w:val="007E5F51"/>
    <w:rsid w:val="007E6515"/>
    <w:rsid w:val="007E6AD8"/>
    <w:rsid w:val="007E74AD"/>
    <w:rsid w:val="007E7AE0"/>
    <w:rsid w:val="007E7C28"/>
    <w:rsid w:val="007E7C34"/>
    <w:rsid w:val="007E7D4F"/>
    <w:rsid w:val="007F0108"/>
    <w:rsid w:val="007F02E5"/>
    <w:rsid w:val="007F0439"/>
    <w:rsid w:val="007F04ED"/>
    <w:rsid w:val="007F06EF"/>
    <w:rsid w:val="007F0996"/>
    <w:rsid w:val="007F0B5C"/>
    <w:rsid w:val="007F1042"/>
    <w:rsid w:val="007F11E4"/>
    <w:rsid w:val="007F178E"/>
    <w:rsid w:val="007F1D4C"/>
    <w:rsid w:val="007F21C8"/>
    <w:rsid w:val="007F27A9"/>
    <w:rsid w:val="007F2EAE"/>
    <w:rsid w:val="007F3353"/>
    <w:rsid w:val="007F3412"/>
    <w:rsid w:val="007F3479"/>
    <w:rsid w:val="007F3DD7"/>
    <w:rsid w:val="007F3E20"/>
    <w:rsid w:val="007F3E3F"/>
    <w:rsid w:val="007F4991"/>
    <w:rsid w:val="007F4ABA"/>
    <w:rsid w:val="007F5575"/>
    <w:rsid w:val="007F590E"/>
    <w:rsid w:val="007F59E8"/>
    <w:rsid w:val="007F607E"/>
    <w:rsid w:val="007F62C7"/>
    <w:rsid w:val="007F630C"/>
    <w:rsid w:val="007F6397"/>
    <w:rsid w:val="007F6926"/>
    <w:rsid w:val="007F6A16"/>
    <w:rsid w:val="007F7532"/>
    <w:rsid w:val="007F7853"/>
    <w:rsid w:val="007F785F"/>
    <w:rsid w:val="007F7BB0"/>
    <w:rsid w:val="00800D74"/>
    <w:rsid w:val="00801096"/>
    <w:rsid w:val="008014F8"/>
    <w:rsid w:val="00801798"/>
    <w:rsid w:val="00801D3E"/>
    <w:rsid w:val="00801F3F"/>
    <w:rsid w:val="00802322"/>
    <w:rsid w:val="008024D9"/>
    <w:rsid w:val="00802705"/>
    <w:rsid w:val="00802832"/>
    <w:rsid w:val="00802936"/>
    <w:rsid w:val="00802A9F"/>
    <w:rsid w:val="00802CA4"/>
    <w:rsid w:val="008030CA"/>
    <w:rsid w:val="008030D8"/>
    <w:rsid w:val="008031BA"/>
    <w:rsid w:val="0080347A"/>
    <w:rsid w:val="0080351E"/>
    <w:rsid w:val="008036A6"/>
    <w:rsid w:val="00803792"/>
    <w:rsid w:val="0080380B"/>
    <w:rsid w:val="008039CF"/>
    <w:rsid w:val="00803AA5"/>
    <w:rsid w:val="00803BFA"/>
    <w:rsid w:val="00803C1E"/>
    <w:rsid w:val="00803FE1"/>
    <w:rsid w:val="00804092"/>
    <w:rsid w:val="0080457B"/>
    <w:rsid w:val="00804C78"/>
    <w:rsid w:val="00804F7C"/>
    <w:rsid w:val="008057CD"/>
    <w:rsid w:val="00805CEC"/>
    <w:rsid w:val="00805D34"/>
    <w:rsid w:val="00805F9F"/>
    <w:rsid w:val="00805FEE"/>
    <w:rsid w:val="00806438"/>
    <w:rsid w:val="008066CB"/>
    <w:rsid w:val="00807166"/>
    <w:rsid w:val="008072EF"/>
    <w:rsid w:val="008077F3"/>
    <w:rsid w:val="0081023E"/>
    <w:rsid w:val="0081062E"/>
    <w:rsid w:val="00810654"/>
    <w:rsid w:val="00810AB2"/>
    <w:rsid w:val="00810ACB"/>
    <w:rsid w:val="00811103"/>
    <w:rsid w:val="00811868"/>
    <w:rsid w:val="00811C9D"/>
    <w:rsid w:val="00811D74"/>
    <w:rsid w:val="0081209B"/>
    <w:rsid w:val="008121E3"/>
    <w:rsid w:val="0081264B"/>
    <w:rsid w:val="00812D9E"/>
    <w:rsid w:val="00812E80"/>
    <w:rsid w:val="00812E9C"/>
    <w:rsid w:val="008130A0"/>
    <w:rsid w:val="0081372B"/>
    <w:rsid w:val="008137A8"/>
    <w:rsid w:val="0081440D"/>
    <w:rsid w:val="00815058"/>
    <w:rsid w:val="00815271"/>
    <w:rsid w:val="008152E0"/>
    <w:rsid w:val="00815F07"/>
    <w:rsid w:val="00816276"/>
    <w:rsid w:val="0081675F"/>
    <w:rsid w:val="00816984"/>
    <w:rsid w:val="00817976"/>
    <w:rsid w:val="00820151"/>
    <w:rsid w:val="008206FE"/>
    <w:rsid w:val="00820D8E"/>
    <w:rsid w:val="0082287F"/>
    <w:rsid w:val="00822A75"/>
    <w:rsid w:val="00822FAF"/>
    <w:rsid w:val="008237B6"/>
    <w:rsid w:val="00823BCC"/>
    <w:rsid w:val="00823C1F"/>
    <w:rsid w:val="00824A1D"/>
    <w:rsid w:val="00824F86"/>
    <w:rsid w:val="00824FD2"/>
    <w:rsid w:val="008254AB"/>
    <w:rsid w:val="008254FB"/>
    <w:rsid w:val="00825680"/>
    <w:rsid w:val="0082585E"/>
    <w:rsid w:val="00825FD4"/>
    <w:rsid w:val="008260DD"/>
    <w:rsid w:val="0082664F"/>
    <w:rsid w:val="008266FD"/>
    <w:rsid w:val="00826701"/>
    <w:rsid w:val="00826D9D"/>
    <w:rsid w:val="00827083"/>
    <w:rsid w:val="00827136"/>
    <w:rsid w:val="008272D4"/>
    <w:rsid w:val="0082755E"/>
    <w:rsid w:val="008275D5"/>
    <w:rsid w:val="00827A84"/>
    <w:rsid w:val="008302B3"/>
    <w:rsid w:val="008303C3"/>
    <w:rsid w:val="008304F7"/>
    <w:rsid w:val="00830C5B"/>
    <w:rsid w:val="00830D84"/>
    <w:rsid w:val="008314E2"/>
    <w:rsid w:val="00831BC2"/>
    <w:rsid w:val="00832611"/>
    <w:rsid w:val="00832C15"/>
    <w:rsid w:val="00832C19"/>
    <w:rsid w:val="00832D9B"/>
    <w:rsid w:val="00833020"/>
    <w:rsid w:val="0083313D"/>
    <w:rsid w:val="0083328B"/>
    <w:rsid w:val="00833425"/>
    <w:rsid w:val="00833957"/>
    <w:rsid w:val="00833AC6"/>
    <w:rsid w:val="00833FF9"/>
    <w:rsid w:val="008347EA"/>
    <w:rsid w:val="00834809"/>
    <w:rsid w:val="00834EA9"/>
    <w:rsid w:val="0083583A"/>
    <w:rsid w:val="00835903"/>
    <w:rsid w:val="00835BD3"/>
    <w:rsid w:val="008364DF"/>
    <w:rsid w:val="00836EFA"/>
    <w:rsid w:val="0083752B"/>
    <w:rsid w:val="008376EB"/>
    <w:rsid w:val="00840241"/>
    <w:rsid w:val="008402CC"/>
    <w:rsid w:val="0084076B"/>
    <w:rsid w:val="0084121E"/>
    <w:rsid w:val="00841B2E"/>
    <w:rsid w:val="00842869"/>
    <w:rsid w:val="00842BE1"/>
    <w:rsid w:val="00842CD6"/>
    <w:rsid w:val="00842F01"/>
    <w:rsid w:val="00842F34"/>
    <w:rsid w:val="00843099"/>
    <w:rsid w:val="008434FC"/>
    <w:rsid w:val="0084373D"/>
    <w:rsid w:val="008439A1"/>
    <w:rsid w:val="00844297"/>
    <w:rsid w:val="0084459A"/>
    <w:rsid w:val="008445B5"/>
    <w:rsid w:val="008447BB"/>
    <w:rsid w:val="00844EDC"/>
    <w:rsid w:val="00844F8A"/>
    <w:rsid w:val="008453AD"/>
    <w:rsid w:val="00845673"/>
    <w:rsid w:val="00846312"/>
    <w:rsid w:val="008463AC"/>
    <w:rsid w:val="00846654"/>
    <w:rsid w:val="008474C2"/>
    <w:rsid w:val="0084795A"/>
    <w:rsid w:val="00847B3C"/>
    <w:rsid w:val="00847E0D"/>
    <w:rsid w:val="00847F3D"/>
    <w:rsid w:val="0085051B"/>
    <w:rsid w:val="0085099C"/>
    <w:rsid w:val="00850CBB"/>
    <w:rsid w:val="00850EE9"/>
    <w:rsid w:val="0085101D"/>
    <w:rsid w:val="00851338"/>
    <w:rsid w:val="0085169D"/>
    <w:rsid w:val="00851A37"/>
    <w:rsid w:val="00852369"/>
    <w:rsid w:val="008526FA"/>
    <w:rsid w:val="00852887"/>
    <w:rsid w:val="00852BA9"/>
    <w:rsid w:val="00852CC6"/>
    <w:rsid w:val="00852D4E"/>
    <w:rsid w:val="00852E8E"/>
    <w:rsid w:val="00853497"/>
    <w:rsid w:val="008539A9"/>
    <w:rsid w:val="00853A9F"/>
    <w:rsid w:val="00853DE9"/>
    <w:rsid w:val="00853E14"/>
    <w:rsid w:val="00853EED"/>
    <w:rsid w:val="00854BC4"/>
    <w:rsid w:val="00854E54"/>
    <w:rsid w:val="0085560D"/>
    <w:rsid w:val="00855637"/>
    <w:rsid w:val="008557D6"/>
    <w:rsid w:val="00855888"/>
    <w:rsid w:val="00855E2E"/>
    <w:rsid w:val="00855E33"/>
    <w:rsid w:val="00855F89"/>
    <w:rsid w:val="00856204"/>
    <w:rsid w:val="008563FC"/>
    <w:rsid w:val="00856459"/>
    <w:rsid w:val="008567AB"/>
    <w:rsid w:val="00856CA4"/>
    <w:rsid w:val="00856E55"/>
    <w:rsid w:val="0085712D"/>
    <w:rsid w:val="00857272"/>
    <w:rsid w:val="00857331"/>
    <w:rsid w:val="00860077"/>
    <w:rsid w:val="00860283"/>
    <w:rsid w:val="0086058E"/>
    <w:rsid w:val="00860C34"/>
    <w:rsid w:val="00861196"/>
    <w:rsid w:val="00862F65"/>
    <w:rsid w:val="00862FC7"/>
    <w:rsid w:val="0086342F"/>
    <w:rsid w:val="0086360A"/>
    <w:rsid w:val="008638F0"/>
    <w:rsid w:val="00863A21"/>
    <w:rsid w:val="00863B9C"/>
    <w:rsid w:val="008641C2"/>
    <w:rsid w:val="0086475E"/>
    <w:rsid w:val="00864760"/>
    <w:rsid w:val="00864A63"/>
    <w:rsid w:val="00864A7D"/>
    <w:rsid w:val="00865D9B"/>
    <w:rsid w:val="0086614C"/>
    <w:rsid w:val="0086659C"/>
    <w:rsid w:val="008666EC"/>
    <w:rsid w:val="00867060"/>
    <w:rsid w:val="00867137"/>
    <w:rsid w:val="0086785E"/>
    <w:rsid w:val="00867997"/>
    <w:rsid w:val="0087073A"/>
    <w:rsid w:val="00870ED0"/>
    <w:rsid w:val="00871085"/>
    <w:rsid w:val="008711EA"/>
    <w:rsid w:val="00871B00"/>
    <w:rsid w:val="00871B63"/>
    <w:rsid w:val="00871C5A"/>
    <w:rsid w:val="00871CED"/>
    <w:rsid w:val="00871DC9"/>
    <w:rsid w:val="00871E74"/>
    <w:rsid w:val="008720C9"/>
    <w:rsid w:val="0087221C"/>
    <w:rsid w:val="008726DF"/>
    <w:rsid w:val="00872F22"/>
    <w:rsid w:val="00872F59"/>
    <w:rsid w:val="00873133"/>
    <w:rsid w:val="00873403"/>
    <w:rsid w:val="008738B9"/>
    <w:rsid w:val="0087404B"/>
    <w:rsid w:val="0087451B"/>
    <w:rsid w:val="00874939"/>
    <w:rsid w:val="00874A5E"/>
    <w:rsid w:val="00874B4C"/>
    <w:rsid w:val="00874F29"/>
    <w:rsid w:val="00875351"/>
    <w:rsid w:val="00875B37"/>
    <w:rsid w:val="00875FD9"/>
    <w:rsid w:val="0087606E"/>
    <w:rsid w:val="008764A6"/>
    <w:rsid w:val="00876747"/>
    <w:rsid w:val="00876903"/>
    <w:rsid w:val="00876C6A"/>
    <w:rsid w:val="00876F92"/>
    <w:rsid w:val="0087760E"/>
    <w:rsid w:val="008779C5"/>
    <w:rsid w:val="00877C13"/>
    <w:rsid w:val="00877DBE"/>
    <w:rsid w:val="008800EB"/>
    <w:rsid w:val="0088175C"/>
    <w:rsid w:val="008818A5"/>
    <w:rsid w:val="008818EB"/>
    <w:rsid w:val="00881E57"/>
    <w:rsid w:val="00882A3B"/>
    <w:rsid w:val="00883440"/>
    <w:rsid w:val="00883F3D"/>
    <w:rsid w:val="00884337"/>
    <w:rsid w:val="00884539"/>
    <w:rsid w:val="00884FAA"/>
    <w:rsid w:val="00885467"/>
    <w:rsid w:val="00885BA7"/>
    <w:rsid w:val="008861A9"/>
    <w:rsid w:val="00886DC6"/>
    <w:rsid w:val="00886F07"/>
    <w:rsid w:val="00886F21"/>
    <w:rsid w:val="008878AA"/>
    <w:rsid w:val="008879AE"/>
    <w:rsid w:val="00890E4C"/>
    <w:rsid w:val="00890E81"/>
    <w:rsid w:val="00890FE6"/>
    <w:rsid w:val="008910FD"/>
    <w:rsid w:val="008913E0"/>
    <w:rsid w:val="00891454"/>
    <w:rsid w:val="00891C93"/>
    <w:rsid w:val="00891E05"/>
    <w:rsid w:val="00891EEF"/>
    <w:rsid w:val="008920E9"/>
    <w:rsid w:val="00892C82"/>
    <w:rsid w:val="00892CB0"/>
    <w:rsid w:val="00892E08"/>
    <w:rsid w:val="00892E89"/>
    <w:rsid w:val="008932D5"/>
    <w:rsid w:val="00893493"/>
    <w:rsid w:val="00893B79"/>
    <w:rsid w:val="00893D8D"/>
    <w:rsid w:val="00894081"/>
    <w:rsid w:val="0089431A"/>
    <w:rsid w:val="00894A0B"/>
    <w:rsid w:val="00894E93"/>
    <w:rsid w:val="00895253"/>
    <w:rsid w:val="00895643"/>
    <w:rsid w:val="00895896"/>
    <w:rsid w:val="00895CF0"/>
    <w:rsid w:val="0089630C"/>
    <w:rsid w:val="00896434"/>
    <w:rsid w:val="00896666"/>
    <w:rsid w:val="00896AD4"/>
    <w:rsid w:val="00897459"/>
    <w:rsid w:val="00897630"/>
    <w:rsid w:val="008977AF"/>
    <w:rsid w:val="00897EA6"/>
    <w:rsid w:val="008A004D"/>
    <w:rsid w:val="008A0B6B"/>
    <w:rsid w:val="008A10DB"/>
    <w:rsid w:val="008A1311"/>
    <w:rsid w:val="008A1319"/>
    <w:rsid w:val="008A1855"/>
    <w:rsid w:val="008A1E33"/>
    <w:rsid w:val="008A1FAD"/>
    <w:rsid w:val="008A23E6"/>
    <w:rsid w:val="008A2B9F"/>
    <w:rsid w:val="008A2F31"/>
    <w:rsid w:val="008A3048"/>
    <w:rsid w:val="008A31C9"/>
    <w:rsid w:val="008A3C47"/>
    <w:rsid w:val="008A3C6A"/>
    <w:rsid w:val="008A3CFB"/>
    <w:rsid w:val="008A3D5E"/>
    <w:rsid w:val="008A409C"/>
    <w:rsid w:val="008A48C5"/>
    <w:rsid w:val="008A5DB5"/>
    <w:rsid w:val="008A5DEE"/>
    <w:rsid w:val="008A717A"/>
    <w:rsid w:val="008A721A"/>
    <w:rsid w:val="008A7866"/>
    <w:rsid w:val="008A7E22"/>
    <w:rsid w:val="008B0368"/>
    <w:rsid w:val="008B0376"/>
    <w:rsid w:val="008B0CDC"/>
    <w:rsid w:val="008B0F2C"/>
    <w:rsid w:val="008B13D9"/>
    <w:rsid w:val="008B14AF"/>
    <w:rsid w:val="008B158E"/>
    <w:rsid w:val="008B171F"/>
    <w:rsid w:val="008B18AE"/>
    <w:rsid w:val="008B2174"/>
    <w:rsid w:val="008B219F"/>
    <w:rsid w:val="008B2AC7"/>
    <w:rsid w:val="008B2ECE"/>
    <w:rsid w:val="008B3041"/>
    <w:rsid w:val="008B3407"/>
    <w:rsid w:val="008B3D35"/>
    <w:rsid w:val="008B42B9"/>
    <w:rsid w:val="008B47F0"/>
    <w:rsid w:val="008B48DB"/>
    <w:rsid w:val="008B5078"/>
    <w:rsid w:val="008B5235"/>
    <w:rsid w:val="008B579B"/>
    <w:rsid w:val="008B598F"/>
    <w:rsid w:val="008B5C19"/>
    <w:rsid w:val="008B5D7A"/>
    <w:rsid w:val="008B6130"/>
    <w:rsid w:val="008B621E"/>
    <w:rsid w:val="008B6536"/>
    <w:rsid w:val="008B6735"/>
    <w:rsid w:val="008B6977"/>
    <w:rsid w:val="008B6B7F"/>
    <w:rsid w:val="008B710F"/>
    <w:rsid w:val="008B7129"/>
    <w:rsid w:val="008B72F8"/>
    <w:rsid w:val="008B7683"/>
    <w:rsid w:val="008C0C29"/>
    <w:rsid w:val="008C0F4C"/>
    <w:rsid w:val="008C1510"/>
    <w:rsid w:val="008C26B2"/>
    <w:rsid w:val="008C29DD"/>
    <w:rsid w:val="008C3092"/>
    <w:rsid w:val="008C3287"/>
    <w:rsid w:val="008C34B6"/>
    <w:rsid w:val="008C3773"/>
    <w:rsid w:val="008C3806"/>
    <w:rsid w:val="008C3EAC"/>
    <w:rsid w:val="008C3F0B"/>
    <w:rsid w:val="008C3F7C"/>
    <w:rsid w:val="008C540A"/>
    <w:rsid w:val="008C5B54"/>
    <w:rsid w:val="008C640B"/>
    <w:rsid w:val="008C649D"/>
    <w:rsid w:val="008C64AD"/>
    <w:rsid w:val="008C6762"/>
    <w:rsid w:val="008C6AE5"/>
    <w:rsid w:val="008C6BE4"/>
    <w:rsid w:val="008C7537"/>
    <w:rsid w:val="008C7892"/>
    <w:rsid w:val="008C79B0"/>
    <w:rsid w:val="008C7B38"/>
    <w:rsid w:val="008C7C99"/>
    <w:rsid w:val="008C7D36"/>
    <w:rsid w:val="008C7F75"/>
    <w:rsid w:val="008D126E"/>
    <w:rsid w:val="008D129B"/>
    <w:rsid w:val="008D144B"/>
    <w:rsid w:val="008D1707"/>
    <w:rsid w:val="008D195A"/>
    <w:rsid w:val="008D19FC"/>
    <w:rsid w:val="008D1CE8"/>
    <w:rsid w:val="008D2274"/>
    <w:rsid w:val="008D258E"/>
    <w:rsid w:val="008D2725"/>
    <w:rsid w:val="008D2A15"/>
    <w:rsid w:val="008D2C43"/>
    <w:rsid w:val="008D3242"/>
    <w:rsid w:val="008D3C38"/>
    <w:rsid w:val="008D3F63"/>
    <w:rsid w:val="008D4029"/>
    <w:rsid w:val="008D43F5"/>
    <w:rsid w:val="008D4656"/>
    <w:rsid w:val="008D4F97"/>
    <w:rsid w:val="008D514B"/>
    <w:rsid w:val="008D57D6"/>
    <w:rsid w:val="008D5836"/>
    <w:rsid w:val="008D5DEB"/>
    <w:rsid w:val="008D6553"/>
    <w:rsid w:val="008D663D"/>
    <w:rsid w:val="008D6B9B"/>
    <w:rsid w:val="008D6F1B"/>
    <w:rsid w:val="008D75D3"/>
    <w:rsid w:val="008D77E3"/>
    <w:rsid w:val="008D7B53"/>
    <w:rsid w:val="008E018E"/>
    <w:rsid w:val="008E06E8"/>
    <w:rsid w:val="008E0743"/>
    <w:rsid w:val="008E0789"/>
    <w:rsid w:val="008E08C4"/>
    <w:rsid w:val="008E0A8C"/>
    <w:rsid w:val="008E0B26"/>
    <w:rsid w:val="008E0B9E"/>
    <w:rsid w:val="008E0F9B"/>
    <w:rsid w:val="008E1600"/>
    <w:rsid w:val="008E16A3"/>
    <w:rsid w:val="008E1C2A"/>
    <w:rsid w:val="008E1E30"/>
    <w:rsid w:val="008E2463"/>
    <w:rsid w:val="008E2493"/>
    <w:rsid w:val="008E2576"/>
    <w:rsid w:val="008E3594"/>
    <w:rsid w:val="008E403B"/>
    <w:rsid w:val="008E45D0"/>
    <w:rsid w:val="008E4761"/>
    <w:rsid w:val="008E4A8A"/>
    <w:rsid w:val="008E4D07"/>
    <w:rsid w:val="008E5886"/>
    <w:rsid w:val="008E58B9"/>
    <w:rsid w:val="008E5B41"/>
    <w:rsid w:val="008E5F5E"/>
    <w:rsid w:val="008E6483"/>
    <w:rsid w:val="008E66C1"/>
    <w:rsid w:val="008E6E17"/>
    <w:rsid w:val="008E6FA3"/>
    <w:rsid w:val="008E732D"/>
    <w:rsid w:val="008E74EE"/>
    <w:rsid w:val="008E78F4"/>
    <w:rsid w:val="008E7ABD"/>
    <w:rsid w:val="008E7C30"/>
    <w:rsid w:val="008E7D53"/>
    <w:rsid w:val="008F02A3"/>
    <w:rsid w:val="008F040E"/>
    <w:rsid w:val="008F054E"/>
    <w:rsid w:val="008F0709"/>
    <w:rsid w:val="008F0AA6"/>
    <w:rsid w:val="008F0C8B"/>
    <w:rsid w:val="008F1006"/>
    <w:rsid w:val="008F1761"/>
    <w:rsid w:val="008F1887"/>
    <w:rsid w:val="008F26A5"/>
    <w:rsid w:val="008F2B79"/>
    <w:rsid w:val="008F3B8B"/>
    <w:rsid w:val="008F3F56"/>
    <w:rsid w:val="008F3FAC"/>
    <w:rsid w:val="008F4934"/>
    <w:rsid w:val="008F4AA6"/>
    <w:rsid w:val="008F4B52"/>
    <w:rsid w:val="008F4BD2"/>
    <w:rsid w:val="008F53BA"/>
    <w:rsid w:val="008F5E4D"/>
    <w:rsid w:val="008F6426"/>
    <w:rsid w:val="008F64E5"/>
    <w:rsid w:val="008F663E"/>
    <w:rsid w:val="008F6729"/>
    <w:rsid w:val="008F67F4"/>
    <w:rsid w:val="008F686A"/>
    <w:rsid w:val="008F6B5D"/>
    <w:rsid w:val="008F6DC3"/>
    <w:rsid w:val="008F7547"/>
    <w:rsid w:val="0090088A"/>
    <w:rsid w:val="009008A3"/>
    <w:rsid w:val="00900B9A"/>
    <w:rsid w:val="00900DA2"/>
    <w:rsid w:val="009011AE"/>
    <w:rsid w:val="009011B7"/>
    <w:rsid w:val="00901A61"/>
    <w:rsid w:val="00901D44"/>
    <w:rsid w:val="0090269C"/>
    <w:rsid w:val="009029FF"/>
    <w:rsid w:val="00902B00"/>
    <w:rsid w:val="00902BCF"/>
    <w:rsid w:val="00903C74"/>
    <w:rsid w:val="00903D2A"/>
    <w:rsid w:val="00904B95"/>
    <w:rsid w:val="00905146"/>
    <w:rsid w:val="009051D6"/>
    <w:rsid w:val="0090527B"/>
    <w:rsid w:val="0090532F"/>
    <w:rsid w:val="00905460"/>
    <w:rsid w:val="00905A4C"/>
    <w:rsid w:val="00906775"/>
    <w:rsid w:val="00907024"/>
    <w:rsid w:val="00907254"/>
    <w:rsid w:val="00907703"/>
    <w:rsid w:val="00907DFC"/>
    <w:rsid w:val="00907EEB"/>
    <w:rsid w:val="009103F1"/>
    <w:rsid w:val="00910662"/>
    <w:rsid w:val="0091069C"/>
    <w:rsid w:val="00910F6E"/>
    <w:rsid w:val="0091107D"/>
    <w:rsid w:val="00911195"/>
    <w:rsid w:val="00911340"/>
    <w:rsid w:val="009114DD"/>
    <w:rsid w:val="00911B7D"/>
    <w:rsid w:val="00912233"/>
    <w:rsid w:val="009123D2"/>
    <w:rsid w:val="009125BC"/>
    <w:rsid w:val="00912B40"/>
    <w:rsid w:val="00912B49"/>
    <w:rsid w:val="00912D86"/>
    <w:rsid w:val="009131C5"/>
    <w:rsid w:val="0091381D"/>
    <w:rsid w:val="009138BF"/>
    <w:rsid w:val="00913A49"/>
    <w:rsid w:val="00913F55"/>
    <w:rsid w:val="00914201"/>
    <w:rsid w:val="00914494"/>
    <w:rsid w:val="00914CDA"/>
    <w:rsid w:val="009157F2"/>
    <w:rsid w:val="00915AAF"/>
    <w:rsid w:val="009165C1"/>
    <w:rsid w:val="00916814"/>
    <w:rsid w:val="0091691D"/>
    <w:rsid w:val="00917388"/>
    <w:rsid w:val="00917925"/>
    <w:rsid w:val="00920A39"/>
    <w:rsid w:val="00920F01"/>
    <w:rsid w:val="00920F25"/>
    <w:rsid w:val="00921177"/>
    <w:rsid w:val="00921252"/>
    <w:rsid w:val="00921528"/>
    <w:rsid w:val="00921872"/>
    <w:rsid w:val="00921EC9"/>
    <w:rsid w:val="00921FF2"/>
    <w:rsid w:val="009220F4"/>
    <w:rsid w:val="0092246D"/>
    <w:rsid w:val="00922A7C"/>
    <w:rsid w:val="00922EE3"/>
    <w:rsid w:val="00923082"/>
    <w:rsid w:val="0092380B"/>
    <w:rsid w:val="0092382D"/>
    <w:rsid w:val="00923AB0"/>
    <w:rsid w:val="00923C96"/>
    <w:rsid w:val="00923D63"/>
    <w:rsid w:val="00924157"/>
    <w:rsid w:val="0092437C"/>
    <w:rsid w:val="0092479E"/>
    <w:rsid w:val="009248A2"/>
    <w:rsid w:val="00924946"/>
    <w:rsid w:val="00924B1A"/>
    <w:rsid w:val="00924B5F"/>
    <w:rsid w:val="00924DFB"/>
    <w:rsid w:val="00924FBF"/>
    <w:rsid w:val="00925F10"/>
    <w:rsid w:val="0092621F"/>
    <w:rsid w:val="0092657D"/>
    <w:rsid w:val="0092692E"/>
    <w:rsid w:val="00926F3D"/>
    <w:rsid w:val="00927516"/>
    <w:rsid w:val="0092797D"/>
    <w:rsid w:val="00927A37"/>
    <w:rsid w:val="0093008A"/>
    <w:rsid w:val="009302D5"/>
    <w:rsid w:val="00930394"/>
    <w:rsid w:val="009303D1"/>
    <w:rsid w:val="00930674"/>
    <w:rsid w:val="0093129E"/>
    <w:rsid w:val="00931519"/>
    <w:rsid w:val="00931889"/>
    <w:rsid w:val="00931DB8"/>
    <w:rsid w:val="00931E9A"/>
    <w:rsid w:val="00931EF6"/>
    <w:rsid w:val="00931EF8"/>
    <w:rsid w:val="009320B7"/>
    <w:rsid w:val="00932375"/>
    <w:rsid w:val="009323D9"/>
    <w:rsid w:val="009325AB"/>
    <w:rsid w:val="00932C1A"/>
    <w:rsid w:val="00932CEB"/>
    <w:rsid w:val="00933656"/>
    <w:rsid w:val="00933B80"/>
    <w:rsid w:val="0093415B"/>
    <w:rsid w:val="009341A0"/>
    <w:rsid w:val="009341D8"/>
    <w:rsid w:val="009347D4"/>
    <w:rsid w:val="0093508E"/>
    <w:rsid w:val="0093552B"/>
    <w:rsid w:val="009358A9"/>
    <w:rsid w:val="00936053"/>
    <w:rsid w:val="009378CD"/>
    <w:rsid w:val="009379CF"/>
    <w:rsid w:val="00937E83"/>
    <w:rsid w:val="0094067B"/>
    <w:rsid w:val="00940937"/>
    <w:rsid w:val="00940C04"/>
    <w:rsid w:val="00940E9B"/>
    <w:rsid w:val="00941297"/>
    <w:rsid w:val="009412AF"/>
    <w:rsid w:val="00941417"/>
    <w:rsid w:val="00941605"/>
    <w:rsid w:val="00941BA3"/>
    <w:rsid w:val="00942DB0"/>
    <w:rsid w:val="009433FC"/>
    <w:rsid w:val="009436EA"/>
    <w:rsid w:val="009438A4"/>
    <w:rsid w:val="009438E3"/>
    <w:rsid w:val="0094411A"/>
    <w:rsid w:val="009444C2"/>
    <w:rsid w:val="009445D8"/>
    <w:rsid w:val="00944AE7"/>
    <w:rsid w:val="00944B5A"/>
    <w:rsid w:val="0094562B"/>
    <w:rsid w:val="0094565C"/>
    <w:rsid w:val="00945D9A"/>
    <w:rsid w:val="009462BB"/>
    <w:rsid w:val="00946360"/>
    <w:rsid w:val="009464D6"/>
    <w:rsid w:val="0094665B"/>
    <w:rsid w:val="00947217"/>
    <w:rsid w:val="00947464"/>
    <w:rsid w:val="00947973"/>
    <w:rsid w:val="00950077"/>
    <w:rsid w:val="0095015A"/>
    <w:rsid w:val="009503B1"/>
    <w:rsid w:val="0095066B"/>
    <w:rsid w:val="00950AEE"/>
    <w:rsid w:val="00950D63"/>
    <w:rsid w:val="009518F2"/>
    <w:rsid w:val="00951B60"/>
    <w:rsid w:val="00951CC7"/>
    <w:rsid w:val="00951FB0"/>
    <w:rsid w:val="009527F5"/>
    <w:rsid w:val="009528C9"/>
    <w:rsid w:val="00952CC5"/>
    <w:rsid w:val="00952CCE"/>
    <w:rsid w:val="00952D22"/>
    <w:rsid w:val="009532B7"/>
    <w:rsid w:val="009536E6"/>
    <w:rsid w:val="00953886"/>
    <w:rsid w:val="00953B99"/>
    <w:rsid w:val="00953F9D"/>
    <w:rsid w:val="009544CB"/>
    <w:rsid w:val="00954506"/>
    <w:rsid w:val="009554C1"/>
    <w:rsid w:val="009559B4"/>
    <w:rsid w:val="00955A11"/>
    <w:rsid w:val="00955A6B"/>
    <w:rsid w:val="00955B9C"/>
    <w:rsid w:val="00955C28"/>
    <w:rsid w:val="00955CA0"/>
    <w:rsid w:val="00955E00"/>
    <w:rsid w:val="00955E61"/>
    <w:rsid w:val="009560B3"/>
    <w:rsid w:val="00956235"/>
    <w:rsid w:val="00956969"/>
    <w:rsid w:val="00956C16"/>
    <w:rsid w:val="0095710B"/>
    <w:rsid w:val="009575C4"/>
    <w:rsid w:val="0095762D"/>
    <w:rsid w:val="009578AA"/>
    <w:rsid w:val="00957C13"/>
    <w:rsid w:val="0096006A"/>
    <w:rsid w:val="00960A50"/>
    <w:rsid w:val="00960B83"/>
    <w:rsid w:val="0096103A"/>
    <w:rsid w:val="0096118E"/>
    <w:rsid w:val="00961291"/>
    <w:rsid w:val="00961375"/>
    <w:rsid w:val="00961A4B"/>
    <w:rsid w:val="00962651"/>
    <w:rsid w:val="00963ACA"/>
    <w:rsid w:val="00963D17"/>
    <w:rsid w:val="00964188"/>
    <w:rsid w:val="0096447C"/>
    <w:rsid w:val="00964499"/>
    <w:rsid w:val="00965050"/>
    <w:rsid w:val="0096527C"/>
    <w:rsid w:val="009654AF"/>
    <w:rsid w:val="00965D4F"/>
    <w:rsid w:val="00965FFD"/>
    <w:rsid w:val="0096616D"/>
    <w:rsid w:val="009661AB"/>
    <w:rsid w:val="009663CC"/>
    <w:rsid w:val="00966511"/>
    <w:rsid w:val="00966598"/>
    <w:rsid w:val="00966B9F"/>
    <w:rsid w:val="00966CFF"/>
    <w:rsid w:val="00967793"/>
    <w:rsid w:val="00967859"/>
    <w:rsid w:val="00967C5E"/>
    <w:rsid w:val="00967DFA"/>
    <w:rsid w:val="00967FDB"/>
    <w:rsid w:val="0097038D"/>
    <w:rsid w:val="0097047C"/>
    <w:rsid w:val="009704B9"/>
    <w:rsid w:val="00970627"/>
    <w:rsid w:val="00970C56"/>
    <w:rsid w:val="009713FE"/>
    <w:rsid w:val="00971566"/>
    <w:rsid w:val="009719C1"/>
    <w:rsid w:val="00971E19"/>
    <w:rsid w:val="00972166"/>
    <w:rsid w:val="00972484"/>
    <w:rsid w:val="009725CE"/>
    <w:rsid w:val="00972DAD"/>
    <w:rsid w:val="00973047"/>
    <w:rsid w:val="009734E7"/>
    <w:rsid w:val="00973873"/>
    <w:rsid w:val="0097396C"/>
    <w:rsid w:val="00973CB8"/>
    <w:rsid w:val="00973D52"/>
    <w:rsid w:val="00973E9B"/>
    <w:rsid w:val="009749D0"/>
    <w:rsid w:val="00974A0D"/>
    <w:rsid w:val="00974BEC"/>
    <w:rsid w:val="00975374"/>
    <w:rsid w:val="009756A8"/>
    <w:rsid w:val="009756DC"/>
    <w:rsid w:val="009758A9"/>
    <w:rsid w:val="00975A47"/>
    <w:rsid w:val="00975E26"/>
    <w:rsid w:val="00976086"/>
    <w:rsid w:val="0097624F"/>
    <w:rsid w:val="0097630B"/>
    <w:rsid w:val="00976695"/>
    <w:rsid w:val="00977123"/>
    <w:rsid w:val="00980088"/>
    <w:rsid w:val="009802BE"/>
    <w:rsid w:val="009806D0"/>
    <w:rsid w:val="00980797"/>
    <w:rsid w:val="00981022"/>
    <w:rsid w:val="009811B6"/>
    <w:rsid w:val="009812A4"/>
    <w:rsid w:val="0098227B"/>
    <w:rsid w:val="00982413"/>
    <w:rsid w:val="009826E4"/>
    <w:rsid w:val="00983300"/>
    <w:rsid w:val="009834C6"/>
    <w:rsid w:val="0098358B"/>
    <w:rsid w:val="00983722"/>
    <w:rsid w:val="009837CE"/>
    <w:rsid w:val="009838B0"/>
    <w:rsid w:val="00983BB5"/>
    <w:rsid w:val="00983D54"/>
    <w:rsid w:val="00983E75"/>
    <w:rsid w:val="00984D06"/>
    <w:rsid w:val="00984DAA"/>
    <w:rsid w:val="00985131"/>
    <w:rsid w:val="00985477"/>
    <w:rsid w:val="009854D3"/>
    <w:rsid w:val="00985B7F"/>
    <w:rsid w:val="00985C85"/>
    <w:rsid w:val="009865AD"/>
    <w:rsid w:val="009867A0"/>
    <w:rsid w:val="0098699F"/>
    <w:rsid w:val="0098791E"/>
    <w:rsid w:val="00987C10"/>
    <w:rsid w:val="00987DC9"/>
    <w:rsid w:val="009901E7"/>
    <w:rsid w:val="00990290"/>
    <w:rsid w:val="0099071D"/>
    <w:rsid w:val="00991E59"/>
    <w:rsid w:val="0099210B"/>
    <w:rsid w:val="009924F0"/>
    <w:rsid w:val="009937D3"/>
    <w:rsid w:val="00994057"/>
    <w:rsid w:val="00994286"/>
    <w:rsid w:val="00994411"/>
    <w:rsid w:val="009945AF"/>
    <w:rsid w:val="0099470F"/>
    <w:rsid w:val="00994BAE"/>
    <w:rsid w:val="00994F46"/>
    <w:rsid w:val="00995077"/>
    <w:rsid w:val="0099537E"/>
    <w:rsid w:val="00995FF5"/>
    <w:rsid w:val="00996B27"/>
    <w:rsid w:val="00996D56"/>
    <w:rsid w:val="00997CBE"/>
    <w:rsid w:val="009A00A0"/>
    <w:rsid w:val="009A08FE"/>
    <w:rsid w:val="009A0CB4"/>
    <w:rsid w:val="009A17FB"/>
    <w:rsid w:val="009A18C3"/>
    <w:rsid w:val="009A191D"/>
    <w:rsid w:val="009A1E12"/>
    <w:rsid w:val="009A3BEB"/>
    <w:rsid w:val="009A3C7B"/>
    <w:rsid w:val="009A4150"/>
    <w:rsid w:val="009A43FD"/>
    <w:rsid w:val="009A4A1D"/>
    <w:rsid w:val="009A4E04"/>
    <w:rsid w:val="009A4FE4"/>
    <w:rsid w:val="009A533F"/>
    <w:rsid w:val="009A5678"/>
    <w:rsid w:val="009A5751"/>
    <w:rsid w:val="009A583C"/>
    <w:rsid w:val="009A58B2"/>
    <w:rsid w:val="009A5D84"/>
    <w:rsid w:val="009A60D8"/>
    <w:rsid w:val="009A65CC"/>
    <w:rsid w:val="009A6671"/>
    <w:rsid w:val="009A6CE5"/>
    <w:rsid w:val="009A7166"/>
    <w:rsid w:val="009A72FC"/>
    <w:rsid w:val="009A7810"/>
    <w:rsid w:val="009B02F4"/>
    <w:rsid w:val="009B03E6"/>
    <w:rsid w:val="009B08A9"/>
    <w:rsid w:val="009B097D"/>
    <w:rsid w:val="009B0E7C"/>
    <w:rsid w:val="009B1151"/>
    <w:rsid w:val="009B18A7"/>
    <w:rsid w:val="009B22E6"/>
    <w:rsid w:val="009B2949"/>
    <w:rsid w:val="009B2AF2"/>
    <w:rsid w:val="009B2AF4"/>
    <w:rsid w:val="009B34C7"/>
    <w:rsid w:val="009B35CD"/>
    <w:rsid w:val="009B3F8F"/>
    <w:rsid w:val="009B40A8"/>
    <w:rsid w:val="009B43CA"/>
    <w:rsid w:val="009B44B9"/>
    <w:rsid w:val="009B473F"/>
    <w:rsid w:val="009B4B40"/>
    <w:rsid w:val="009B4CF4"/>
    <w:rsid w:val="009B6FF9"/>
    <w:rsid w:val="009B70CF"/>
    <w:rsid w:val="009B71F5"/>
    <w:rsid w:val="009B722F"/>
    <w:rsid w:val="009B72B0"/>
    <w:rsid w:val="009B72CE"/>
    <w:rsid w:val="009C0245"/>
    <w:rsid w:val="009C0AC2"/>
    <w:rsid w:val="009C0E59"/>
    <w:rsid w:val="009C15AC"/>
    <w:rsid w:val="009C1AD3"/>
    <w:rsid w:val="009C24E1"/>
    <w:rsid w:val="009C2696"/>
    <w:rsid w:val="009C2A3F"/>
    <w:rsid w:val="009C2A92"/>
    <w:rsid w:val="009C2B18"/>
    <w:rsid w:val="009C332F"/>
    <w:rsid w:val="009C3688"/>
    <w:rsid w:val="009C4106"/>
    <w:rsid w:val="009C41CC"/>
    <w:rsid w:val="009C4268"/>
    <w:rsid w:val="009C4631"/>
    <w:rsid w:val="009C4C72"/>
    <w:rsid w:val="009C4C78"/>
    <w:rsid w:val="009C4FC1"/>
    <w:rsid w:val="009C55B3"/>
    <w:rsid w:val="009C5D95"/>
    <w:rsid w:val="009C6966"/>
    <w:rsid w:val="009C6A0E"/>
    <w:rsid w:val="009C6A2C"/>
    <w:rsid w:val="009C6C76"/>
    <w:rsid w:val="009C6FF8"/>
    <w:rsid w:val="009C7187"/>
    <w:rsid w:val="009C7A5C"/>
    <w:rsid w:val="009C7A61"/>
    <w:rsid w:val="009C7ED1"/>
    <w:rsid w:val="009C7EF3"/>
    <w:rsid w:val="009D0A5C"/>
    <w:rsid w:val="009D0A99"/>
    <w:rsid w:val="009D0E73"/>
    <w:rsid w:val="009D107B"/>
    <w:rsid w:val="009D19F9"/>
    <w:rsid w:val="009D2282"/>
    <w:rsid w:val="009D2551"/>
    <w:rsid w:val="009D26A5"/>
    <w:rsid w:val="009D2C07"/>
    <w:rsid w:val="009D2C6F"/>
    <w:rsid w:val="009D381E"/>
    <w:rsid w:val="009D3B21"/>
    <w:rsid w:val="009D3BDB"/>
    <w:rsid w:val="009D3E49"/>
    <w:rsid w:val="009D457B"/>
    <w:rsid w:val="009D483E"/>
    <w:rsid w:val="009D4BF2"/>
    <w:rsid w:val="009D4CFD"/>
    <w:rsid w:val="009D5387"/>
    <w:rsid w:val="009D5985"/>
    <w:rsid w:val="009D5BA1"/>
    <w:rsid w:val="009D5CD6"/>
    <w:rsid w:val="009D601F"/>
    <w:rsid w:val="009D6EEA"/>
    <w:rsid w:val="009D7261"/>
    <w:rsid w:val="009D7A63"/>
    <w:rsid w:val="009D7DE9"/>
    <w:rsid w:val="009D7FD6"/>
    <w:rsid w:val="009E009B"/>
    <w:rsid w:val="009E0BDC"/>
    <w:rsid w:val="009E134F"/>
    <w:rsid w:val="009E16A1"/>
    <w:rsid w:val="009E1C18"/>
    <w:rsid w:val="009E1DC4"/>
    <w:rsid w:val="009E1F88"/>
    <w:rsid w:val="009E203F"/>
    <w:rsid w:val="009E2087"/>
    <w:rsid w:val="009E2088"/>
    <w:rsid w:val="009E2401"/>
    <w:rsid w:val="009E27BE"/>
    <w:rsid w:val="009E2AD9"/>
    <w:rsid w:val="009E34AE"/>
    <w:rsid w:val="009E3506"/>
    <w:rsid w:val="009E3570"/>
    <w:rsid w:val="009E36A0"/>
    <w:rsid w:val="009E48EB"/>
    <w:rsid w:val="009E4AA8"/>
    <w:rsid w:val="009E4D0E"/>
    <w:rsid w:val="009E5180"/>
    <w:rsid w:val="009E5380"/>
    <w:rsid w:val="009E58BD"/>
    <w:rsid w:val="009E5C2A"/>
    <w:rsid w:val="009E6017"/>
    <w:rsid w:val="009E65B9"/>
    <w:rsid w:val="009E677C"/>
    <w:rsid w:val="009E6ABC"/>
    <w:rsid w:val="009E71AD"/>
    <w:rsid w:val="009E7AF4"/>
    <w:rsid w:val="009E7CFF"/>
    <w:rsid w:val="009E7EAF"/>
    <w:rsid w:val="009E7EC6"/>
    <w:rsid w:val="009E7F33"/>
    <w:rsid w:val="009F05C7"/>
    <w:rsid w:val="009F0AC9"/>
    <w:rsid w:val="009F0FF8"/>
    <w:rsid w:val="009F1267"/>
    <w:rsid w:val="009F1418"/>
    <w:rsid w:val="009F1A40"/>
    <w:rsid w:val="009F1CA4"/>
    <w:rsid w:val="009F23EB"/>
    <w:rsid w:val="009F2510"/>
    <w:rsid w:val="009F2A71"/>
    <w:rsid w:val="009F2CEC"/>
    <w:rsid w:val="009F37B5"/>
    <w:rsid w:val="009F3D4E"/>
    <w:rsid w:val="009F4407"/>
    <w:rsid w:val="009F4DC0"/>
    <w:rsid w:val="009F502C"/>
    <w:rsid w:val="009F50A5"/>
    <w:rsid w:val="009F5151"/>
    <w:rsid w:val="009F540A"/>
    <w:rsid w:val="009F5AC0"/>
    <w:rsid w:val="009F60FB"/>
    <w:rsid w:val="009F69B9"/>
    <w:rsid w:val="009F6E67"/>
    <w:rsid w:val="009F6EB3"/>
    <w:rsid w:val="009F7915"/>
    <w:rsid w:val="009F7F65"/>
    <w:rsid w:val="00A00D88"/>
    <w:rsid w:val="00A01304"/>
    <w:rsid w:val="00A0171B"/>
    <w:rsid w:val="00A01CAF"/>
    <w:rsid w:val="00A01CF8"/>
    <w:rsid w:val="00A01E34"/>
    <w:rsid w:val="00A02115"/>
    <w:rsid w:val="00A02667"/>
    <w:rsid w:val="00A030FC"/>
    <w:rsid w:val="00A03205"/>
    <w:rsid w:val="00A034B4"/>
    <w:rsid w:val="00A037CA"/>
    <w:rsid w:val="00A037EC"/>
    <w:rsid w:val="00A03847"/>
    <w:rsid w:val="00A03BCA"/>
    <w:rsid w:val="00A03C06"/>
    <w:rsid w:val="00A046A3"/>
    <w:rsid w:val="00A04D4D"/>
    <w:rsid w:val="00A051A6"/>
    <w:rsid w:val="00A0544B"/>
    <w:rsid w:val="00A059B4"/>
    <w:rsid w:val="00A05D57"/>
    <w:rsid w:val="00A05FB8"/>
    <w:rsid w:val="00A066C9"/>
    <w:rsid w:val="00A06BED"/>
    <w:rsid w:val="00A07161"/>
    <w:rsid w:val="00A07B83"/>
    <w:rsid w:val="00A110AF"/>
    <w:rsid w:val="00A114C6"/>
    <w:rsid w:val="00A11AC5"/>
    <w:rsid w:val="00A11BC6"/>
    <w:rsid w:val="00A11D5F"/>
    <w:rsid w:val="00A11E9A"/>
    <w:rsid w:val="00A121B0"/>
    <w:rsid w:val="00A12367"/>
    <w:rsid w:val="00A124EF"/>
    <w:rsid w:val="00A1271C"/>
    <w:rsid w:val="00A12B3D"/>
    <w:rsid w:val="00A12BF2"/>
    <w:rsid w:val="00A12C60"/>
    <w:rsid w:val="00A13154"/>
    <w:rsid w:val="00A13448"/>
    <w:rsid w:val="00A14737"/>
    <w:rsid w:val="00A1478E"/>
    <w:rsid w:val="00A1495C"/>
    <w:rsid w:val="00A149E6"/>
    <w:rsid w:val="00A14C95"/>
    <w:rsid w:val="00A14F77"/>
    <w:rsid w:val="00A14F8D"/>
    <w:rsid w:val="00A15090"/>
    <w:rsid w:val="00A1513E"/>
    <w:rsid w:val="00A155BB"/>
    <w:rsid w:val="00A15638"/>
    <w:rsid w:val="00A15F91"/>
    <w:rsid w:val="00A15FBC"/>
    <w:rsid w:val="00A15FD9"/>
    <w:rsid w:val="00A167F5"/>
    <w:rsid w:val="00A16A31"/>
    <w:rsid w:val="00A16AE5"/>
    <w:rsid w:val="00A17500"/>
    <w:rsid w:val="00A17808"/>
    <w:rsid w:val="00A202ED"/>
    <w:rsid w:val="00A20AEA"/>
    <w:rsid w:val="00A20B3E"/>
    <w:rsid w:val="00A20B90"/>
    <w:rsid w:val="00A20BB9"/>
    <w:rsid w:val="00A210D8"/>
    <w:rsid w:val="00A21BA3"/>
    <w:rsid w:val="00A21EC1"/>
    <w:rsid w:val="00A22495"/>
    <w:rsid w:val="00A224AE"/>
    <w:rsid w:val="00A2255C"/>
    <w:rsid w:val="00A2257B"/>
    <w:rsid w:val="00A228DC"/>
    <w:rsid w:val="00A22B95"/>
    <w:rsid w:val="00A22C40"/>
    <w:rsid w:val="00A22D68"/>
    <w:rsid w:val="00A23A2A"/>
    <w:rsid w:val="00A23DDA"/>
    <w:rsid w:val="00A24828"/>
    <w:rsid w:val="00A24BE8"/>
    <w:rsid w:val="00A24D10"/>
    <w:rsid w:val="00A24E85"/>
    <w:rsid w:val="00A24ECF"/>
    <w:rsid w:val="00A25012"/>
    <w:rsid w:val="00A2516D"/>
    <w:rsid w:val="00A2530D"/>
    <w:rsid w:val="00A2583C"/>
    <w:rsid w:val="00A25D37"/>
    <w:rsid w:val="00A25E0F"/>
    <w:rsid w:val="00A25FA6"/>
    <w:rsid w:val="00A2609C"/>
    <w:rsid w:val="00A2630F"/>
    <w:rsid w:val="00A265DF"/>
    <w:rsid w:val="00A26770"/>
    <w:rsid w:val="00A26D6D"/>
    <w:rsid w:val="00A30449"/>
    <w:rsid w:val="00A305C7"/>
    <w:rsid w:val="00A3082E"/>
    <w:rsid w:val="00A308F5"/>
    <w:rsid w:val="00A309C0"/>
    <w:rsid w:val="00A30CE6"/>
    <w:rsid w:val="00A30F5E"/>
    <w:rsid w:val="00A31196"/>
    <w:rsid w:val="00A3119C"/>
    <w:rsid w:val="00A311AD"/>
    <w:rsid w:val="00A317E2"/>
    <w:rsid w:val="00A319B6"/>
    <w:rsid w:val="00A319BC"/>
    <w:rsid w:val="00A31A4A"/>
    <w:rsid w:val="00A31C0A"/>
    <w:rsid w:val="00A31C4C"/>
    <w:rsid w:val="00A31F25"/>
    <w:rsid w:val="00A32332"/>
    <w:rsid w:val="00A32C2C"/>
    <w:rsid w:val="00A32D11"/>
    <w:rsid w:val="00A32EF3"/>
    <w:rsid w:val="00A338DA"/>
    <w:rsid w:val="00A33D39"/>
    <w:rsid w:val="00A33E06"/>
    <w:rsid w:val="00A3404D"/>
    <w:rsid w:val="00A343BC"/>
    <w:rsid w:val="00A348CD"/>
    <w:rsid w:val="00A3507F"/>
    <w:rsid w:val="00A354C9"/>
    <w:rsid w:val="00A356FA"/>
    <w:rsid w:val="00A357E2"/>
    <w:rsid w:val="00A35807"/>
    <w:rsid w:val="00A35AFE"/>
    <w:rsid w:val="00A35EE4"/>
    <w:rsid w:val="00A363E2"/>
    <w:rsid w:val="00A36700"/>
    <w:rsid w:val="00A3678C"/>
    <w:rsid w:val="00A3721F"/>
    <w:rsid w:val="00A376E6"/>
    <w:rsid w:val="00A37984"/>
    <w:rsid w:val="00A37985"/>
    <w:rsid w:val="00A37A4B"/>
    <w:rsid w:val="00A37AC9"/>
    <w:rsid w:val="00A37D52"/>
    <w:rsid w:val="00A4006A"/>
    <w:rsid w:val="00A4022B"/>
    <w:rsid w:val="00A402F4"/>
    <w:rsid w:val="00A4067F"/>
    <w:rsid w:val="00A40A25"/>
    <w:rsid w:val="00A40F0D"/>
    <w:rsid w:val="00A41056"/>
    <w:rsid w:val="00A411B6"/>
    <w:rsid w:val="00A4149C"/>
    <w:rsid w:val="00A41F8C"/>
    <w:rsid w:val="00A42132"/>
    <w:rsid w:val="00A42691"/>
    <w:rsid w:val="00A42C1E"/>
    <w:rsid w:val="00A43091"/>
    <w:rsid w:val="00A43945"/>
    <w:rsid w:val="00A4398A"/>
    <w:rsid w:val="00A439D0"/>
    <w:rsid w:val="00A43C8C"/>
    <w:rsid w:val="00A43CE7"/>
    <w:rsid w:val="00A441EA"/>
    <w:rsid w:val="00A445EF"/>
    <w:rsid w:val="00A4466A"/>
    <w:rsid w:val="00A44B23"/>
    <w:rsid w:val="00A453F3"/>
    <w:rsid w:val="00A457CD"/>
    <w:rsid w:val="00A46091"/>
    <w:rsid w:val="00A46391"/>
    <w:rsid w:val="00A46CF9"/>
    <w:rsid w:val="00A46D4D"/>
    <w:rsid w:val="00A4768D"/>
    <w:rsid w:val="00A4781D"/>
    <w:rsid w:val="00A50494"/>
    <w:rsid w:val="00A50DA3"/>
    <w:rsid w:val="00A50F89"/>
    <w:rsid w:val="00A513B8"/>
    <w:rsid w:val="00A51441"/>
    <w:rsid w:val="00A51CB7"/>
    <w:rsid w:val="00A51F99"/>
    <w:rsid w:val="00A520F2"/>
    <w:rsid w:val="00A52611"/>
    <w:rsid w:val="00A52DCC"/>
    <w:rsid w:val="00A52DD9"/>
    <w:rsid w:val="00A53144"/>
    <w:rsid w:val="00A53819"/>
    <w:rsid w:val="00A539D6"/>
    <w:rsid w:val="00A53CB5"/>
    <w:rsid w:val="00A53D29"/>
    <w:rsid w:val="00A53E58"/>
    <w:rsid w:val="00A544FE"/>
    <w:rsid w:val="00A54B3A"/>
    <w:rsid w:val="00A54B42"/>
    <w:rsid w:val="00A54D20"/>
    <w:rsid w:val="00A55981"/>
    <w:rsid w:val="00A55D6D"/>
    <w:rsid w:val="00A55FAF"/>
    <w:rsid w:val="00A55FD3"/>
    <w:rsid w:val="00A562B5"/>
    <w:rsid w:val="00A564E8"/>
    <w:rsid w:val="00A568E9"/>
    <w:rsid w:val="00A56EBD"/>
    <w:rsid w:val="00A5756B"/>
    <w:rsid w:val="00A5765C"/>
    <w:rsid w:val="00A60644"/>
    <w:rsid w:val="00A609E3"/>
    <w:rsid w:val="00A60C96"/>
    <w:rsid w:val="00A60D11"/>
    <w:rsid w:val="00A60F2C"/>
    <w:rsid w:val="00A613B1"/>
    <w:rsid w:val="00A62188"/>
    <w:rsid w:val="00A62731"/>
    <w:rsid w:val="00A62C5D"/>
    <w:rsid w:val="00A62CCC"/>
    <w:rsid w:val="00A6386C"/>
    <w:rsid w:val="00A638B5"/>
    <w:rsid w:val="00A63DF9"/>
    <w:rsid w:val="00A64FFD"/>
    <w:rsid w:val="00A6520F"/>
    <w:rsid w:val="00A65845"/>
    <w:rsid w:val="00A65CBE"/>
    <w:rsid w:val="00A66663"/>
    <w:rsid w:val="00A669B8"/>
    <w:rsid w:val="00A66D78"/>
    <w:rsid w:val="00A6706E"/>
    <w:rsid w:val="00A671B2"/>
    <w:rsid w:val="00A671F3"/>
    <w:rsid w:val="00A6733E"/>
    <w:rsid w:val="00A70B34"/>
    <w:rsid w:val="00A70BF9"/>
    <w:rsid w:val="00A71583"/>
    <w:rsid w:val="00A71E6A"/>
    <w:rsid w:val="00A71FEF"/>
    <w:rsid w:val="00A724D9"/>
    <w:rsid w:val="00A72F92"/>
    <w:rsid w:val="00A733D7"/>
    <w:rsid w:val="00A73689"/>
    <w:rsid w:val="00A73B3F"/>
    <w:rsid w:val="00A73ECE"/>
    <w:rsid w:val="00A740A3"/>
    <w:rsid w:val="00A740B0"/>
    <w:rsid w:val="00A74104"/>
    <w:rsid w:val="00A74B08"/>
    <w:rsid w:val="00A74C31"/>
    <w:rsid w:val="00A74F2B"/>
    <w:rsid w:val="00A7535E"/>
    <w:rsid w:val="00A7544B"/>
    <w:rsid w:val="00A7561F"/>
    <w:rsid w:val="00A76542"/>
    <w:rsid w:val="00A768A3"/>
    <w:rsid w:val="00A76A57"/>
    <w:rsid w:val="00A76CA6"/>
    <w:rsid w:val="00A76CB6"/>
    <w:rsid w:val="00A76D6A"/>
    <w:rsid w:val="00A76DEE"/>
    <w:rsid w:val="00A771E7"/>
    <w:rsid w:val="00A7744B"/>
    <w:rsid w:val="00A77522"/>
    <w:rsid w:val="00A77D13"/>
    <w:rsid w:val="00A77F41"/>
    <w:rsid w:val="00A8030D"/>
    <w:rsid w:val="00A804C7"/>
    <w:rsid w:val="00A80650"/>
    <w:rsid w:val="00A80679"/>
    <w:rsid w:val="00A80739"/>
    <w:rsid w:val="00A80819"/>
    <w:rsid w:val="00A80B2F"/>
    <w:rsid w:val="00A810B2"/>
    <w:rsid w:val="00A8136E"/>
    <w:rsid w:val="00A813EC"/>
    <w:rsid w:val="00A815A3"/>
    <w:rsid w:val="00A815C3"/>
    <w:rsid w:val="00A81848"/>
    <w:rsid w:val="00A82313"/>
    <w:rsid w:val="00A823C1"/>
    <w:rsid w:val="00A8247C"/>
    <w:rsid w:val="00A8254C"/>
    <w:rsid w:val="00A82623"/>
    <w:rsid w:val="00A827C4"/>
    <w:rsid w:val="00A829FA"/>
    <w:rsid w:val="00A82A85"/>
    <w:rsid w:val="00A82FF1"/>
    <w:rsid w:val="00A83087"/>
    <w:rsid w:val="00A831AA"/>
    <w:rsid w:val="00A846D6"/>
    <w:rsid w:val="00A846F4"/>
    <w:rsid w:val="00A84B39"/>
    <w:rsid w:val="00A84DFE"/>
    <w:rsid w:val="00A851BD"/>
    <w:rsid w:val="00A85343"/>
    <w:rsid w:val="00A853A3"/>
    <w:rsid w:val="00A85766"/>
    <w:rsid w:val="00A862BF"/>
    <w:rsid w:val="00A862F6"/>
    <w:rsid w:val="00A863B6"/>
    <w:rsid w:val="00A863E0"/>
    <w:rsid w:val="00A86682"/>
    <w:rsid w:val="00A86E9A"/>
    <w:rsid w:val="00A86FBA"/>
    <w:rsid w:val="00A87910"/>
    <w:rsid w:val="00A87B77"/>
    <w:rsid w:val="00A904AC"/>
    <w:rsid w:val="00A90783"/>
    <w:rsid w:val="00A90A42"/>
    <w:rsid w:val="00A9113C"/>
    <w:rsid w:val="00A9146B"/>
    <w:rsid w:val="00A9196A"/>
    <w:rsid w:val="00A92F5F"/>
    <w:rsid w:val="00A9316B"/>
    <w:rsid w:val="00A93C10"/>
    <w:rsid w:val="00A93C32"/>
    <w:rsid w:val="00A93ED0"/>
    <w:rsid w:val="00A93FDF"/>
    <w:rsid w:val="00A943ED"/>
    <w:rsid w:val="00A9478B"/>
    <w:rsid w:val="00A949DB"/>
    <w:rsid w:val="00A95004"/>
    <w:rsid w:val="00A953CC"/>
    <w:rsid w:val="00A95929"/>
    <w:rsid w:val="00A95A83"/>
    <w:rsid w:val="00A95B32"/>
    <w:rsid w:val="00A962A4"/>
    <w:rsid w:val="00A96424"/>
    <w:rsid w:val="00A969BF"/>
    <w:rsid w:val="00A974BB"/>
    <w:rsid w:val="00A97961"/>
    <w:rsid w:val="00A97C59"/>
    <w:rsid w:val="00AA0121"/>
    <w:rsid w:val="00AA0268"/>
    <w:rsid w:val="00AA0E2B"/>
    <w:rsid w:val="00AA0EB9"/>
    <w:rsid w:val="00AA1075"/>
    <w:rsid w:val="00AA1809"/>
    <w:rsid w:val="00AA194B"/>
    <w:rsid w:val="00AA225E"/>
    <w:rsid w:val="00AA2382"/>
    <w:rsid w:val="00AA26AE"/>
    <w:rsid w:val="00AA26CC"/>
    <w:rsid w:val="00AA2E6A"/>
    <w:rsid w:val="00AA2F5A"/>
    <w:rsid w:val="00AA3704"/>
    <w:rsid w:val="00AA390E"/>
    <w:rsid w:val="00AA3E01"/>
    <w:rsid w:val="00AA4242"/>
    <w:rsid w:val="00AA4344"/>
    <w:rsid w:val="00AA4702"/>
    <w:rsid w:val="00AA4899"/>
    <w:rsid w:val="00AA4D13"/>
    <w:rsid w:val="00AA4F2E"/>
    <w:rsid w:val="00AA4FC6"/>
    <w:rsid w:val="00AA5092"/>
    <w:rsid w:val="00AA5911"/>
    <w:rsid w:val="00AA5C21"/>
    <w:rsid w:val="00AA5C4A"/>
    <w:rsid w:val="00AA6367"/>
    <w:rsid w:val="00AA63D2"/>
    <w:rsid w:val="00AA6893"/>
    <w:rsid w:val="00AA6C18"/>
    <w:rsid w:val="00AA72CF"/>
    <w:rsid w:val="00AA7A05"/>
    <w:rsid w:val="00AB015C"/>
    <w:rsid w:val="00AB0569"/>
    <w:rsid w:val="00AB06A2"/>
    <w:rsid w:val="00AB0D93"/>
    <w:rsid w:val="00AB0FF4"/>
    <w:rsid w:val="00AB103B"/>
    <w:rsid w:val="00AB132C"/>
    <w:rsid w:val="00AB152A"/>
    <w:rsid w:val="00AB157E"/>
    <w:rsid w:val="00AB18C2"/>
    <w:rsid w:val="00AB1FFB"/>
    <w:rsid w:val="00AB2031"/>
    <w:rsid w:val="00AB2A29"/>
    <w:rsid w:val="00AB2B11"/>
    <w:rsid w:val="00AB309F"/>
    <w:rsid w:val="00AB33B6"/>
    <w:rsid w:val="00AB3598"/>
    <w:rsid w:val="00AB37BB"/>
    <w:rsid w:val="00AB3E57"/>
    <w:rsid w:val="00AB403C"/>
    <w:rsid w:val="00AB40DD"/>
    <w:rsid w:val="00AB482D"/>
    <w:rsid w:val="00AB4B3A"/>
    <w:rsid w:val="00AB4BE9"/>
    <w:rsid w:val="00AB4DB4"/>
    <w:rsid w:val="00AB4DF7"/>
    <w:rsid w:val="00AB5895"/>
    <w:rsid w:val="00AB5FC2"/>
    <w:rsid w:val="00AB620A"/>
    <w:rsid w:val="00AB641A"/>
    <w:rsid w:val="00AB642E"/>
    <w:rsid w:val="00AB7378"/>
    <w:rsid w:val="00AB743B"/>
    <w:rsid w:val="00AB78CD"/>
    <w:rsid w:val="00AB792A"/>
    <w:rsid w:val="00AB7E72"/>
    <w:rsid w:val="00AC0202"/>
    <w:rsid w:val="00AC0218"/>
    <w:rsid w:val="00AC0DF3"/>
    <w:rsid w:val="00AC1AF7"/>
    <w:rsid w:val="00AC2804"/>
    <w:rsid w:val="00AC29F8"/>
    <w:rsid w:val="00AC2D4C"/>
    <w:rsid w:val="00AC34BD"/>
    <w:rsid w:val="00AC34F4"/>
    <w:rsid w:val="00AC3E8A"/>
    <w:rsid w:val="00AC45AF"/>
    <w:rsid w:val="00AC4921"/>
    <w:rsid w:val="00AC4C0B"/>
    <w:rsid w:val="00AC4E36"/>
    <w:rsid w:val="00AC59C2"/>
    <w:rsid w:val="00AC5A23"/>
    <w:rsid w:val="00AC5BB8"/>
    <w:rsid w:val="00AC60E9"/>
    <w:rsid w:val="00AC75A7"/>
    <w:rsid w:val="00AD00E6"/>
    <w:rsid w:val="00AD0216"/>
    <w:rsid w:val="00AD02AF"/>
    <w:rsid w:val="00AD03CF"/>
    <w:rsid w:val="00AD0493"/>
    <w:rsid w:val="00AD0530"/>
    <w:rsid w:val="00AD055C"/>
    <w:rsid w:val="00AD06C3"/>
    <w:rsid w:val="00AD0911"/>
    <w:rsid w:val="00AD098E"/>
    <w:rsid w:val="00AD1023"/>
    <w:rsid w:val="00AD11D4"/>
    <w:rsid w:val="00AD11FA"/>
    <w:rsid w:val="00AD1204"/>
    <w:rsid w:val="00AD139A"/>
    <w:rsid w:val="00AD14C6"/>
    <w:rsid w:val="00AD15EE"/>
    <w:rsid w:val="00AD173A"/>
    <w:rsid w:val="00AD1E90"/>
    <w:rsid w:val="00AD1F8F"/>
    <w:rsid w:val="00AD283C"/>
    <w:rsid w:val="00AD2AFB"/>
    <w:rsid w:val="00AD2C41"/>
    <w:rsid w:val="00AD2FF3"/>
    <w:rsid w:val="00AD3371"/>
    <w:rsid w:val="00AD550E"/>
    <w:rsid w:val="00AD59B0"/>
    <w:rsid w:val="00AD5F2F"/>
    <w:rsid w:val="00AD658E"/>
    <w:rsid w:val="00AD6E7C"/>
    <w:rsid w:val="00AD752B"/>
    <w:rsid w:val="00AE0A60"/>
    <w:rsid w:val="00AE0FC2"/>
    <w:rsid w:val="00AE1710"/>
    <w:rsid w:val="00AE1A9F"/>
    <w:rsid w:val="00AE1B44"/>
    <w:rsid w:val="00AE1D35"/>
    <w:rsid w:val="00AE1FB1"/>
    <w:rsid w:val="00AE2337"/>
    <w:rsid w:val="00AE27DE"/>
    <w:rsid w:val="00AE2AEE"/>
    <w:rsid w:val="00AE30C8"/>
    <w:rsid w:val="00AE3AC5"/>
    <w:rsid w:val="00AE44C3"/>
    <w:rsid w:val="00AE4B21"/>
    <w:rsid w:val="00AE4F58"/>
    <w:rsid w:val="00AE5C10"/>
    <w:rsid w:val="00AE5D9C"/>
    <w:rsid w:val="00AE5EBB"/>
    <w:rsid w:val="00AE6012"/>
    <w:rsid w:val="00AE68E2"/>
    <w:rsid w:val="00AE6ADF"/>
    <w:rsid w:val="00AE703D"/>
    <w:rsid w:val="00AE7480"/>
    <w:rsid w:val="00AF005D"/>
    <w:rsid w:val="00AF041E"/>
    <w:rsid w:val="00AF04ED"/>
    <w:rsid w:val="00AF0690"/>
    <w:rsid w:val="00AF0787"/>
    <w:rsid w:val="00AF1C33"/>
    <w:rsid w:val="00AF1D7B"/>
    <w:rsid w:val="00AF1F2C"/>
    <w:rsid w:val="00AF215B"/>
    <w:rsid w:val="00AF21E9"/>
    <w:rsid w:val="00AF2397"/>
    <w:rsid w:val="00AF2D3C"/>
    <w:rsid w:val="00AF3309"/>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73D"/>
    <w:rsid w:val="00AF6D72"/>
    <w:rsid w:val="00AF6F55"/>
    <w:rsid w:val="00AF6F57"/>
    <w:rsid w:val="00AF7A9D"/>
    <w:rsid w:val="00B0065B"/>
    <w:rsid w:val="00B00F85"/>
    <w:rsid w:val="00B00FBC"/>
    <w:rsid w:val="00B012F4"/>
    <w:rsid w:val="00B014A4"/>
    <w:rsid w:val="00B014D4"/>
    <w:rsid w:val="00B016B8"/>
    <w:rsid w:val="00B01E79"/>
    <w:rsid w:val="00B01F39"/>
    <w:rsid w:val="00B0200D"/>
    <w:rsid w:val="00B02067"/>
    <w:rsid w:val="00B02B79"/>
    <w:rsid w:val="00B02F3E"/>
    <w:rsid w:val="00B036B1"/>
    <w:rsid w:val="00B03A5D"/>
    <w:rsid w:val="00B03C90"/>
    <w:rsid w:val="00B03F6E"/>
    <w:rsid w:val="00B0409E"/>
    <w:rsid w:val="00B04B93"/>
    <w:rsid w:val="00B04BAD"/>
    <w:rsid w:val="00B054EA"/>
    <w:rsid w:val="00B05852"/>
    <w:rsid w:val="00B0735F"/>
    <w:rsid w:val="00B0746F"/>
    <w:rsid w:val="00B07D7C"/>
    <w:rsid w:val="00B108C5"/>
    <w:rsid w:val="00B110AD"/>
    <w:rsid w:val="00B117C6"/>
    <w:rsid w:val="00B11D5D"/>
    <w:rsid w:val="00B11E41"/>
    <w:rsid w:val="00B11E4E"/>
    <w:rsid w:val="00B12100"/>
    <w:rsid w:val="00B12889"/>
    <w:rsid w:val="00B12AAA"/>
    <w:rsid w:val="00B13141"/>
    <w:rsid w:val="00B131F5"/>
    <w:rsid w:val="00B13276"/>
    <w:rsid w:val="00B13331"/>
    <w:rsid w:val="00B13B7E"/>
    <w:rsid w:val="00B13E4A"/>
    <w:rsid w:val="00B13E87"/>
    <w:rsid w:val="00B141B3"/>
    <w:rsid w:val="00B1424B"/>
    <w:rsid w:val="00B15321"/>
    <w:rsid w:val="00B15452"/>
    <w:rsid w:val="00B1593E"/>
    <w:rsid w:val="00B15ABC"/>
    <w:rsid w:val="00B15EAF"/>
    <w:rsid w:val="00B15F9E"/>
    <w:rsid w:val="00B16A40"/>
    <w:rsid w:val="00B17440"/>
    <w:rsid w:val="00B175B5"/>
    <w:rsid w:val="00B17A42"/>
    <w:rsid w:val="00B17AA5"/>
    <w:rsid w:val="00B17C02"/>
    <w:rsid w:val="00B17D52"/>
    <w:rsid w:val="00B2040C"/>
    <w:rsid w:val="00B2063E"/>
    <w:rsid w:val="00B20F73"/>
    <w:rsid w:val="00B21AA3"/>
    <w:rsid w:val="00B2219C"/>
    <w:rsid w:val="00B2248F"/>
    <w:rsid w:val="00B22644"/>
    <w:rsid w:val="00B22D32"/>
    <w:rsid w:val="00B22E0A"/>
    <w:rsid w:val="00B22E59"/>
    <w:rsid w:val="00B23038"/>
    <w:rsid w:val="00B23337"/>
    <w:rsid w:val="00B2450C"/>
    <w:rsid w:val="00B2467D"/>
    <w:rsid w:val="00B24E89"/>
    <w:rsid w:val="00B25556"/>
    <w:rsid w:val="00B2592F"/>
    <w:rsid w:val="00B25E48"/>
    <w:rsid w:val="00B25E77"/>
    <w:rsid w:val="00B268FB"/>
    <w:rsid w:val="00B26B92"/>
    <w:rsid w:val="00B26C38"/>
    <w:rsid w:val="00B26FEF"/>
    <w:rsid w:val="00B2771D"/>
    <w:rsid w:val="00B279EA"/>
    <w:rsid w:val="00B307F6"/>
    <w:rsid w:val="00B30B52"/>
    <w:rsid w:val="00B30B7E"/>
    <w:rsid w:val="00B30C5F"/>
    <w:rsid w:val="00B30E80"/>
    <w:rsid w:val="00B31069"/>
    <w:rsid w:val="00B3149A"/>
    <w:rsid w:val="00B316D7"/>
    <w:rsid w:val="00B31769"/>
    <w:rsid w:val="00B31901"/>
    <w:rsid w:val="00B31A26"/>
    <w:rsid w:val="00B31EBC"/>
    <w:rsid w:val="00B339AB"/>
    <w:rsid w:val="00B33D3B"/>
    <w:rsid w:val="00B33EFA"/>
    <w:rsid w:val="00B3418B"/>
    <w:rsid w:val="00B35C88"/>
    <w:rsid w:val="00B3642C"/>
    <w:rsid w:val="00B3655A"/>
    <w:rsid w:val="00B36703"/>
    <w:rsid w:val="00B3677B"/>
    <w:rsid w:val="00B368FE"/>
    <w:rsid w:val="00B36AE3"/>
    <w:rsid w:val="00B3745E"/>
    <w:rsid w:val="00B375CF"/>
    <w:rsid w:val="00B37873"/>
    <w:rsid w:val="00B379CF"/>
    <w:rsid w:val="00B40176"/>
    <w:rsid w:val="00B411AC"/>
    <w:rsid w:val="00B414E5"/>
    <w:rsid w:val="00B42B97"/>
    <w:rsid w:val="00B42BC5"/>
    <w:rsid w:val="00B42D26"/>
    <w:rsid w:val="00B42F6B"/>
    <w:rsid w:val="00B431BD"/>
    <w:rsid w:val="00B4325E"/>
    <w:rsid w:val="00B43FEC"/>
    <w:rsid w:val="00B441F3"/>
    <w:rsid w:val="00B44886"/>
    <w:rsid w:val="00B4553B"/>
    <w:rsid w:val="00B4554E"/>
    <w:rsid w:val="00B45904"/>
    <w:rsid w:val="00B45A02"/>
    <w:rsid w:val="00B45C67"/>
    <w:rsid w:val="00B45CF8"/>
    <w:rsid w:val="00B45F54"/>
    <w:rsid w:val="00B46006"/>
    <w:rsid w:val="00B4615D"/>
    <w:rsid w:val="00B4680C"/>
    <w:rsid w:val="00B46B13"/>
    <w:rsid w:val="00B46C25"/>
    <w:rsid w:val="00B47AAB"/>
    <w:rsid w:val="00B5007C"/>
    <w:rsid w:val="00B504DA"/>
    <w:rsid w:val="00B505F4"/>
    <w:rsid w:val="00B5163A"/>
    <w:rsid w:val="00B5173B"/>
    <w:rsid w:val="00B51CED"/>
    <w:rsid w:val="00B5227A"/>
    <w:rsid w:val="00B52317"/>
    <w:rsid w:val="00B52440"/>
    <w:rsid w:val="00B524F2"/>
    <w:rsid w:val="00B525B4"/>
    <w:rsid w:val="00B52661"/>
    <w:rsid w:val="00B5274C"/>
    <w:rsid w:val="00B52A21"/>
    <w:rsid w:val="00B52EA0"/>
    <w:rsid w:val="00B5317B"/>
    <w:rsid w:val="00B534FC"/>
    <w:rsid w:val="00B5359A"/>
    <w:rsid w:val="00B53813"/>
    <w:rsid w:val="00B5390D"/>
    <w:rsid w:val="00B53D00"/>
    <w:rsid w:val="00B53D9A"/>
    <w:rsid w:val="00B53E2E"/>
    <w:rsid w:val="00B54A6B"/>
    <w:rsid w:val="00B55334"/>
    <w:rsid w:val="00B553DE"/>
    <w:rsid w:val="00B5588A"/>
    <w:rsid w:val="00B55B94"/>
    <w:rsid w:val="00B5602E"/>
    <w:rsid w:val="00B5677E"/>
    <w:rsid w:val="00B56F6D"/>
    <w:rsid w:val="00B570EE"/>
    <w:rsid w:val="00B57391"/>
    <w:rsid w:val="00B57791"/>
    <w:rsid w:val="00B57840"/>
    <w:rsid w:val="00B57E69"/>
    <w:rsid w:val="00B6055E"/>
    <w:rsid w:val="00B609A0"/>
    <w:rsid w:val="00B61319"/>
    <w:rsid w:val="00B617B7"/>
    <w:rsid w:val="00B622BB"/>
    <w:rsid w:val="00B622D7"/>
    <w:rsid w:val="00B62687"/>
    <w:rsid w:val="00B627F2"/>
    <w:rsid w:val="00B62B13"/>
    <w:rsid w:val="00B62CAC"/>
    <w:rsid w:val="00B62FA3"/>
    <w:rsid w:val="00B632EE"/>
    <w:rsid w:val="00B637DE"/>
    <w:rsid w:val="00B639BC"/>
    <w:rsid w:val="00B63D0B"/>
    <w:rsid w:val="00B63F83"/>
    <w:rsid w:val="00B645FF"/>
    <w:rsid w:val="00B64646"/>
    <w:rsid w:val="00B64678"/>
    <w:rsid w:val="00B65B3F"/>
    <w:rsid w:val="00B6681A"/>
    <w:rsid w:val="00B668FD"/>
    <w:rsid w:val="00B67146"/>
    <w:rsid w:val="00B6722E"/>
    <w:rsid w:val="00B67607"/>
    <w:rsid w:val="00B67809"/>
    <w:rsid w:val="00B70151"/>
    <w:rsid w:val="00B708B8"/>
    <w:rsid w:val="00B70F0C"/>
    <w:rsid w:val="00B70F0F"/>
    <w:rsid w:val="00B71840"/>
    <w:rsid w:val="00B71B2C"/>
    <w:rsid w:val="00B71CD0"/>
    <w:rsid w:val="00B7216E"/>
    <w:rsid w:val="00B721C1"/>
    <w:rsid w:val="00B722E2"/>
    <w:rsid w:val="00B7237B"/>
    <w:rsid w:val="00B72525"/>
    <w:rsid w:val="00B7295A"/>
    <w:rsid w:val="00B72C53"/>
    <w:rsid w:val="00B72CB5"/>
    <w:rsid w:val="00B73149"/>
    <w:rsid w:val="00B73154"/>
    <w:rsid w:val="00B731FE"/>
    <w:rsid w:val="00B738B5"/>
    <w:rsid w:val="00B73DDF"/>
    <w:rsid w:val="00B73E3F"/>
    <w:rsid w:val="00B7405B"/>
    <w:rsid w:val="00B742B7"/>
    <w:rsid w:val="00B74755"/>
    <w:rsid w:val="00B74A4E"/>
    <w:rsid w:val="00B74B99"/>
    <w:rsid w:val="00B74FFD"/>
    <w:rsid w:val="00B75151"/>
    <w:rsid w:val="00B75217"/>
    <w:rsid w:val="00B75370"/>
    <w:rsid w:val="00B75CA3"/>
    <w:rsid w:val="00B75D76"/>
    <w:rsid w:val="00B76283"/>
    <w:rsid w:val="00B76A77"/>
    <w:rsid w:val="00B775A2"/>
    <w:rsid w:val="00B77823"/>
    <w:rsid w:val="00B77E22"/>
    <w:rsid w:val="00B800A3"/>
    <w:rsid w:val="00B80FE9"/>
    <w:rsid w:val="00B81017"/>
    <w:rsid w:val="00B81147"/>
    <w:rsid w:val="00B815ED"/>
    <w:rsid w:val="00B81CB9"/>
    <w:rsid w:val="00B820CA"/>
    <w:rsid w:val="00B820F0"/>
    <w:rsid w:val="00B826AE"/>
    <w:rsid w:val="00B82CE6"/>
    <w:rsid w:val="00B82DA5"/>
    <w:rsid w:val="00B83046"/>
    <w:rsid w:val="00B8338B"/>
    <w:rsid w:val="00B83C1E"/>
    <w:rsid w:val="00B84198"/>
    <w:rsid w:val="00B85392"/>
    <w:rsid w:val="00B8569B"/>
    <w:rsid w:val="00B85CED"/>
    <w:rsid w:val="00B85D54"/>
    <w:rsid w:val="00B86096"/>
    <w:rsid w:val="00B864B6"/>
    <w:rsid w:val="00B864F6"/>
    <w:rsid w:val="00B86585"/>
    <w:rsid w:val="00B86699"/>
    <w:rsid w:val="00B86BAC"/>
    <w:rsid w:val="00B86F87"/>
    <w:rsid w:val="00B87137"/>
    <w:rsid w:val="00B879C3"/>
    <w:rsid w:val="00B87B03"/>
    <w:rsid w:val="00B87F32"/>
    <w:rsid w:val="00B87F6D"/>
    <w:rsid w:val="00B90146"/>
    <w:rsid w:val="00B908BC"/>
    <w:rsid w:val="00B909E2"/>
    <w:rsid w:val="00B90A53"/>
    <w:rsid w:val="00B90B28"/>
    <w:rsid w:val="00B90E8B"/>
    <w:rsid w:val="00B916FF"/>
    <w:rsid w:val="00B921E4"/>
    <w:rsid w:val="00B92206"/>
    <w:rsid w:val="00B9230F"/>
    <w:rsid w:val="00B92320"/>
    <w:rsid w:val="00B9258C"/>
    <w:rsid w:val="00B92750"/>
    <w:rsid w:val="00B92BC8"/>
    <w:rsid w:val="00B92CDE"/>
    <w:rsid w:val="00B93512"/>
    <w:rsid w:val="00B93521"/>
    <w:rsid w:val="00B937EC"/>
    <w:rsid w:val="00B93A9A"/>
    <w:rsid w:val="00B93D6C"/>
    <w:rsid w:val="00B946D9"/>
    <w:rsid w:val="00B9485D"/>
    <w:rsid w:val="00B94FA7"/>
    <w:rsid w:val="00B9507A"/>
    <w:rsid w:val="00B950A8"/>
    <w:rsid w:val="00B95A41"/>
    <w:rsid w:val="00B95BD2"/>
    <w:rsid w:val="00B96269"/>
    <w:rsid w:val="00B962D3"/>
    <w:rsid w:val="00B96407"/>
    <w:rsid w:val="00B96468"/>
    <w:rsid w:val="00B96D8F"/>
    <w:rsid w:val="00B96FB0"/>
    <w:rsid w:val="00B977D0"/>
    <w:rsid w:val="00B97810"/>
    <w:rsid w:val="00B97BC3"/>
    <w:rsid w:val="00BA001D"/>
    <w:rsid w:val="00BA012F"/>
    <w:rsid w:val="00BA0360"/>
    <w:rsid w:val="00BA12DD"/>
    <w:rsid w:val="00BA155C"/>
    <w:rsid w:val="00BA16DC"/>
    <w:rsid w:val="00BA1C8A"/>
    <w:rsid w:val="00BA1CFA"/>
    <w:rsid w:val="00BA26D9"/>
    <w:rsid w:val="00BA3AC2"/>
    <w:rsid w:val="00BA3CD9"/>
    <w:rsid w:val="00BA3FAE"/>
    <w:rsid w:val="00BA4F09"/>
    <w:rsid w:val="00BA5077"/>
    <w:rsid w:val="00BA5453"/>
    <w:rsid w:val="00BA5B05"/>
    <w:rsid w:val="00BA5C56"/>
    <w:rsid w:val="00BA5D3B"/>
    <w:rsid w:val="00BA6429"/>
    <w:rsid w:val="00BA6738"/>
    <w:rsid w:val="00BA6A70"/>
    <w:rsid w:val="00BA7171"/>
    <w:rsid w:val="00BA745F"/>
    <w:rsid w:val="00BA7796"/>
    <w:rsid w:val="00BA77E9"/>
    <w:rsid w:val="00BA79B5"/>
    <w:rsid w:val="00BB00D2"/>
    <w:rsid w:val="00BB01A4"/>
    <w:rsid w:val="00BB03BF"/>
    <w:rsid w:val="00BB03EC"/>
    <w:rsid w:val="00BB09C9"/>
    <w:rsid w:val="00BB0A89"/>
    <w:rsid w:val="00BB0EE7"/>
    <w:rsid w:val="00BB0F4F"/>
    <w:rsid w:val="00BB1066"/>
    <w:rsid w:val="00BB119F"/>
    <w:rsid w:val="00BB12DF"/>
    <w:rsid w:val="00BB1341"/>
    <w:rsid w:val="00BB1BA7"/>
    <w:rsid w:val="00BB2479"/>
    <w:rsid w:val="00BB2561"/>
    <w:rsid w:val="00BB28ED"/>
    <w:rsid w:val="00BB2A0F"/>
    <w:rsid w:val="00BB355C"/>
    <w:rsid w:val="00BB372C"/>
    <w:rsid w:val="00BB3B82"/>
    <w:rsid w:val="00BB3CDD"/>
    <w:rsid w:val="00BB41C9"/>
    <w:rsid w:val="00BB42EF"/>
    <w:rsid w:val="00BB4350"/>
    <w:rsid w:val="00BB463E"/>
    <w:rsid w:val="00BB46A2"/>
    <w:rsid w:val="00BB4F2C"/>
    <w:rsid w:val="00BB5054"/>
    <w:rsid w:val="00BB521F"/>
    <w:rsid w:val="00BB58F3"/>
    <w:rsid w:val="00BB5CE6"/>
    <w:rsid w:val="00BB6393"/>
    <w:rsid w:val="00BB73FD"/>
    <w:rsid w:val="00BB747A"/>
    <w:rsid w:val="00BB7629"/>
    <w:rsid w:val="00BB77B1"/>
    <w:rsid w:val="00BC002B"/>
    <w:rsid w:val="00BC0195"/>
    <w:rsid w:val="00BC07E6"/>
    <w:rsid w:val="00BC0849"/>
    <w:rsid w:val="00BC1B87"/>
    <w:rsid w:val="00BC1BA9"/>
    <w:rsid w:val="00BC1CB9"/>
    <w:rsid w:val="00BC1DEC"/>
    <w:rsid w:val="00BC2681"/>
    <w:rsid w:val="00BC279E"/>
    <w:rsid w:val="00BC2892"/>
    <w:rsid w:val="00BC2935"/>
    <w:rsid w:val="00BC2D25"/>
    <w:rsid w:val="00BC30C7"/>
    <w:rsid w:val="00BC3D7B"/>
    <w:rsid w:val="00BC40CA"/>
    <w:rsid w:val="00BC41DE"/>
    <w:rsid w:val="00BC4273"/>
    <w:rsid w:val="00BC49AA"/>
    <w:rsid w:val="00BC49B6"/>
    <w:rsid w:val="00BC49C6"/>
    <w:rsid w:val="00BC4E65"/>
    <w:rsid w:val="00BC5110"/>
    <w:rsid w:val="00BC55CC"/>
    <w:rsid w:val="00BC5661"/>
    <w:rsid w:val="00BC586C"/>
    <w:rsid w:val="00BC5964"/>
    <w:rsid w:val="00BC5CD5"/>
    <w:rsid w:val="00BC5E52"/>
    <w:rsid w:val="00BC629F"/>
    <w:rsid w:val="00BC650D"/>
    <w:rsid w:val="00BC6709"/>
    <w:rsid w:val="00BC6776"/>
    <w:rsid w:val="00BC6A4F"/>
    <w:rsid w:val="00BC6CF3"/>
    <w:rsid w:val="00BC7050"/>
    <w:rsid w:val="00BC707F"/>
    <w:rsid w:val="00BC71B2"/>
    <w:rsid w:val="00BC71D2"/>
    <w:rsid w:val="00BC726F"/>
    <w:rsid w:val="00BC7D31"/>
    <w:rsid w:val="00BD006A"/>
    <w:rsid w:val="00BD0933"/>
    <w:rsid w:val="00BD1B09"/>
    <w:rsid w:val="00BD1BB7"/>
    <w:rsid w:val="00BD1F8B"/>
    <w:rsid w:val="00BD202B"/>
    <w:rsid w:val="00BD26ED"/>
    <w:rsid w:val="00BD2908"/>
    <w:rsid w:val="00BD2A0B"/>
    <w:rsid w:val="00BD2A49"/>
    <w:rsid w:val="00BD2ED8"/>
    <w:rsid w:val="00BD3338"/>
    <w:rsid w:val="00BD34BC"/>
    <w:rsid w:val="00BD3DF5"/>
    <w:rsid w:val="00BD40BF"/>
    <w:rsid w:val="00BD46F3"/>
    <w:rsid w:val="00BD4931"/>
    <w:rsid w:val="00BD4BCC"/>
    <w:rsid w:val="00BD5DA6"/>
    <w:rsid w:val="00BD604B"/>
    <w:rsid w:val="00BD6183"/>
    <w:rsid w:val="00BD6591"/>
    <w:rsid w:val="00BD659D"/>
    <w:rsid w:val="00BD6D2D"/>
    <w:rsid w:val="00BD74A7"/>
    <w:rsid w:val="00BD7999"/>
    <w:rsid w:val="00BD7AB6"/>
    <w:rsid w:val="00BD7DE3"/>
    <w:rsid w:val="00BD7E8D"/>
    <w:rsid w:val="00BE010F"/>
    <w:rsid w:val="00BE0882"/>
    <w:rsid w:val="00BE0906"/>
    <w:rsid w:val="00BE0BFF"/>
    <w:rsid w:val="00BE0E0F"/>
    <w:rsid w:val="00BE120F"/>
    <w:rsid w:val="00BE1212"/>
    <w:rsid w:val="00BE180F"/>
    <w:rsid w:val="00BE1B91"/>
    <w:rsid w:val="00BE21A4"/>
    <w:rsid w:val="00BE21E7"/>
    <w:rsid w:val="00BE223F"/>
    <w:rsid w:val="00BE23EF"/>
    <w:rsid w:val="00BE2565"/>
    <w:rsid w:val="00BE25F2"/>
    <w:rsid w:val="00BE2EEF"/>
    <w:rsid w:val="00BE3041"/>
    <w:rsid w:val="00BE3124"/>
    <w:rsid w:val="00BE3B9C"/>
    <w:rsid w:val="00BE3E56"/>
    <w:rsid w:val="00BE417A"/>
    <w:rsid w:val="00BE45EE"/>
    <w:rsid w:val="00BE4764"/>
    <w:rsid w:val="00BE4EB9"/>
    <w:rsid w:val="00BE4F6F"/>
    <w:rsid w:val="00BE502D"/>
    <w:rsid w:val="00BE52EB"/>
    <w:rsid w:val="00BE53FF"/>
    <w:rsid w:val="00BE5571"/>
    <w:rsid w:val="00BE57DB"/>
    <w:rsid w:val="00BE67D3"/>
    <w:rsid w:val="00BE6836"/>
    <w:rsid w:val="00BE6C44"/>
    <w:rsid w:val="00BE6E8C"/>
    <w:rsid w:val="00BE7681"/>
    <w:rsid w:val="00BE7884"/>
    <w:rsid w:val="00BE78B9"/>
    <w:rsid w:val="00BE7A4B"/>
    <w:rsid w:val="00BF04EB"/>
    <w:rsid w:val="00BF0510"/>
    <w:rsid w:val="00BF0518"/>
    <w:rsid w:val="00BF0980"/>
    <w:rsid w:val="00BF09C7"/>
    <w:rsid w:val="00BF0B14"/>
    <w:rsid w:val="00BF0C9F"/>
    <w:rsid w:val="00BF0E98"/>
    <w:rsid w:val="00BF0FD8"/>
    <w:rsid w:val="00BF178F"/>
    <w:rsid w:val="00BF1A35"/>
    <w:rsid w:val="00BF1CCE"/>
    <w:rsid w:val="00BF1E82"/>
    <w:rsid w:val="00BF218F"/>
    <w:rsid w:val="00BF2461"/>
    <w:rsid w:val="00BF24DB"/>
    <w:rsid w:val="00BF25FC"/>
    <w:rsid w:val="00BF2E71"/>
    <w:rsid w:val="00BF3335"/>
    <w:rsid w:val="00BF3340"/>
    <w:rsid w:val="00BF37B3"/>
    <w:rsid w:val="00BF3B2C"/>
    <w:rsid w:val="00BF3E55"/>
    <w:rsid w:val="00BF3E78"/>
    <w:rsid w:val="00BF42B9"/>
    <w:rsid w:val="00BF4654"/>
    <w:rsid w:val="00BF47D6"/>
    <w:rsid w:val="00BF4816"/>
    <w:rsid w:val="00BF4E96"/>
    <w:rsid w:val="00BF4FF6"/>
    <w:rsid w:val="00BF519C"/>
    <w:rsid w:val="00BF5202"/>
    <w:rsid w:val="00BF5528"/>
    <w:rsid w:val="00BF5569"/>
    <w:rsid w:val="00BF6098"/>
    <w:rsid w:val="00BF643B"/>
    <w:rsid w:val="00BF6873"/>
    <w:rsid w:val="00BF6CBD"/>
    <w:rsid w:val="00BF72AB"/>
    <w:rsid w:val="00BF7497"/>
    <w:rsid w:val="00BF75FD"/>
    <w:rsid w:val="00BF7B8A"/>
    <w:rsid w:val="00BF7BC9"/>
    <w:rsid w:val="00BF7F78"/>
    <w:rsid w:val="00C00891"/>
    <w:rsid w:val="00C00986"/>
    <w:rsid w:val="00C00D48"/>
    <w:rsid w:val="00C0100F"/>
    <w:rsid w:val="00C0108D"/>
    <w:rsid w:val="00C017DF"/>
    <w:rsid w:val="00C01F38"/>
    <w:rsid w:val="00C02147"/>
    <w:rsid w:val="00C0216B"/>
    <w:rsid w:val="00C021AE"/>
    <w:rsid w:val="00C0255B"/>
    <w:rsid w:val="00C028E8"/>
    <w:rsid w:val="00C029F2"/>
    <w:rsid w:val="00C03731"/>
    <w:rsid w:val="00C043C9"/>
    <w:rsid w:val="00C04927"/>
    <w:rsid w:val="00C0535A"/>
    <w:rsid w:val="00C05818"/>
    <w:rsid w:val="00C06247"/>
    <w:rsid w:val="00C066CA"/>
    <w:rsid w:val="00C0680B"/>
    <w:rsid w:val="00C06951"/>
    <w:rsid w:val="00C06BE2"/>
    <w:rsid w:val="00C0701C"/>
    <w:rsid w:val="00C07342"/>
    <w:rsid w:val="00C07DCB"/>
    <w:rsid w:val="00C10831"/>
    <w:rsid w:val="00C10CD7"/>
    <w:rsid w:val="00C10F01"/>
    <w:rsid w:val="00C10FCD"/>
    <w:rsid w:val="00C111A1"/>
    <w:rsid w:val="00C12105"/>
    <w:rsid w:val="00C125F5"/>
    <w:rsid w:val="00C126B6"/>
    <w:rsid w:val="00C12759"/>
    <w:rsid w:val="00C12942"/>
    <w:rsid w:val="00C129DE"/>
    <w:rsid w:val="00C12ACC"/>
    <w:rsid w:val="00C12DCE"/>
    <w:rsid w:val="00C13031"/>
    <w:rsid w:val="00C13734"/>
    <w:rsid w:val="00C13D56"/>
    <w:rsid w:val="00C13DD4"/>
    <w:rsid w:val="00C140E0"/>
    <w:rsid w:val="00C145C7"/>
    <w:rsid w:val="00C1537A"/>
    <w:rsid w:val="00C1540A"/>
    <w:rsid w:val="00C1548A"/>
    <w:rsid w:val="00C15FB8"/>
    <w:rsid w:val="00C15FBE"/>
    <w:rsid w:val="00C16672"/>
    <w:rsid w:val="00C168B2"/>
    <w:rsid w:val="00C16B84"/>
    <w:rsid w:val="00C175F2"/>
    <w:rsid w:val="00C17942"/>
    <w:rsid w:val="00C1795B"/>
    <w:rsid w:val="00C179E6"/>
    <w:rsid w:val="00C17B51"/>
    <w:rsid w:val="00C17C40"/>
    <w:rsid w:val="00C17CE1"/>
    <w:rsid w:val="00C20097"/>
    <w:rsid w:val="00C20158"/>
    <w:rsid w:val="00C20369"/>
    <w:rsid w:val="00C20CBA"/>
    <w:rsid w:val="00C20DAE"/>
    <w:rsid w:val="00C210C2"/>
    <w:rsid w:val="00C21146"/>
    <w:rsid w:val="00C2156C"/>
    <w:rsid w:val="00C21A0A"/>
    <w:rsid w:val="00C21E30"/>
    <w:rsid w:val="00C22278"/>
    <w:rsid w:val="00C2245D"/>
    <w:rsid w:val="00C22EEC"/>
    <w:rsid w:val="00C23006"/>
    <w:rsid w:val="00C2300D"/>
    <w:rsid w:val="00C23090"/>
    <w:rsid w:val="00C233FD"/>
    <w:rsid w:val="00C23713"/>
    <w:rsid w:val="00C237EE"/>
    <w:rsid w:val="00C23B06"/>
    <w:rsid w:val="00C23CEB"/>
    <w:rsid w:val="00C23E99"/>
    <w:rsid w:val="00C2404A"/>
    <w:rsid w:val="00C24160"/>
    <w:rsid w:val="00C244D8"/>
    <w:rsid w:val="00C246D6"/>
    <w:rsid w:val="00C25632"/>
    <w:rsid w:val="00C25783"/>
    <w:rsid w:val="00C25D61"/>
    <w:rsid w:val="00C25F3D"/>
    <w:rsid w:val="00C25F7F"/>
    <w:rsid w:val="00C26929"/>
    <w:rsid w:val="00C269F2"/>
    <w:rsid w:val="00C26BB6"/>
    <w:rsid w:val="00C2719C"/>
    <w:rsid w:val="00C27466"/>
    <w:rsid w:val="00C27C9F"/>
    <w:rsid w:val="00C307FE"/>
    <w:rsid w:val="00C30A93"/>
    <w:rsid w:val="00C30ABC"/>
    <w:rsid w:val="00C30B7F"/>
    <w:rsid w:val="00C30C0A"/>
    <w:rsid w:val="00C31EE5"/>
    <w:rsid w:val="00C322C9"/>
    <w:rsid w:val="00C322E5"/>
    <w:rsid w:val="00C32E68"/>
    <w:rsid w:val="00C3312E"/>
    <w:rsid w:val="00C33749"/>
    <w:rsid w:val="00C33797"/>
    <w:rsid w:val="00C33B9A"/>
    <w:rsid w:val="00C3474B"/>
    <w:rsid w:val="00C34A6C"/>
    <w:rsid w:val="00C34AAE"/>
    <w:rsid w:val="00C34B7B"/>
    <w:rsid w:val="00C34C62"/>
    <w:rsid w:val="00C358B7"/>
    <w:rsid w:val="00C35AC4"/>
    <w:rsid w:val="00C35AED"/>
    <w:rsid w:val="00C35B58"/>
    <w:rsid w:val="00C35E80"/>
    <w:rsid w:val="00C35EF2"/>
    <w:rsid w:val="00C35FA6"/>
    <w:rsid w:val="00C364C5"/>
    <w:rsid w:val="00C36739"/>
    <w:rsid w:val="00C3685E"/>
    <w:rsid w:val="00C36F1C"/>
    <w:rsid w:val="00C370E9"/>
    <w:rsid w:val="00C37A99"/>
    <w:rsid w:val="00C37F12"/>
    <w:rsid w:val="00C37F2D"/>
    <w:rsid w:val="00C400D0"/>
    <w:rsid w:val="00C40489"/>
    <w:rsid w:val="00C40D00"/>
    <w:rsid w:val="00C40EE7"/>
    <w:rsid w:val="00C413CB"/>
    <w:rsid w:val="00C41460"/>
    <w:rsid w:val="00C41B33"/>
    <w:rsid w:val="00C41C47"/>
    <w:rsid w:val="00C41F3C"/>
    <w:rsid w:val="00C42834"/>
    <w:rsid w:val="00C42912"/>
    <w:rsid w:val="00C42A1F"/>
    <w:rsid w:val="00C42B0F"/>
    <w:rsid w:val="00C42B2F"/>
    <w:rsid w:val="00C43711"/>
    <w:rsid w:val="00C43A0A"/>
    <w:rsid w:val="00C43BFE"/>
    <w:rsid w:val="00C43DE6"/>
    <w:rsid w:val="00C43FA6"/>
    <w:rsid w:val="00C44018"/>
    <w:rsid w:val="00C44050"/>
    <w:rsid w:val="00C442B6"/>
    <w:rsid w:val="00C45077"/>
    <w:rsid w:val="00C4526D"/>
    <w:rsid w:val="00C454D4"/>
    <w:rsid w:val="00C45545"/>
    <w:rsid w:val="00C45B73"/>
    <w:rsid w:val="00C45C2F"/>
    <w:rsid w:val="00C45F38"/>
    <w:rsid w:val="00C4608B"/>
    <w:rsid w:val="00C46AF2"/>
    <w:rsid w:val="00C46EB8"/>
    <w:rsid w:val="00C47193"/>
    <w:rsid w:val="00C471B9"/>
    <w:rsid w:val="00C472B7"/>
    <w:rsid w:val="00C47993"/>
    <w:rsid w:val="00C47C63"/>
    <w:rsid w:val="00C50262"/>
    <w:rsid w:val="00C508C5"/>
    <w:rsid w:val="00C508C6"/>
    <w:rsid w:val="00C50AB2"/>
    <w:rsid w:val="00C50C30"/>
    <w:rsid w:val="00C510A7"/>
    <w:rsid w:val="00C513A8"/>
    <w:rsid w:val="00C5172F"/>
    <w:rsid w:val="00C51B4B"/>
    <w:rsid w:val="00C51DB6"/>
    <w:rsid w:val="00C51FDE"/>
    <w:rsid w:val="00C52079"/>
    <w:rsid w:val="00C52676"/>
    <w:rsid w:val="00C53460"/>
    <w:rsid w:val="00C5393E"/>
    <w:rsid w:val="00C53977"/>
    <w:rsid w:val="00C53DCD"/>
    <w:rsid w:val="00C5409B"/>
    <w:rsid w:val="00C54BEA"/>
    <w:rsid w:val="00C54D15"/>
    <w:rsid w:val="00C54FE0"/>
    <w:rsid w:val="00C55629"/>
    <w:rsid w:val="00C55713"/>
    <w:rsid w:val="00C55BEB"/>
    <w:rsid w:val="00C564CB"/>
    <w:rsid w:val="00C568EE"/>
    <w:rsid w:val="00C56C9D"/>
    <w:rsid w:val="00C56CE0"/>
    <w:rsid w:val="00C57377"/>
    <w:rsid w:val="00C574BF"/>
    <w:rsid w:val="00C5758D"/>
    <w:rsid w:val="00C575D8"/>
    <w:rsid w:val="00C5763C"/>
    <w:rsid w:val="00C604D4"/>
    <w:rsid w:val="00C604DC"/>
    <w:rsid w:val="00C60556"/>
    <w:rsid w:val="00C609ED"/>
    <w:rsid w:val="00C60AF3"/>
    <w:rsid w:val="00C60B5C"/>
    <w:rsid w:val="00C60B8C"/>
    <w:rsid w:val="00C60BCA"/>
    <w:rsid w:val="00C60CD5"/>
    <w:rsid w:val="00C610A7"/>
    <w:rsid w:val="00C6163F"/>
    <w:rsid w:val="00C61F65"/>
    <w:rsid w:val="00C62028"/>
    <w:rsid w:val="00C6231D"/>
    <w:rsid w:val="00C62D85"/>
    <w:rsid w:val="00C63094"/>
    <w:rsid w:val="00C635F3"/>
    <w:rsid w:val="00C6376A"/>
    <w:rsid w:val="00C63F92"/>
    <w:rsid w:val="00C646DB"/>
    <w:rsid w:val="00C64FA6"/>
    <w:rsid w:val="00C64FBF"/>
    <w:rsid w:val="00C6545D"/>
    <w:rsid w:val="00C65585"/>
    <w:rsid w:val="00C656B5"/>
    <w:rsid w:val="00C65930"/>
    <w:rsid w:val="00C65A63"/>
    <w:rsid w:val="00C65A98"/>
    <w:rsid w:val="00C65C6C"/>
    <w:rsid w:val="00C65F4D"/>
    <w:rsid w:val="00C65FBD"/>
    <w:rsid w:val="00C67146"/>
    <w:rsid w:val="00C671CC"/>
    <w:rsid w:val="00C67501"/>
    <w:rsid w:val="00C67758"/>
    <w:rsid w:val="00C67AAB"/>
    <w:rsid w:val="00C70082"/>
    <w:rsid w:val="00C70250"/>
    <w:rsid w:val="00C707EA"/>
    <w:rsid w:val="00C70A5C"/>
    <w:rsid w:val="00C70BC8"/>
    <w:rsid w:val="00C70BFA"/>
    <w:rsid w:val="00C71975"/>
    <w:rsid w:val="00C71CC7"/>
    <w:rsid w:val="00C71D5D"/>
    <w:rsid w:val="00C72141"/>
    <w:rsid w:val="00C72554"/>
    <w:rsid w:val="00C72AC5"/>
    <w:rsid w:val="00C72B46"/>
    <w:rsid w:val="00C72C64"/>
    <w:rsid w:val="00C7325E"/>
    <w:rsid w:val="00C735B9"/>
    <w:rsid w:val="00C7452A"/>
    <w:rsid w:val="00C749C9"/>
    <w:rsid w:val="00C74C29"/>
    <w:rsid w:val="00C75284"/>
    <w:rsid w:val="00C75518"/>
    <w:rsid w:val="00C75896"/>
    <w:rsid w:val="00C76C8D"/>
    <w:rsid w:val="00C76C9E"/>
    <w:rsid w:val="00C76EAE"/>
    <w:rsid w:val="00C7714F"/>
    <w:rsid w:val="00C77152"/>
    <w:rsid w:val="00C77366"/>
    <w:rsid w:val="00C77A33"/>
    <w:rsid w:val="00C77B1D"/>
    <w:rsid w:val="00C8041C"/>
    <w:rsid w:val="00C80588"/>
    <w:rsid w:val="00C8078B"/>
    <w:rsid w:val="00C8106E"/>
    <w:rsid w:val="00C81B61"/>
    <w:rsid w:val="00C8234F"/>
    <w:rsid w:val="00C826BE"/>
    <w:rsid w:val="00C827B4"/>
    <w:rsid w:val="00C82D1F"/>
    <w:rsid w:val="00C82E46"/>
    <w:rsid w:val="00C833D1"/>
    <w:rsid w:val="00C834F0"/>
    <w:rsid w:val="00C83644"/>
    <w:rsid w:val="00C8390E"/>
    <w:rsid w:val="00C8396A"/>
    <w:rsid w:val="00C83AF2"/>
    <w:rsid w:val="00C83B15"/>
    <w:rsid w:val="00C84247"/>
    <w:rsid w:val="00C84696"/>
    <w:rsid w:val="00C8496A"/>
    <w:rsid w:val="00C8501B"/>
    <w:rsid w:val="00C85A2E"/>
    <w:rsid w:val="00C85DC3"/>
    <w:rsid w:val="00C861A6"/>
    <w:rsid w:val="00C8670F"/>
    <w:rsid w:val="00C86950"/>
    <w:rsid w:val="00C86CC9"/>
    <w:rsid w:val="00C86D52"/>
    <w:rsid w:val="00C86FD9"/>
    <w:rsid w:val="00C8717D"/>
    <w:rsid w:val="00C872E1"/>
    <w:rsid w:val="00C876B2"/>
    <w:rsid w:val="00C87876"/>
    <w:rsid w:val="00C87A3F"/>
    <w:rsid w:val="00C90135"/>
    <w:rsid w:val="00C90337"/>
    <w:rsid w:val="00C90428"/>
    <w:rsid w:val="00C904D6"/>
    <w:rsid w:val="00C905C7"/>
    <w:rsid w:val="00C915D6"/>
    <w:rsid w:val="00C91A09"/>
    <w:rsid w:val="00C92332"/>
    <w:rsid w:val="00C92804"/>
    <w:rsid w:val="00C92CCE"/>
    <w:rsid w:val="00C9320F"/>
    <w:rsid w:val="00C93EFA"/>
    <w:rsid w:val="00C9412E"/>
    <w:rsid w:val="00C94657"/>
    <w:rsid w:val="00C94955"/>
    <w:rsid w:val="00C94A94"/>
    <w:rsid w:val="00C94D7A"/>
    <w:rsid w:val="00C950E1"/>
    <w:rsid w:val="00C95800"/>
    <w:rsid w:val="00C959DF"/>
    <w:rsid w:val="00C95AE1"/>
    <w:rsid w:val="00C95EBC"/>
    <w:rsid w:val="00C961B3"/>
    <w:rsid w:val="00C96C86"/>
    <w:rsid w:val="00C96DF2"/>
    <w:rsid w:val="00C97017"/>
    <w:rsid w:val="00C97183"/>
    <w:rsid w:val="00C97283"/>
    <w:rsid w:val="00C97427"/>
    <w:rsid w:val="00C979C5"/>
    <w:rsid w:val="00C97F8D"/>
    <w:rsid w:val="00CA00D8"/>
    <w:rsid w:val="00CA05B3"/>
    <w:rsid w:val="00CA0830"/>
    <w:rsid w:val="00CA0DB9"/>
    <w:rsid w:val="00CA1DD8"/>
    <w:rsid w:val="00CA22B3"/>
    <w:rsid w:val="00CA2AE1"/>
    <w:rsid w:val="00CA2AE8"/>
    <w:rsid w:val="00CA2AFC"/>
    <w:rsid w:val="00CA2C80"/>
    <w:rsid w:val="00CA2DCD"/>
    <w:rsid w:val="00CA2F8A"/>
    <w:rsid w:val="00CA3138"/>
    <w:rsid w:val="00CA3F97"/>
    <w:rsid w:val="00CA3FF1"/>
    <w:rsid w:val="00CA467D"/>
    <w:rsid w:val="00CA47C7"/>
    <w:rsid w:val="00CA48A3"/>
    <w:rsid w:val="00CA4D54"/>
    <w:rsid w:val="00CA4D76"/>
    <w:rsid w:val="00CA4F92"/>
    <w:rsid w:val="00CA4FD1"/>
    <w:rsid w:val="00CA5666"/>
    <w:rsid w:val="00CA690C"/>
    <w:rsid w:val="00CA6943"/>
    <w:rsid w:val="00CA6D9D"/>
    <w:rsid w:val="00CA7297"/>
    <w:rsid w:val="00CA796E"/>
    <w:rsid w:val="00CA7A89"/>
    <w:rsid w:val="00CA7BFC"/>
    <w:rsid w:val="00CA7CD5"/>
    <w:rsid w:val="00CA7E99"/>
    <w:rsid w:val="00CB00C6"/>
    <w:rsid w:val="00CB017E"/>
    <w:rsid w:val="00CB0684"/>
    <w:rsid w:val="00CB0AAA"/>
    <w:rsid w:val="00CB10C9"/>
    <w:rsid w:val="00CB12EE"/>
    <w:rsid w:val="00CB1517"/>
    <w:rsid w:val="00CB1935"/>
    <w:rsid w:val="00CB1DC2"/>
    <w:rsid w:val="00CB1EDC"/>
    <w:rsid w:val="00CB217A"/>
    <w:rsid w:val="00CB2680"/>
    <w:rsid w:val="00CB2A18"/>
    <w:rsid w:val="00CB2AAC"/>
    <w:rsid w:val="00CB3139"/>
    <w:rsid w:val="00CB3248"/>
    <w:rsid w:val="00CB3756"/>
    <w:rsid w:val="00CB3C23"/>
    <w:rsid w:val="00CB3CCE"/>
    <w:rsid w:val="00CB3E76"/>
    <w:rsid w:val="00CB419E"/>
    <w:rsid w:val="00CB4273"/>
    <w:rsid w:val="00CB4A37"/>
    <w:rsid w:val="00CB4BC2"/>
    <w:rsid w:val="00CB4DFE"/>
    <w:rsid w:val="00CB50D4"/>
    <w:rsid w:val="00CB5220"/>
    <w:rsid w:val="00CB52DB"/>
    <w:rsid w:val="00CB5EBF"/>
    <w:rsid w:val="00CB5F6C"/>
    <w:rsid w:val="00CB5FB2"/>
    <w:rsid w:val="00CB60BC"/>
    <w:rsid w:val="00CB6454"/>
    <w:rsid w:val="00CB6824"/>
    <w:rsid w:val="00CB68F4"/>
    <w:rsid w:val="00CB6A1F"/>
    <w:rsid w:val="00CB6DC2"/>
    <w:rsid w:val="00CB71EB"/>
    <w:rsid w:val="00CB750F"/>
    <w:rsid w:val="00CB7D73"/>
    <w:rsid w:val="00CB7E15"/>
    <w:rsid w:val="00CC028B"/>
    <w:rsid w:val="00CC0B03"/>
    <w:rsid w:val="00CC10F9"/>
    <w:rsid w:val="00CC11DD"/>
    <w:rsid w:val="00CC12A1"/>
    <w:rsid w:val="00CC195C"/>
    <w:rsid w:val="00CC2112"/>
    <w:rsid w:val="00CC2638"/>
    <w:rsid w:val="00CC296B"/>
    <w:rsid w:val="00CC2CC9"/>
    <w:rsid w:val="00CC2E9D"/>
    <w:rsid w:val="00CC32F9"/>
    <w:rsid w:val="00CC342D"/>
    <w:rsid w:val="00CC369B"/>
    <w:rsid w:val="00CC3BDB"/>
    <w:rsid w:val="00CC40EB"/>
    <w:rsid w:val="00CC41DD"/>
    <w:rsid w:val="00CC46AA"/>
    <w:rsid w:val="00CC4D5B"/>
    <w:rsid w:val="00CC50EA"/>
    <w:rsid w:val="00CC51E8"/>
    <w:rsid w:val="00CC542B"/>
    <w:rsid w:val="00CC5665"/>
    <w:rsid w:val="00CC5A69"/>
    <w:rsid w:val="00CC66D7"/>
    <w:rsid w:val="00CC6C7B"/>
    <w:rsid w:val="00CC71AB"/>
    <w:rsid w:val="00CC7C47"/>
    <w:rsid w:val="00CD0059"/>
    <w:rsid w:val="00CD0D77"/>
    <w:rsid w:val="00CD0FB3"/>
    <w:rsid w:val="00CD139C"/>
    <w:rsid w:val="00CD16D7"/>
    <w:rsid w:val="00CD1B95"/>
    <w:rsid w:val="00CD1BDF"/>
    <w:rsid w:val="00CD1E04"/>
    <w:rsid w:val="00CD25F6"/>
    <w:rsid w:val="00CD2B5B"/>
    <w:rsid w:val="00CD34C3"/>
    <w:rsid w:val="00CD3593"/>
    <w:rsid w:val="00CD3604"/>
    <w:rsid w:val="00CD3909"/>
    <w:rsid w:val="00CD3D02"/>
    <w:rsid w:val="00CD435D"/>
    <w:rsid w:val="00CD498F"/>
    <w:rsid w:val="00CD4B8D"/>
    <w:rsid w:val="00CD4C5A"/>
    <w:rsid w:val="00CD550C"/>
    <w:rsid w:val="00CD5CB0"/>
    <w:rsid w:val="00CD5E5D"/>
    <w:rsid w:val="00CD605C"/>
    <w:rsid w:val="00CD61CB"/>
    <w:rsid w:val="00CD62C6"/>
    <w:rsid w:val="00CD684E"/>
    <w:rsid w:val="00CD6896"/>
    <w:rsid w:val="00CD68F9"/>
    <w:rsid w:val="00CD6B8F"/>
    <w:rsid w:val="00CD6BD0"/>
    <w:rsid w:val="00CD6F3E"/>
    <w:rsid w:val="00CD77EA"/>
    <w:rsid w:val="00CD7BC0"/>
    <w:rsid w:val="00CE09C2"/>
    <w:rsid w:val="00CE0A59"/>
    <w:rsid w:val="00CE0A63"/>
    <w:rsid w:val="00CE0B00"/>
    <w:rsid w:val="00CE0D8E"/>
    <w:rsid w:val="00CE0E56"/>
    <w:rsid w:val="00CE10A4"/>
    <w:rsid w:val="00CE17DD"/>
    <w:rsid w:val="00CE1A52"/>
    <w:rsid w:val="00CE1FF3"/>
    <w:rsid w:val="00CE2016"/>
    <w:rsid w:val="00CE219F"/>
    <w:rsid w:val="00CE2FF0"/>
    <w:rsid w:val="00CE3773"/>
    <w:rsid w:val="00CE393D"/>
    <w:rsid w:val="00CE4780"/>
    <w:rsid w:val="00CE4AD9"/>
    <w:rsid w:val="00CE5087"/>
    <w:rsid w:val="00CE524E"/>
    <w:rsid w:val="00CE5BC9"/>
    <w:rsid w:val="00CE6922"/>
    <w:rsid w:val="00CE7038"/>
    <w:rsid w:val="00CE720B"/>
    <w:rsid w:val="00CE7505"/>
    <w:rsid w:val="00CE7642"/>
    <w:rsid w:val="00CE7927"/>
    <w:rsid w:val="00CE79F3"/>
    <w:rsid w:val="00CE7DBA"/>
    <w:rsid w:val="00CF05D5"/>
    <w:rsid w:val="00CF0E55"/>
    <w:rsid w:val="00CF0FBD"/>
    <w:rsid w:val="00CF18D2"/>
    <w:rsid w:val="00CF1941"/>
    <w:rsid w:val="00CF255F"/>
    <w:rsid w:val="00CF294E"/>
    <w:rsid w:val="00CF29B6"/>
    <w:rsid w:val="00CF2A1A"/>
    <w:rsid w:val="00CF2C34"/>
    <w:rsid w:val="00CF3019"/>
    <w:rsid w:val="00CF3446"/>
    <w:rsid w:val="00CF3507"/>
    <w:rsid w:val="00CF3526"/>
    <w:rsid w:val="00CF3E93"/>
    <w:rsid w:val="00CF4C48"/>
    <w:rsid w:val="00CF5012"/>
    <w:rsid w:val="00CF5AA9"/>
    <w:rsid w:val="00CF6467"/>
    <w:rsid w:val="00CF6AB4"/>
    <w:rsid w:val="00CF6BD3"/>
    <w:rsid w:val="00CF722A"/>
    <w:rsid w:val="00CF739C"/>
    <w:rsid w:val="00CF7455"/>
    <w:rsid w:val="00CF74C0"/>
    <w:rsid w:val="00CF7630"/>
    <w:rsid w:val="00CF7788"/>
    <w:rsid w:val="00CF7BBE"/>
    <w:rsid w:val="00CF7FE3"/>
    <w:rsid w:val="00D00D87"/>
    <w:rsid w:val="00D02619"/>
    <w:rsid w:val="00D02945"/>
    <w:rsid w:val="00D02B57"/>
    <w:rsid w:val="00D02CE3"/>
    <w:rsid w:val="00D02FB0"/>
    <w:rsid w:val="00D030C4"/>
    <w:rsid w:val="00D031BD"/>
    <w:rsid w:val="00D032E1"/>
    <w:rsid w:val="00D033A4"/>
    <w:rsid w:val="00D036D7"/>
    <w:rsid w:val="00D04478"/>
    <w:rsid w:val="00D04546"/>
    <w:rsid w:val="00D046B5"/>
    <w:rsid w:val="00D04A4E"/>
    <w:rsid w:val="00D04AE8"/>
    <w:rsid w:val="00D04D2B"/>
    <w:rsid w:val="00D052AB"/>
    <w:rsid w:val="00D0533D"/>
    <w:rsid w:val="00D054DD"/>
    <w:rsid w:val="00D055A9"/>
    <w:rsid w:val="00D05BF2"/>
    <w:rsid w:val="00D05C53"/>
    <w:rsid w:val="00D061B4"/>
    <w:rsid w:val="00D0637F"/>
    <w:rsid w:val="00D06785"/>
    <w:rsid w:val="00D067B0"/>
    <w:rsid w:val="00D06E20"/>
    <w:rsid w:val="00D07037"/>
    <w:rsid w:val="00D076BB"/>
    <w:rsid w:val="00D07744"/>
    <w:rsid w:val="00D077F3"/>
    <w:rsid w:val="00D10061"/>
    <w:rsid w:val="00D10142"/>
    <w:rsid w:val="00D101FA"/>
    <w:rsid w:val="00D104DD"/>
    <w:rsid w:val="00D104E3"/>
    <w:rsid w:val="00D10A4D"/>
    <w:rsid w:val="00D10C04"/>
    <w:rsid w:val="00D11784"/>
    <w:rsid w:val="00D11C2D"/>
    <w:rsid w:val="00D120DA"/>
    <w:rsid w:val="00D121FA"/>
    <w:rsid w:val="00D1272F"/>
    <w:rsid w:val="00D12FC5"/>
    <w:rsid w:val="00D13021"/>
    <w:rsid w:val="00D13483"/>
    <w:rsid w:val="00D136D6"/>
    <w:rsid w:val="00D13B7E"/>
    <w:rsid w:val="00D13E64"/>
    <w:rsid w:val="00D13FFE"/>
    <w:rsid w:val="00D146D3"/>
    <w:rsid w:val="00D14F87"/>
    <w:rsid w:val="00D1526E"/>
    <w:rsid w:val="00D158D8"/>
    <w:rsid w:val="00D160B8"/>
    <w:rsid w:val="00D163FC"/>
    <w:rsid w:val="00D164A3"/>
    <w:rsid w:val="00D164D6"/>
    <w:rsid w:val="00D165C4"/>
    <w:rsid w:val="00D166DA"/>
    <w:rsid w:val="00D16862"/>
    <w:rsid w:val="00D16C91"/>
    <w:rsid w:val="00D16D44"/>
    <w:rsid w:val="00D16EAF"/>
    <w:rsid w:val="00D170CB"/>
    <w:rsid w:val="00D171B2"/>
    <w:rsid w:val="00D17354"/>
    <w:rsid w:val="00D174FE"/>
    <w:rsid w:val="00D1763A"/>
    <w:rsid w:val="00D17A79"/>
    <w:rsid w:val="00D17AF1"/>
    <w:rsid w:val="00D17DAC"/>
    <w:rsid w:val="00D17F9C"/>
    <w:rsid w:val="00D202C5"/>
    <w:rsid w:val="00D20700"/>
    <w:rsid w:val="00D20CE4"/>
    <w:rsid w:val="00D20FD4"/>
    <w:rsid w:val="00D21187"/>
    <w:rsid w:val="00D21253"/>
    <w:rsid w:val="00D212BF"/>
    <w:rsid w:val="00D2131D"/>
    <w:rsid w:val="00D214DE"/>
    <w:rsid w:val="00D21523"/>
    <w:rsid w:val="00D21810"/>
    <w:rsid w:val="00D219CE"/>
    <w:rsid w:val="00D222F3"/>
    <w:rsid w:val="00D23263"/>
    <w:rsid w:val="00D2343F"/>
    <w:rsid w:val="00D2345B"/>
    <w:rsid w:val="00D237E2"/>
    <w:rsid w:val="00D23A6F"/>
    <w:rsid w:val="00D23C35"/>
    <w:rsid w:val="00D24145"/>
    <w:rsid w:val="00D24191"/>
    <w:rsid w:val="00D2461D"/>
    <w:rsid w:val="00D24665"/>
    <w:rsid w:val="00D2467B"/>
    <w:rsid w:val="00D2483C"/>
    <w:rsid w:val="00D24D8C"/>
    <w:rsid w:val="00D2501F"/>
    <w:rsid w:val="00D25307"/>
    <w:rsid w:val="00D2539C"/>
    <w:rsid w:val="00D254E9"/>
    <w:rsid w:val="00D255CF"/>
    <w:rsid w:val="00D255ED"/>
    <w:rsid w:val="00D262B1"/>
    <w:rsid w:val="00D2678E"/>
    <w:rsid w:val="00D26863"/>
    <w:rsid w:val="00D2694C"/>
    <w:rsid w:val="00D26F57"/>
    <w:rsid w:val="00D271C9"/>
    <w:rsid w:val="00D272A2"/>
    <w:rsid w:val="00D276BB"/>
    <w:rsid w:val="00D27853"/>
    <w:rsid w:val="00D301A2"/>
    <w:rsid w:val="00D304E0"/>
    <w:rsid w:val="00D30A13"/>
    <w:rsid w:val="00D30AE0"/>
    <w:rsid w:val="00D310AE"/>
    <w:rsid w:val="00D31763"/>
    <w:rsid w:val="00D32155"/>
    <w:rsid w:val="00D3239C"/>
    <w:rsid w:val="00D3255F"/>
    <w:rsid w:val="00D3296E"/>
    <w:rsid w:val="00D32B2F"/>
    <w:rsid w:val="00D32EF4"/>
    <w:rsid w:val="00D3307C"/>
    <w:rsid w:val="00D33199"/>
    <w:rsid w:val="00D331A9"/>
    <w:rsid w:val="00D331F1"/>
    <w:rsid w:val="00D33581"/>
    <w:rsid w:val="00D33AC0"/>
    <w:rsid w:val="00D34313"/>
    <w:rsid w:val="00D3434A"/>
    <w:rsid w:val="00D34379"/>
    <w:rsid w:val="00D34FB1"/>
    <w:rsid w:val="00D34FBD"/>
    <w:rsid w:val="00D350AF"/>
    <w:rsid w:val="00D358BB"/>
    <w:rsid w:val="00D36107"/>
    <w:rsid w:val="00D36A87"/>
    <w:rsid w:val="00D37058"/>
    <w:rsid w:val="00D376CF"/>
    <w:rsid w:val="00D37785"/>
    <w:rsid w:val="00D37BDE"/>
    <w:rsid w:val="00D37F37"/>
    <w:rsid w:val="00D400D0"/>
    <w:rsid w:val="00D40B8D"/>
    <w:rsid w:val="00D40D1B"/>
    <w:rsid w:val="00D41040"/>
    <w:rsid w:val="00D411B3"/>
    <w:rsid w:val="00D413EC"/>
    <w:rsid w:val="00D41BDF"/>
    <w:rsid w:val="00D41C99"/>
    <w:rsid w:val="00D41D11"/>
    <w:rsid w:val="00D41E44"/>
    <w:rsid w:val="00D42591"/>
    <w:rsid w:val="00D42E71"/>
    <w:rsid w:val="00D4312C"/>
    <w:rsid w:val="00D433C8"/>
    <w:rsid w:val="00D4421B"/>
    <w:rsid w:val="00D447BF"/>
    <w:rsid w:val="00D45E05"/>
    <w:rsid w:val="00D45F34"/>
    <w:rsid w:val="00D462E4"/>
    <w:rsid w:val="00D467FA"/>
    <w:rsid w:val="00D4689C"/>
    <w:rsid w:val="00D472FC"/>
    <w:rsid w:val="00D47C64"/>
    <w:rsid w:val="00D50510"/>
    <w:rsid w:val="00D508D0"/>
    <w:rsid w:val="00D50DED"/>
    <w:rsid w:val="00D50ECC"/>
    <w:rsid w:val="00D50F36"/>
    <w:rsid w:val="00D511DD"/>
    <w:rsid w:val="00D514FE"/>
    <w:rsid w:val="00D516AB"/>
    <w:rsid w:val="00D518CF"/>
    <w:rsid w:val="00D51D27"/>
    <w:rsid w:val="00D51E95"/>
    <w:rsid w:val="00D5219F"/>
    <w:rsid w:val="00D52398"/>
    <w:rsid w:val="00D5282D"/>
    <w:rsid w:val="00D52E71"/>
    <w:rsid w:val="00D53589"/>
    <w:rsid w:val="00D5380F"/>
    <w:rsid w:val="00D53815"/>
    <w:rsid w:val="00D540FA"/>
    <w:rsid w:val="00D54599"/>
    <w:rsid w:val="00D54A66"/>
    <w:rsid w:val="00D54CEC"/>
    <w:rsid w:val="00D54D41"/>
    <w:rsid w:val="00D54DED"/>
    <w:rsid w:val="00D551FD"/>
    <w:rsid w:val="00D5521B"/>
    <w:rsid w:val="00D55561"/>
    <w:rsid w:val="00D55763"/>
    <w:rsid w:val="00D55CAA"/>
    <w:rsid w:val="00D55CED"/>
    <w:rsid w:val="00D56A30"/>
    <w:rsid w:val="00D56CA6"/>
    <w:rsid w:val="00D57A4B"/>
    <w:rsid w:val="00D57A61"/>
    <w:rsid w:val="00D57C03"/>
    <w:rsid w:val="00D60077"/>
    <w:rsid w:val="00D601E6"/>
    <w:rsid w:val="00D60296"/>
    <w:rsid w:val="00D60DE4"/>
    <w:rsid w:val="00D60E3E"/>
    <w:rsid w:val="00D6125B"/>
    <w:rsid w:val="00D61583"/>
    <w:rsid w:val="00D61F26"/>
    <w:rsid w:val="00D61F49"/>
    <w:rsid w:val="00D6224C"/>
    <w:rsid w:val="00D622F2"/>
    <w:rsid w:val="00D62941"/>
    <w:rsid w:val="00D634B7"/>
    <w:rsid w:val="00D635A7"/>
    <w:rsid w:val="00D63938"/>
    <w:rsid w:val="00D63D9C"/>
    <w:rsid w:val="00D63EEE"/>
    <w:rsid w:val="00D6438E"/>
    <w:rsid w:val="00D6441B"/>
    <w:rsid w:val="00D647A5"/>
    <w:rsid w:val="00D647B3"/>
    <w:rsid w:val="00D649DE"/>
    <w:rsid w:val="00D64D7A"/>
    <w:rsid w:val="00D64E6F"/>
    <w:rsid w:val="00D65430"/>
    <w:rsid w:val="00D65C6F"/>
    <w:rsid w:val="00D6603A"/>
    <w:rsid w:val="00D66130"/>
    <w:rsid w:val="00D6616A"/>
    <w:rsid w:val="00D6688E"/>
    <w:rsid w:val="00D66A2A"/>
    <w:rsid w:val="00D67515"/>
    <w:rsid w:val="00D6758A"/>
    <w:rsid w:val="00D67AD0"/>
    <w:rsid w:val="00D67C6B"/>
    <w:rsid w:val="00D67CAC"/>
    <w:rsid w:val="00D67EDB"/>
    <w:rsid w:val="00D7025B"/>
    <w:rsid w:val="00D70A73"/>
    <w:rsid w:val="00D70C0A"/>
    <w:rsid w:val="00D717BB"/>
    <w:rsid w:val="00D718B4"/>
    <w:rsid w:val="00D71D41"/>
    <w:rsid w:val="00D722F2"/>
    <w:rsid w:val="00D72331"/>
    <w:rsid w:val="00D72391"/>
    <w:rsid w:val="00D7279E"/>
    <w:rsid w:val="00D72902"/>
    <w:rsid w:val="00D72D42"/>
    <w:rsid w:val="00D738D4"/>
    <w:rsid w:val="00D73AE7"/>
    <w:rsid w:val="00D73B6D"/>
    <w:rsid w:val="00D74232"/>
    <w:rsid w:val="00D74352"/>
    <w:rsid w:val="00D74913"/>
    <w:rsid w:val="00D755EE"/>
    <w:rsid w:val="00D75B73"/>
    <w:rsid w:val="00D75DC5"/>
    <w:rsid w:val="00D75DFA"/>
    <w:rsid w:val="00D76007"/>
    <w:rsid w:val="00D764F2"/>
    <w:rsid w:val="00D76A39"/>
    <w:rsid w:val="00D76FBD"/>
    <w:rsid w:val="00D801C7"/>
    <w:rsid w:val="00D80252"/>
    <w:rsid w:val="00D80359"/>
    <w:rsid w:val="00D80BB0"/>
    <w:rsid w:val="00D80CC9"/>
    <w:rsid w:val="00D80ECF"/>
    <w:rsid w:val="00D80FF9"/>
    <w:rsid w:val="00D8148B"/>
    <w:rsid w:val="00D8184C"/>
    <w:rsid w:val="00D81CB2"/>
    <w:rsid w:val="00D82110"/>
    <w:rsid w:val="00D823E4"/>
    <w:rsid w:val="00D82472"/>
    <w:rsid w:val="00D82849"/>
    <w:rsid w:val="00D83081"/>
    <w:rsid w:val="00D839E9"/>
    <w:rsid w:val="00D83A5E"/>
    <w:rsid w:val="00D83C91"/>
    <w:rsid w:val="00D8434E"/>
    <w:rsid w:val="00D84418"/>
    <w:rsid w:val="00D84527"/>
    <w:rsid w:val="00D8493E"/>
    <w:rsid w:val="00D84D13"/>
    <w:rsid w:val="00D84E86"/>
    <w:rsid w:val="00D8543E"/>
    <w:rsid w:val="00D85A3B"/>
    <w:rsid w:val="00D85D8D"/>
    <w:rsid w:val="00D85E6D"/>
    <w:rsid w:val="00D862A5"/>
    <w:rsid w:val="00D8705E"/>
    <w:rsid w:val="00D871A8"/>
    <w:rsid w:val="00D901B9"/>
    <w:rsid w:val="00D90718"/>
    <w:rsid w:val="00D90961"/>
    <w:rsid w:val="00D90A7E"/>
    <w:rsid w:val="00D90D3F"/>
    <w:rsid w:val="00D90DAB"/>
    <w:rsid w:val="00D90E3F"/>
    <w:rsid w:val="00D911C5"/>
    <w:rsid w:val="00D912CC"/>
    <w:rsid w:val="00D9150C"/>
    <w:rsid w:val="00D915E4"/>
    <w:rsid w:val="00D915EC"/>
    <w:rsid w:val="00D9162B"/>
    <w:rsid w:val="00D917C7"/>
    <w:rsid w:val="00D91C9E"/>
    <w:rsid w:val="00D91DAB"/>
    <w:rsid w:val="00D91E74"/>
    <w:rsid w:val="00D91EAA"/>
    <w:rsid w:val="00D92099"/>
    <w:rsid w:val="00D921F8"/>
    <w:rsid w:val="00D922E7"/>
    <w:rsid w:val="00D925B0"/>
    <w:rsid w:val="00D92AA1"/>
    <w:rsid w:val="00D92E04"/>
    <w:rsid w:val="00D93C62"/>
    <w:rsid w:val="00D948E4"/>
    <w:rsid w:val="00D94BE4"/>
    <w:rsid w:val="00D953CC"/>
    <w:rsid w:val="00D95578"/>
    <w:rsid w:val="00D96415"/>
    <w:rsid w:val="00D9648C"/>
    <w:rsid w:val="00D965D2"/>
    <w:rsid w:val="00D9660B"/>
    <w:rsid w:val="00D9685E"/>
    <w:rsid w:val="00D968F0"/>
    <w:rsid w:val="00D96BC1"/>
    <w:rsid w:val="00D96C63"/>
    <w:rsid w:val="00D96CD6"/>
    <w:rsid w:val="00D96D9C"/>
    <w:rsid w:val="00D96EB1"/>
    <w:rsid w:val="00D9718F"/>
    <w:rsid w:val="00D971BC"/>
    <w:rsid w:val="00D972D1"/>
    <w:rsid w:val="00D97347"/>
    <w:rsid w:val="00D97F90"/>
    <w:rsid w:val="00DA0018"/>
    <w:rsid w:val="00DA0352"/>
    <w:rsid w:val="00DA0497"/>
    <w:rsid w:val="00DA0678"/>
    <w:rsid w:val="00DA0CDD"/>
    <w:rsid w:val="00DA1A47"/>
    <w:rsid w:val="00DA1C12"/>
    <w:rsid w:val="00DA2661"/>
    <w:rsid w:val="00DA2864"/>
    <w:rsid w:val="00DA2FAF"/>
    <w:rsid w:val="00DA3282"/>
    <w:rsid w:val="00DA356B"/>
    <w:rsid w:val="00DA3584"/>
    <w:rsid w:val="00DA3719"/>
    <w:rsid w:val="00DA39AF"/>
    <w:rsid w:val="00DA41D7"/>
    <w:rsid w:val="00DA4322"/>
    <w:rsid w:val="00DA4978"/>
    <w:rsid w:val="00DA49C7"/>
    <w:rsid w:val="00DA4BA5"/>
    <w:rsid w:val="00DA5F2F"/>
    <w:rsid w:val="00DA5F3B"/>
    <w:rsid w:val="00DA5FC3"/>
    <w:rsid w:val="00DA6004"/>
    <w:rsid w:val="00DA6122"/>
    <w:rsid w:val="00DA6302"/>
    <w:rsid w:val="00DA64ED"/>
    <w:rsid w:val="00DA68C4"/>
    <w:rsid w:val="00DA6DB6"/>
    <w:rsid w:val="00DB006F"/>
    <w:rsid w:val="00DB04A8"/>
    <w:rsid w:val="00DB0659"/>
    <w:rsid w:val="00DB0851"/>
    <w:rsid w:val="00DB0999"/>
    <w:rsid w:val="00DB0B74"/>
    <w:rsid w:val="00DB0E39"/>
    <w:rsid w:val="00DB1447"/>
    <w:rsid w:val="00DB2612"/>
    <w:rsid w:val="00DB2745"/>
    <w:rsid w:val="00DB334F"/>
    <w:rsid w:val="00DB33AC"/>
    <w:rsid w:val="00DB357B"/>
    <w:rsid w:val="00DB36B3"/>
    <w:rsid w:val="00DB36D3"/>
    <w:rsid w:val="00DB3A62"/>
    <w:rsid w:val="00DB3AEE"/>
    <w:rsid w:val="00DB3EB7"/>
    <w:rsid w:val="00DB410A"/>
    <w:rsid w:val="00DB41E6"/>
    <w:rsid w:val="00DB43A8"/>
    <w:rsid w:val="00DB475F"/>
    <w:rsid w:val="00DB4A12"/>
    <w:rsid w:val="00DB4A63"/>
    <w:rsid w:val="00DB56DD"/>
    <w:rsid w:val="00DB5C18"/>
    <w:rsid w:val="00DB5C7A"/>
    <w:rsid w:val="00DB5F08"/>
    <w:rsid w:val="00DB60D5"/>
    <w:rsid w:val="00DB6122"/>
    <w:rsid w:val="00DB627F"/>
    <w:rsid w:val="00DB6290"/>
    <w:rsid w:val="00DB6463"/>
    <w:rsid w:val="00DB66D5"/>
    <w:rsid w:val="00DB6A46"/>
    <w:rsid w:val="00DB7236"/>
    <w:rsid w:val="00DB7E87"/>
    <w:rsid w:val="00DB7FCA"/>
    <w:rsid w:val="00DC00C5"/>
    <w:rsid w:val="00DC0C44"/>
    <w:rsid w:val="00DC1633"/>
    <w:rsid w:val="00DC199A"/>
    <w:rsid w:val="00DC19D3"/>
    <w:rsid w:val="00DC1A2A"/>
    <w:rsid w:val="00DC2068"/>
    <w:rsid w:val="00DC231A"/>
    <w:rsid w:val="00DC2757"/>
    <w:rsid w:val="00DC28E0"/>
    <w:rsid w:val="00DC2F7A"/>
    <w:rsid w:val="00DC30FF"/>
    <w:rsid w:val="00DC342A"/>
    <w:rsid w:val="00DC3582"/>
    <w:rsid w:val="00DC3769"/>
    <w:rsid w:val="00DC4385"/>
    <w:rsid w:val="00DC456C"/>
    <w:rsid w:val="00DC4653"/>
    <w:rsid w:val="00DC4CA6"/>
    <w:rsid w:val="00DC4DE8"/>
    <w:rsid w:val="00DC5174"/>
    <w:rsid w:val="00DC5467"/>
    <w:rsid w:val="00DC57B3"/>
    <w:rsid w:val="00DC58E4"/>
    <w:rsid w:val="00DC5BD3"/>
    <w:rsid w:val="00DC60CC"/>
    <w:rsid w:val="00DC6786"/>
    <w:rsid w:val="00DC6E69"/>
    <w:rsid w:val="00DC725F"/>
    <w:rsid w:val="00DC73DA"/>
    <w:rsid w:val="00DC750F"/>
    <w:rsid w:val="00DC78E1"/>
    <w:rsid w:val="00DC7D98"/>
    <w:rsid w:val="00DC7E68"/>
    <w:rsid w:val="00DD0368"/>
    <w:rsid w:val="00DD0860"/>
    <w:rsid w:val="00DD0ECF"/>
    <w:rsid w:val="00DD0FCD"/>
    <w:rsid w:val="00DD10AF"/>
    <w:rsid w:val="00DD161F"/>
    <w:rsid w:val="00DD17BD"/>
    <w:rsid w:val="00DD256F"/>
    <w:rsid w:val="00DD2C3B"/>
    <w:rsid w:val="00DD2D0E"/>
    <w:rsid w:val="00DD3FE9"/>
    <w:rsid w:val="00DD4173"/>
    <w:rsid w:val="00DD47C9"/>
    <w:rsid w:val="00DD4A14"/>
    <w:rsid w:val="00DD4AB7"/>
    <w:rsid w:val="00DD55C0"/>
    <w:rsid w:val="00DD5E51"/>
    <w:rsid w:val="00DD62E8"/>
    <w:rsid w:val="00DD63C8"/>
    <w:rsid w:val="00DD6BDF"/>
    <w:rsid w:val="00DD76EF"/>
    <w:rsid w:val="00DE0386"/>
    <w:rsid w:val="00DE1136"/>
    <w:rsid w:val="00DE1186"/>
    <w:rsid w:val="00DE120C"/>
    <w:rsid w:val="00DE19FA"/>
    <w:rsid w:val="00DE1C41"/>
    <w:rsid w:val="00DE2320"/>
    <w:rsid w:val="00DE2628"/>
    <w:rsid w:val="00DE2692"/>
    <w:rsid w:val="00DE2958"/>
    <w:rsid w:val="00DE2AD2"/>
    <w:rsid w:val="00DE2D50"/>
    <w:rsid w:val="00DE2F92"/>
    <w:rsid w:val="00DE367F"/>
    <w:rsid w:val="00DE3EE9"/>
    <w:rsid w:val="00DE4318"/>
    <w:rsid w:val="00DE5E25"/>
    <w:rsid w:val="00DE64CA"/>
    <w:rsid w:val="00DE6649"/>
    <w:rsid w:val="00DE6E04"/>
    <w:rsid w:val="00DE712C"/>
    <w:rsid w:val="00DE7190"/>
    <w:rsid w:val="00DE74E7"/>
    <w:rsid w:val="00DE788D"/>
    <w:rsid w:val="00DE79BA"/>
    <w:rsid w:val="00DE7CAA"/>
    <w:rsid w:val="00DE7D84"/>
    <w:rsid w:val="00DF019D"/>
    <w:rsid w:val="00DF0206"/>
    <w:rsid w:val="00DF08AE"/>
    <w:rsid w:val="00DF0B28"/>
    <w:rsid w:val="00DF0D4A"/>
    <w:rsid w:val="00DF12C9"/>
    <w:rsid w:val="00DF13E0"/>
    <w:rsid w:val="00DF1492"/>
    <w:rsid w:val="00DF1677"/>
    <w:rsid w:val="00DF1813"/>
    <w:rsid w:val="00DF2375"/>
    <w:rsid w:val="00DF271C"/>
    <w:rsid w:val="00DF273A"/>
    <w:rsid w:val="00DF2791"/>
    <w:rsid w:val="00DF279B"/>
    <w:rsid w:val="00DF2941"/>
    <w:rsid w:val="00DF2CBB"/>
    <w:rsid w:val="00DF35AC"/>
    <w:rsid w:val="00DF35B5"/>
    <w:rsid w:val="00DF379C"/>
    <w:rsid w:val="00DF3CEC"/>
    <w:rsid w:val="00DF3F7E"/>
    <w:rsid w:val="00DF41D0"/>
    <w:rsid w:val="00DF44F1"/>
    <w:rsid w:val="00DF4698"/>
    <w:rsid w:val="00DF4808"/>
    <w:rsid w:val="00DF4E30"/>
    <w:rsid w:val="00DF54BA"/>
    <w:rsid w:val="00DF56C1"/>
    <w:rsid w:val="00DF583C"/>
    <w:rsid w:val="00DF596D"/>
    <w:rsid w:val="00DF5A38"/>
    <w:rsid w:val="00DF5D0E"/>
    <w:rsid w:val="00DF5F9B"/>
    <w:rsid w:val="00DF60FF"/>
    <w:rsid w:val="00DF61AC"/>
    <w:rsid w:val="00DF62E4"/>
    <w:rsid w:val="00DF6603"/>
    <w:rsid w:val="00DF6660"/>
    <w:rsid w:val="00DF666E"/>
    <w:rsid w:val="00DF73E9"/>
    <w:rsid w:val="00E00733"/>
    <w:rsid w:val="00E00749"/>
    <w:rsid w:val="00E00863"/>
    <w:rsid w:val="00E00F61"/>
    <w:rsid w:val="00E0145F"/>
    <w:rsid w:val="00E01461"/>
    <w:rsid w:val="00E01786"/>
    <w:rsid w:val="00E01835"/>
    <w:rsid w:val="00E018E0"/>
    <w:rsid w:val="00E01AD6"/>
    <w:rsid w:val="00E01BF8"/>
    <w:rsid w:val="00E01F91"/>
    <w:rsid w:val="00E02134"/>
    <w:rsid w:val="00E021BF"/>
    <w:rsid w:val="00E024C3"/>
    <w:rsid w:val="00E0272B"/>
    <w:rsid w:val="00E027CF"/>
    <w:rsid w:val="00E02D55"/>
    <w:rsid w:val="00E03C28"/>
    <w:rsid w:val="00E03CB6"/>
    <w:rsid w:val="00E03F54"/>
    <w:rsid w:val="00E04537"/>
    <w:rsid w:val="00E047AF"/>
    <w:rsid w:val="00E04C46"/>
    <w:rsid w:val="00E0561E"/>
    <w:rsid w:val="00E0574C"/>
    <w:rsid w:val="00E05880"/>
    <w:rsid w:val="00E06615"/>
    <w:rsid w:val="00E066A4"/>
    <w:rsid w:val="00E07227"/>
    <w:rsid w:val="00E07483"/>
    <w:rsid w:val="00E1005D"/>
    <w:rsid w:val="00E1056F"/>
    <w:rsid w:val="00E10711"/>
    <w:rsid w:val="00E10EAA"/>
    <w:rsid w:val="00E11264"/>
    <w:rsid w:val="00E116D2"/>
    <w:rsid w:val="00E118A2"/>
    <w:rsid w:val="00E11FC1"/>
    <w:rsid w:val="00E121A1"/>
    <w:rsid w:val="00E1246E"/>
    <w:rsid w:val="00E125D4"/>
    <w:rsid w:val="00E128FD"/>
    <w:rsid w:val="00E12C60"/>
    <w:rsid w:val="00E12F98"/>
    <w:rsid w:val="00E1301E"/>
    <w:rsid w:val="00E141A4"/>
    <w:rsid w:val="00E14302"/>
    <w:rsid w:val="00E14BEC"/>
    <w:rsid w:val="00E14D8B"/>
    <w:rsid w:val="00E15851"/>
    <w:rsid w:val="00E16109"/>
    <w:rsid w:val="00E16427"/>
    <w:rsid w:val="00E170BD"/>
    <w:rsid w:val="00E17ED4"/>
    <w:rsid w:val="00E20CB9"/>
    <w:rsid w:val="00E20E9A"/>
    <w:rsid w:val="00E21BE1"/>
    <w:rsid w:val="00E21D89"/>
    <w:rsid w:val="00E21E83"/>
    <w:rsid w:val="00E22D5A"/>
    <w:rsid w:val="00E22D83"/>
    <w:rsid w:val="00E232E9"/>
    <w:rsid w:val="00E2392C"/>
    <w:rsid w:val="00E23B4C"/>
    <w:rsid w:val="00E23FA5"/>
    <w:rsid w:val="00E2432B"/>
    <w:rsid w:val="00E243D5"/>
    <w:rsid w:val="00E24C4A"/>
    <w:rsid w:val="00E24C59"/>
    <w:rsid w:val="00E24F56"/>
    <w:rsid w:val="00E25371"/>
    <w:rsid w:val="00E25403"/>
    <w:rsid w:val="00E254E6"/>
    <w:rsid w:val="00E25B68"/>
    <w:rsid w:val="00E261B2"/>
    <w:rsid w:val="00E26254"/>
    <w:rsid w:val="00E262AA"/>
    <w:rsid w:val="00E2651F"/>
    <w:rsid w:val="00E269D1"/>
    <w:rsid w:val="00E26C03"/>
    <w:rsid w:val="00E26CDF"/>
    <w:rsid w:val="00E277A3"/>
    <w:rsid w:val="00E27977"/>
    <w:rsid w:val="00E27D34"/>
    <w:rsid w:val="00E27D92"/>
    <w:rsid w:val="00E307B5"/>
    <w:rsid w:val="00E30A6F"/>
    <w:rsid w:val="00E30C61"/>
    <w:rsid w:val="00E30F62"/>
    <w:rsid w:val="00E316C8"/>
    <w:rsid w:val="00E31725"/>
    <w:rsid w:val="00E319A3"/>
    <w:rsid w:val="00E31B50"/>
    <w:rsid w:val="00E32294"/>
    <w:rsid w:val="00E32699"/>
    <w:rsid w:val="00E33140"/>
    <w:rsid w:val="00E33647"/>
    <w:rsid w:val="00E336F1"/>
    <w:rsid w:val="00E33BD8"/>
    <w:rsid w:val="00E33C8A"/>
    <w:rsid w:val="00E33F61"/>
    <w:rsid w:val="00E34E25"/>
    <w:rsid w:val="00E35484"/>
    <w:rsid w:val="00E3587D"/>
    <w:rsid w:val="00E36708"/>
    <w:rsid w:val="00E36B77"/>
    <w:rsid w:val="00E36F20"/>
    <w:rsid w:val="00E37307"/>
    <w:rsid w:val="00E37A4F"/>
    <w:rsid w:val="00E37D9F"/>
    <w:rsid w:val="00E40630"/>
    <w:rsid w:val="00E407DE"/>
    <w:rsid w:val="00E40CEE"/>
    <w:rsid w:val="00E41635"/>
    <w:rsid w:val="00E4167D"/>
    <w:rsid w:val="00E418FF"/>
    <w:rsid w:val="00E41923"/>
    <w:rsid w:val="00E424B9"/>
    <w:rsid w:val="00E42AC8"/>
    <w:rsid w:val="00E42BB6"/>
    <w:rsid w:val="00E42CB4"/>
    <w:rsid w:val="00E42FD6"/>
    <w:rsid w:val="00E43074"/>
    <w:rsid w:val="00E43433"/>
    <w:rsid w:val="00E434F7"/>
    <w:rsid w:val="00E4353E"/>
    <w:rsid w:val="00E43FB3"/>
    <w:rsid w:val="00E440A0"/>
    <w:rsid w:val="00E446B0"/>
    <w:rsid w:val="00E44A7C"/>
    <w:rsid w:val="00E44EE9"/>
    <w:rsid w:val="00E44F95"/>
    <w:rsid w:val="00E45721"/>
    <w:rsid w:val="00E45B61"/>
    <w:rsid w:val="00E45B73"/>
    <w:rsid w:val="00E45BBC"/>
    <w:rsid w:val="00E45E04"/>
    <w:rsid w:val="00E46234"/>
    <w:rsid w:val="00E46574"/>
    <w:rsid w:val="00E465AD"/>
    <w:rsid w:val="00E46AC9"/>
    <w:rsid w:val="00E47CE8"/>
    <w:rsid w:val="00E50071"/>
    <w:rsid w:val="00E50651"/>
    <w:rsid w:val="00E50A0E"/>
    <w:rsid w:val="00E50B55"/>
    <w:rsid w:val="00E50DB2"/>
    <w:rsid w:val="00E512FB"/>
    <w:rsid w:val="00E51DBC"/>
    <w:rsid w:val="00E51E53"/>
    <w:rsid w:val="00E522B2"/>
    <w:rsid w:val="00E522BC"/>
    <w:rsid w:val="00E529C3"/>
    <w:rsid w:val="00E52AF4"/>
    <w:rsid w:val="00E52B68"/>
    <w:rsid w:val="00E5340D"/>
    <w:rsid w:val="00E5363B"/>
    <w:rsid w:val="00E539DD"/>
    <w:rsid w:val="00E53DDA"/>
    <w:rsid w:val="00E54033"/>
    <w:rsid w:val="00E543E0"/>
    <w:rsid w:val="00E544A3"/>
    <w:rsid w:val="00E545C6"/>
    <w:rsid w:val="00E54AAC"/>
    <w:rsid w:val="00E55486"/>
    <w:rsid w:val="00E5576B"/>
    <w:rsid w:val="00E5595E"/>
    <w:rsid w:val="00E55AF7"/>
    <w:rsid w:val="00E55F17"/>
    <w:rsid w:val="00E56F6A"/>
    <w:rsid w:val="00E57056"/>
    <w:rsid w:val="00E5764A"/>
    <w:rsid w:val="00E57777"/>
    <w:rsid w:val="00E5793B"/>
    <w:rsid w:val="00E57D64"/>
    <w:rsid w:val="00E57D80"/>
    <w:rsid w:val="00E57E87"/>
    <w:rsid w:val="00E57EAD"/>
    <w:rsid w:val="00E607F8"/>
    <w:rsid w:val="00E60CDD"/>
    <w:rsid w:val="00E60CF7"/>
    <w:rsid w:val="00E60DDF"/>
    <w:rsid w:val="00E61030"/>
    <w:rsid w:val="00E61768"/>
    <w:rsid w:val="00E622C3"/>
    <w:rsid w:val="00E6233D"/>
    <w:rsid w:val="00E6250E"/>
    <w:rsid w:val="00E62BE9"/>
    <w:rsid w:val="00E632BF"/>
    <w:rsid w:val="00E640D4"/>
    <w:rsid w:val="00E6453A"/>
    <w:rsid w:val="00E648C7"/>
    <w:rsid w:val="00E649E0"/>
    <w:rsid w:val="00E64DDF"/>
    <w:rsid w:val="00E64EA9"/>
    <w:rsid w:val="00E650AC"/>
    <w:rsid w:val="00E6595F"/>
    <w:rsid w:val="00E65BB4"/>
    <w:rsid w:val="00E65C29"/>
    <w:rsid w:val="00E65C55"/>
    <w:rsid w:val="00E65C6C"/>
    <w:rsid w:val="00E66F24"/>
    <w:rsid w:val="00E67342"/>
    <w:rsid w:val="00E67853"/>
    <w:rsid w:val="00E67ADA"/>
    <w:rsid w:val="00E67E1F"/>
    <w:rsid w:val="00E70378"/>
    <w:rsid w:val="00E705CC"/>
    <w:rsid w:val="00E7099A"/>
    <w:rsid w:val="00E70B1D"/>
    <w:rsid w:val="00E71220"/>
    <w:rsid w:val="00E712B7"/>
    <w:rsid w:val="00E71602"/>
    <w:rsid w:val="00E718C9"/>
    <w:rsid w:val="00E7244E"/>
    <w:rsid w:val="00E727D2"/>
    <w:rsid w:val="00E73258"/>
    <w:rsid w:val="00E73627"/>
    <w:rsid w:val="00E73768"/>
    <w:rsid w:val="00E743D2"/>
    <w:rsid w:val="00E747AC"/>
    <w:rsid w:val="00E754E4"/>
    <w:rsid w:val="00E755B3"/>
    <w:rsid w:val="00E75D52"/>
    <w:rsid w:val="00E77038"/>
    <w:rsid w:val="00E775D2"/>
    <w:rsid w:val="00E7772F"/>
    <w:rsid w:val="00E77C00"/>
    <w:rsid w:val="00E77EB8"/>
    <w:rsid w:val="00E800ED"/>
    <w:rsid w:val="00E80113"/>
    <w:rsid w:val="00E80590"/>
    <w:rsid w:val="00E8072F"/>
    <w:rsid w:val="00E80CCD"/>
    <w:rsid w:val="00E80D20"/>
    <w:rsid w:val="00E811DB"/>
    <w:rsid w:val="00E8171D"/>
    <w:rsid w:val="00E81877"/>
    <w:rsid w:val="00E81BA8"/>
    <w:rsid w:val="00E820A4"/>
    <w:rsid w:val="00E820AD"/>
    <w:rsid w:val="00E8212C"/>
    <w:rsid w:val="00E835B4"/>
    <w:rsid w:val="00E836B2"/>
    <w:rsid w:val="00E83949"/>
    <w:rsid w:val="00E83BFB"/>
    <w:rsid w:val="00E83CDA"/>
    <w:rsid w:val="00E83CFD"/>
    <w:rsid w:val="00E83E67"/>
    <w:rsid w:val="00E84598"/>
    <w:rsid w:val="00E845EB"/>
    <w:rsid w:val="00E848C5"/>
    <w:rsid w:val="00E84EF4"/>
    <w:rsid w:val="00E84FAC"/>
    <w:rsid w:val="00E85345"/>
    <w:rsid w:val="00E853E2"/>
    <w:rsid w:val="00E8565A"/>
    <w:rsid w:val="00E85675"/>
    <w:rsid w:val="00E85BF0"/>
    <w:rsid w:val="00E86C3F"/>
    <w:rsid w:val="00E86CA8"/>
    <w:rsid w:val="00E8766F"/>
    <w:rsid w:val="00E876C6"/>
    <w:rsid w:val="00E90089"/>
    <w:rsid w:val="00E90156"/>
    <w:rsid w:val="00E9112C"/>
    <w:rsid w:val="00E9146F"/>
    <w:rsid w:val="00E9149B"/>
    <w:rsid w:val="00E918B9"/>
    <w:rsid w:val="00E918DF"/>
    <w:rsid w:val="00E91DEC"/>
    <w:rsid w:val="00E91E40"/>
    <w:rsid w:val="00E92038"/>
    <w:rsid w:val="00E923C1"/>
    <w:rsid w:val="00E92B1B"/>
    <w:rsid w:val="00E92B4B"/>
    <w:rsid w:val="00E92BB9"/>
    <w:rsid w:val="00E92BC1"/>
    <w:rsid w:val="00E92C0F"/>
    <w:rsid w:val="00E92C24"/>
    <w:rsid w:val="00E934BF"/>
    <w:rsid w:val="00E93A74"/>
    <w:rsid w:val="00E94187"/>
    <w:rsid w:val="00E9447C"/>
    <w:rsid w:val="00E94CC7"/>
    <w:rsid w:val="00E94D73"/>
    <w:rsid w:val="00E9535E"/>
    <w:rsid w:val="00E95695"/>
    <w:rsid w:val="00E958F7"/>
    <w:rsid w:val="00E95A8F"/>
    <w:rsid w:val="00E95C7C"/>
    <w:rsid w:val="00E96351"/>
    <w:rsid w:val="00E964DF"/>
    <w:rsid w:val="00E9658E"/>
    <w:rsid w:val="00E9665C"/>
    <w:rsid w:val="00E96768"/>
    <w:rsid w:val="00E9681B"/>
    <w:rsid w:val="00E96B58"/>
    <w:rsid w:val="00E96B92"/>
    <w:rsid w:val="00E96E5B"/>
    <w:rsid w:val="00E972C1"/>
    <w:rsid w:val="00E9760E"/>
    <w:rsid w:val="00E97754"/>
    <w:rsid w:val="00E97AC6"/>
    <w:rsid w:val="00E97BD4"/>
    <w:rsid w:val="00E97EBF"/>
    <w:rsid w:val="00EA0135"/>
    <w:rsid w:val="00EA05D5"/>
    <w:rsid w:val="00EA0A5B"/>
    <w:rsid w:val="00EA10A5"/>
    <w:rsid w:val="00EA1759"/>
    <w:rsid w:val="00EA1791"/>
    <w:rsid w:val="00EA17A0"/>
    <w:rsid w:val="00EA17B6"/>
    <w:rsid w:val="00EA1945"/>
    <w:rsid w:val="00EA1DBB"/>
    <w:rsid w:val="00EA1E33"/>
    <w:rsid w:val="00EA25FF"/>
    <w:rsid w:val="00EA2AC6"/>
    <w:rsid w:val="00EA2E8D"/>
    <w:rsid w:val="00EA3353"/>
    <w:rsid w:val="00EA35C4"/>
    <w:rsid w:val="00EA369E"/>
    <w:rsid w:val="00EA3A0E"/>
    <w:rsid w:val="00EA3A99"/>
    <w:rsid w:val="00EA4424"/>
    <w:rsid w:val="00EA4475"/>
    <w:rsid w:val="00EA4B34"/>
    <w:rsid w:val="00EA5772"/>
    <w:rsid w:val="00EA619E"/>
    <w:rsid w:val="00EA6BC3"/>
    <w:rsid w:val="00EA6BE0"/>
    <w:rsid w:val="00EA6BFD"/>
    <w:rsid w:val="00EA7284"/>
    <w:rsid w:val="00EA7960"/>
    <w:rsid w:val="00EA7C4C"/>
    <w:rsid w:val="00EA7CA9"/>
    <w:rsid w:val="00EA7D4D"/>
    <w:rsid w:val="00EB00C5"/>
    <w:rsid w:val="00EB0CC9"/>
    <w:rsid w:val="00EB0D9A"/>
    <w:rsid w:val="00EB1098"/>
    <w:rsid w:val="00EB111E"/>
    <w:rsid w:val="00EB1482"/>
    <w:rsid w:val="00EB1B98"/>
    <w:rsid w:val="00EB1CE6"/>
    <w:rsid w:val="00EB2188"/>
    <w:rsid w:val="00EB2380"/>
    <w:rsid w:val="00EB23AE"/>
    <w:rsid w:val="00EB3035"/>
    <w:rsid w:val="00EB3135"/>
    <w:rsid w:val="00EB349D"/>
    <w:rsid w:val="00EB409F"/>
    <w:rsid w:val="00EB45A7"/>
    <w:rsid w:val="00EB4683"/>
    <w:rsid w:val="00EB4DE5"/>
    <w:rsid w:val="00EB4FB8"/>
    <w:rsid w:val="00EB56B1"/>
    <w:rsid w:val="00EB5A30"/>
    <w:rsid w:val="00EB5B82"/>
    <w:rsid w:val="00EB5CF1"/>
    <w:rsid w:val="00EB6A2F"/>
    <w:rsid w:val="00EB6A6A"/>
    <w:rsid w:val="00EB7F43"/>
    <w:rsid w:val="00EC0A24"/>
    <w:rsid w:val="00EC0A5C"/>
    <w:rsid w:val="00EC105F"/>
    <w:rsid w:val="00EC1675"/>
    <w:rsid w:val="00EC243C"/>
    <w:rsid w:val="00EC25D8"/>
    <w:rsid w:val="00EC2A27"/>
    <w:rsid w:val="00EC33FA"/>
    <w:rsid w:val="00EC349A"/>
    <w:rsid w:val="00EC351C"/>
    <w:rsid w:val="00EC3968"/>
    <w:rsid w:val="00EC3B8D"/>
    <w:rsid w:val="00EC3F4B"/>
    <w:rsid w:val="00EC4379"/>
    <w:rsid w:val="00EC442A"/>
    <w:rsid w:val="00EC4C93"/>
    <w:rsid w:val="00EC5988"/>
    <w:rsid w:val="00EC5CF9"/>
    <w:rsid w:val="00EC5D53"/>
    <w:rsid w:val="00EC5F1F"/>
    <w:rsid w:val="00EC6216"/>
    <w:rsid w:val="00EC6474"/>
    <w:rsid w:val="00EC6530"/>
    <w:rsid w:val="00EC6B6B"/>
    <w:rsid w:val="00EC6BC1"/>
    <w:rsid w:val="00EC6F12"/>
    <w:rsid w:val="00EC7257"/>
    <w:rsid w:val="00EC7329"/>
    <w:rsid w:val="00EC737E"/>
    <w:rsid w:val="00EC7C45"/>
    <w:rsid w:val="00ED0174"/>
    <w:rsid w:val="00ED0342"/>
    <w:rsid w:val="00ED0759"/>
    <w:rsid w:val="00ED0D88"/>
    <w:rsid w:val="00ED10DF"/>
    <w:rsid w:val="00ED1239"/>
    <w:rsid w:val="00ED13B2"/>
    <w:rsid w:val="00ED1806"/>
    <w:rsid w:val="00ED2631"/>
    <w:rsid w:val="00ED3125"/>
    <w:rsid w:val="00ED31E8"/>
    <w:rsid w:val="00ED372A"/>
    <w:rsid w:val="00ED383D"/>
    <w:rsid w:val="00ED3A99"/>
    <w:rsid w:val="00ED44A3"/>
    <w:rsid w:val="00ED44F2"/>
    <w:rsid w:val="00ED4814"/>
    <w:rsid w:val="00ED522D"/>
    <w:rsid w:val="00ED53EB"/>
    <w:rsid w:val="00ED5637"/>
    <w:rsid w:val="00ED5C72"/>
    <w:rsid w:val="00ED5DFB"/>
    <w:rsid w:val="00ED6773"/>
    <w:rsid w:val="00ED7106"/>
    <w:rsid w:val="00ED71F7"/>
    <w:rsid w:val="00ED7318"/>
    <w:rsid w:val="00ED74A5"/>
    <w:rsid w:val="00ED7570"/>
    <w:rsid w:val="00EE01DB"/>
    <w:rsid w:val="00EE039E"/>
    <w:rsid w:val="00EE0619"/>
    <w:rsid w:val="00EE0A56"/>
    <w:rsid w:val="00EE0AD6"/>
    <w:rsid w:val="00EE0BAC"/>
    <w:rsid w:val="00EE14DF"/>
    <w:rsid w:val="00EE1908"/>
    <w:rsid w:val="00EE1B32"/>
    <w:rsid w:val="00EE2B0B"/>
    <w:rsid w:val="00EE2C20"/>
    <w:rsid w:val="00EE2DDA"/>
    <w:rsid w:val="00EE2E1D"/>
    <w:rsid w:val="00EE300F"/>
    <w:rsid w:val="00EE3199"/>
    <w:rsid w:val="00EE3B57"/>
    <w:rsid w:val="00EE4103"/>
    <w:rsid w:val="00EE4106"/>
    <w:rsid w:val="00EE42C3"/>
    <w:rsid w:val="00EE487A"/>
    <w:rsid w:val="00EE4DB1"/>
    <w:rsid w:val="00EE5AC7"/>
    <w:rsid w:val="00EE6137"/>
    <w:rsid w:val="00EE674B"/>
    <w:rsid w:val="00EE71C8"/>
    <w:rsid w:val="00EE737F"/>
    <w:rsid w:val="00EE767E"/>
    <w:rsid w:val="00EE76ED"/>
    <w:rsid w:val="00EE7B24"/>
    <w:rsid w:val="00EE7E1A"/>
    <w:rsid w:val="00EF0013"/>
    <w:rsid w:val="00EF0BC9"/>
    <w:rsid w:val="00EF11D4"/>
    <w:rsid w:val="00EF1526"/>
    <w:rsid w:val="00EF1720"/>
    <w:rsid w:val="00EF2092"/>
    <w:rsid w:val="00EF2335"/>
    <w:rsid w:val="00EF29FE"/>
    <w:rsid w:val="00EF2B39"/>
    <w:rsid w:val="00EF310B"/>
    <w:rsid w:val="00EF33BC"/>
    <w:rsid w:val="00EF3A75"/>
    <w:rsid w:val="00EF3D0C"/>
    <w:rsid w:val="00EF3E9E"/>
    <w:rsid w:val="00EF450D"/>
    <w:rsid w:val="00EF45D7"/>
    <w:rsid w:val="00EF4611"/>
    <w:rsid w:val="00EF47C3"/>
    <w:rsid w:val="00EF48BC"/>
    <w:rsid w:val="00EF4967"/>
    <w:rsid w:val="00EF541C"/>
    <w:rsid w:val="00EF5483"/>
    <w:rsid w:val="00EF5A9C"/>
    <w:rsid w:val="00EF6027"/>
    <w:rsid w:val="00EF61D5"/>
    <w:rsid w:val="00EF6DAE"/>
    <w:rsid w:val="00EF6FB7"/>
    <w:rsid w:val="00EF6FC3"/>
    <w:rsid w:val="00EF71BD"/>
    <w:rsid w:val="00EF72CB"/>
    <w:rsid w:val="00EF72D1"/>
    <w:rsid w:val="00EF736B"/>
    <w:rsid w:val="00EF74A5"/>
    <w:rsid w:val="00EF7E81"/>
    <w:rsid w:val="00F0039A"/>
    <w:rsid w:val="00F008B6"/>
    <w:rsid w:val="00F0093A"/>
    <w:rsid w:val="00F00F8C"/>
    <w:rsid w:val="00F01233"/>
    <w:rsid w:val="00F01C9D"/>
    <w:rsid w:val="00F01F50"/>
    <w:rsid w:val="00F02370"/>
    <w:rsid w:val="00F02871"/>
    <w:rsid w:val="00F029BA"/>
    <w:rsid w:val="00F02B8D"/>
    <w:rsid w:val="00F02C83"/>
    <w:rsid w:val="00F02E24"/>
    <w:rsid w:val="00F0301F"/>
    <w:rsid w:val="00F032DC"/>
    <w:rsid w:val="00F03DFF"/>
    <w:rsid w:val="00F03E8D"/>
    <w:rsid w:val="00F0422A"/>
    <w:rsid w:val="00F049F3"/>
    <w:rsid w:val="00F04AF2"/>
    <w:rsid w:val="00F04CE7"/>
    <w:rsid w:val="00F04E85"/>
    <w:rsid w:val="00F05C75"/>
    <w:rsid w:val="00F066D7"/>
    <w:rsid w:val="00F0681C"/>
    <w:rsid w:val="00F069B7"/>
    <w:rsid w:val="00F06F01"/>
    <w:rsid w:val="00F06F97"/>
    <w:rsid w:val="00F07174"/>
    <w:rsid w:val="00F0728D"/>
    <w:rsid w:val="00F0763C"/>
    <w:rsid w:val="00F07843"/>
    <w:rsid w:val="00F07DCF"/>
    <w:rsid w:val="00F07F57"/>
    <w:rsid w:val="00F1013C"/>
    <w:rsid w:val="00F107B8"/>
    <w:rsid w:val="00F10BFD"/>
    <w:rsid w:val="00F10D66"/>
    <w:rsid w:val="00F112BC"/>
    <w:rsid w:val="00F11EC8"/>
    <w:rsid w:val="00F12084"/>
    <w:rsid w:val="00F120DD"/>
    <w:rsid w:val="00F12702"/>
    <w:rsid w:val="00F128CE"/>
    <w:rsid w:val="00F12BB8"/>
    <w:rsid w:val="00F12C6F"/>
    <w:rsid w:val="00F12CC9"/>
    <w:rsid w:val="00F13DB6"/>
    <w:rsid w:val="00F14A28"/>
    <w:rsid w:val="00F14A98"/>
    <w:rsid w:val="00F14C76"/>
    <w:rsid w:val="00F15596"/>
    <w:rsid w:val="00F15AD5"/>
    <w:rsid w:val="00F15F0F"/>
    <w:rsid w:val="00F161E1"/>
    <w:rsid w:val="00F1621C"/>
    <w:rsid w:val="00F169C6"/>
    <w:rsid w:val="00F174C5"/>
    <w:rsid w:val="00F17518"/>
    <w:rsid w:val="00F179D9"/>
    <w:rsid w:val="00F2003F"/>
    <w:rsid w:val="00F20241"/>
    <w:rsid w:val="00F20D01"/>
    <w:rsid w:val="00F21296"/>
    <w:rsid w:val="00F2193C"/>
    <w:rsid w:val="00F21E9D"/>
    <w:rsid w:val="00F22117"/>
    <w:rsid w:val="00F2235F"/>
    <w:rsid w:val="00F22726"/>
    <w:rsid w:val="00F228E8"/>
    <w:rsid w:val="00F22C3C"/>
    <w:rsid w:val="00F22C80"/>
    <w:rsid w:val="00F2356E"/>
    <w:rsid w:val="00F23D17"/>
    <w:rsid w:val="00F2482F"/>
    <w:rsid w:val="00F25323"/>
    <w:rsid w:val="00F2554E"/>
    <w:rsid w:val="00F25BC2"/>
    <w:rsid w:val="00F2604A"/>
    <w:rsid w:val="00F2655C"/>
    <w:rsid w:val="00F265E6"/>
    <w:rsid w:val="00F26675"/>
    <w:rsid w:val="00F26678"/>
    <w:rsid w:val="00F26A2C"/>
    <w:rsid w:val="00F2709B"/>
    <w:rsid w:val="00F27238"/>
    <w:rsid w:val="00F2765F"/>
    <w:rsid w:val="00F27875"/>
    <w:rsid w:val="00F279CE"/>
    <w:rsid w:val="00F301ED"/>
    <w:rsid w:val="00F302FE"/>
    <w:rsid w:val="00F303E3"/>
    <w:rsid w:val="00F309EE"/>
    <w:rsid w:val="00F30D13"/>
    <w:rsid w:val="00F30E8A"/>
    <w:rsid w:val="00F30F77"/>
    <w:rsid w:val="00F30F87"/>
    <w:rsid w:val="00F31123"/>
    <w:rsid w:val="00F3147C"/>
    <w:rsid w:val="00F314F1"/>
    <w:rsid w:val="00F31793"/>
    <w:rsid w:val="00F320F1"/>
    <w:rsid w:val="00F3226F"/>
    <w:rsid w:val="00F32EF7"/>
    <w:rsid w:val="00F33051"/>
    <w:rsid w:val="00F33233"/>
    <w:rsid w:val="00F3371B"/>
    <w:rsid w:val="00F33744"/>
    <w:rsid w:val="00F33B90"/>
    <w:rsid w:val="00F3431C"/>
    <w:rsid w:val="00F344CB"/>
    <w:rsid w:val="00F344D7"/>
    <w:rsid w:val="00F34D11"/>
    <w:rsid w:val="00F352C3"/>
    <w:rsid w:val="00F35517"/>
    <w:rsid w:val="00F35D62"/>
    <w:rsid w:val="00F36548"/>
    <w:rsid w:val="00F3664C"/>
    <w:rsid w:val="00F36826"/>
    <w:rsid w:val="00F36AF3"/>
    <w:rsid w:val="00F36E8F"/>
    <w:rsid w:val="00F37149"/>
    <w:rsid w:val="00F3748B"/>
    <w:rsid w:val="00F374D2"/>
    <w:rsid w:val="00F3764C"/>
    <w:rsid w:val="00F37B45"/>
    <w:rsid w:val="00F400D4"/>
    <w:rsid w:val="00F40220"/>
    <w:rsid w:val="00F40245"/>
    <w:rsid w:val="00F40662"/>
    <w:rsid w:val="00F406F8"/>
    <w:rsid w:val="00F4077C"/>
    <w:rsid w:val="00F40D4A"/>
    <w:rsid w:val="00F40F3E"/>
    <w:rsid w:val="00F416A5"/>
    <w:rsid w:val="00F41FAA"/>
    <w:rsid w:val="00F42366"/>
    <w:rsid w:val="00F42C90"/>
    <w:rsid w:val="00F43679"/>
    <w:rsid w:val="00F43826"/>
    <w:rsid w:val="00F438C6"/>
    <w:rsid w:val="00F43E2B"/>
    <w:rsid w:val="00F442B1"/>
    <w:rsid w:val="00F44467"/>
    <w:rsid w:val="00F44806"/>
    <w:rsid w:val="00F44AA0"/>
    <w:rsid w:val="00F44C34"/>
    <w:rsid w:val="00F453AF"/>
    <w:rsid w:val="00F459E9"/>
    <w:rsid w:val="00F45BD1"/>
    <w:rsid w:val="00F45C32"/>
    <w:rsid w:val="00F45CE2"/>
    <w:rsid w:val="00F45D39"/>
    <w:rsid w:val="00F460B7"/>
    <w:rsid w:val="00F4637F"/>
    <w:rsid w:val="00F46506"/>
    <w:rsid w:val="00F46726"/>
    <w:rsid w:val="00F4689B"/>
    <w:rsid w:val="00F46B54"/>
    <w:rsid w:val="00F46BBB"/>
    <w:rsid w:val="00F46C81"/>
    <w:rsid w:val="00F475EE"/>
    <w:rsid w:val="00F4760C"/>
    <w:rsid w:val="00F4777D"/>
    <w:rsid w:val="00F47A2C"/>
    <w:rsid w:val="00F5009E"/>
    <w:rsid w:val="00F506E6"/>
    <w:rsid w:val="00F508C1"/>
    <w:rsid w:val="00F517FD"/>
    <w:rsid w:val="00F51882"/>
    <w:rsid w:val="00F51E29"/>
    <w:rsid w:val="00F51ED0"/>
    <w:rsid w:val="00F5204E"/>
    <w:rsid w:val="00F52181"/>
    <w:rsid w:val="00F52574"/>
    <w:rsid w:val="00F529BF"/>
    <w:rsid w:val="00F52FB9"/>
    <w:rsid w:val="00F53279"/>
    <w:rsid w:val="00F5381E"/>
    <w:rsid w:val="00F53903"/>
    <w:rsid w:val="00F53C64"/>
    <w:rsid w:val="00F53DDB"/>
    <w:rsid w:val="00F5409B"/>
    <w:rsid w:val="00F545FE"/>
    <w:rsid w:val="00F54874"/>
    <w:rsid w:val="00F54942"/>
    <w:rsid w:val="00F54AF1"/>
    <w:rsid w:val="00F5585D"/>
    <w:rsid w:val="00F55C12"/>
    <w:rsid w:val="00F55DC1"/>
    <w:rsid w:val="00F55EC6"/>
    <w:rsid w:val="00F55FF7"/>
    <w:rsid w:val="00F56754"/>
    <w:rsid w:val="00F567C9"/>
    <w:rsid w:val="00F56AF3"/>
    <w:rsid w:val="00F56D12"/>
    <w:rsid w:val="00F56DD4"/>
    <w:rsid w:val="00F56DFE"/>
    <w:rsid w:val="00F571F2"/>
    <w:rsid w:val="00F574A1"/>
    <w:rsid w:val="00F602AB"/>
    <w:rsid w:val="00F602BD"/>
    <w:rsid w:val="00F603CA"/>
    <w:rsid w:val="00F61B14"/>
    <w:rsid w:val="00F61EE4"/>
    <w:rsid w:val="00F62228"/>
    <w:rsid w:val="00F63040"/>
    <w:rsid w:val="00F6318B"/>
    <w:rsid w:val="00F635A6"/>
    <w:rsid w:val="00F6377A"/>
    <w:rsid w:val="00F642F0"/>
    <w:rsid w:val="00F64703"/>
    <w:rsid w:val="00F647C9"/>
    <w:rsid w:val="00F64B4C"/>
    <w:rsid w:val="00F64E64"/>
    <w:rsid w:val="00F656C3"/>
    <w:rsid w:val="00F6615C"/>
    <w:rsid w:val="00F66436"/>
    <w:rsid w:val="00F6663E"/>
    <w:rsid w:val="00F668DF"/>
    <w:rsid w:val="00F66B2E"/>
    <w:rsid w:val="00F66BB4"/>
    <w:rsid w:val="00F67579"/>
    <w:rsid w:val="00F67A7B"/>
    <w:rsid w:val="00F700D7"/>
    <w:rsid w:val="00F70486"/>
    <w:rsid w:val="00F7080E"/>
    <w:rsid w:val="00F70B38"/>
    <w:rsid w:val="00F70F8D"/>
    <w:rsid w:val="00F710A1"/>
    <w:rsid w:val="00F71212"/>
    <w:rsid w:val="00F7121D"/>
    <w:rsid w:val="00F712B8"/>
    <w:rsid w:val="00F7139E"/>
    <w:rsid w:val="00F7144B"/>
    <w:rsid w:val="00F718A1"/>
    <w:rsid w:val="00F722D9"/>
    <w:rsid w:val="00F72744"/>
    <w:rsid w:val="00F73201"/>
    <w:rsid w:val="00F73505"/>
    <w:rsid w:val="00F735CD"/>
    <w:rsid w:val="00F736EB"/>
    <w:rsid w:val="00F73A09"/>
    <w:rsid w:val="00F73B94"/>
    <w:rsid w:val="00F73C3D"/>
    <w:rsid w:val="00F74231"/>
    <w:rsid w:val="00F7437E"/>
    <w:rsid w:val="00F746AF"/>
    <w:rsid w:val="00F746FB"/>
    <w:rsid w:val="00F748FD"/>
    <w:rsid w:val="00F74B88"/>
    <w:rsid w:val="00F74F5C"/>
    <w:rsid w:val="00F751FD"/>
    <w:rsid w:val="00F7606B"/>
    <w:rsid w:val="00F7637D"/>
    <w:rsid w:val="00F763F3"/>
    <w:rsid w:val="00F7665C"/>
    <w:rsid w:val="00F766ED"/>
    <w:rsid w:val="00F7691F"/>
    <w:rsid w:val="00F76B15"/>
    <w:rsid w:val="00F772D0"/>
    <w:rsid w:val="00F779BA"/>
    <w:rsid w:val="00F77A1B"/>
    <w:rsid w:val="00F8020E"/>
    <w:rsid w:val="00F807C9"/>
    <w:rsid w:val="00F80B9E"/>
    <w:rsid w:val="00F80F70"/>
    <w:rsid w:val="00F813BA"/>
    <w:rsid w:val="00F8212A"/>
    <w:rsid w:val="00F821B2"/>
    <w:rsid w:val="00F823A4"/>
    <w:rsid w:val="00F828CA"/>
    <w:rsid w:val="00F82DA6"/>
    <w:rsid w:val="00F82E53"/>
    <w:rsid w:val="00F82FC2"/>
    <w:rsid w:val="00F836C6"/>
    <w:rsid w:val="00F83712"/>
    <w:rsid w:val="00F838EB"/>
    <w:rsid w:val="00F83A8A"/>
    <w:rsid w:val="00F83F45"/>
    <w:rsid w:val="00F83FBE"/>
    <w:rsid w:val="00F848EF"/>
    <w:rsid w:val="00F848F8"/>
    <w:rsid w:val="00F852BD"/>
    <w:rsid w:val="00F852F4"/>
    <w:rsid w:val="00F85662"/>
    <w:rsid w:val="00F86526"/>
    <w:rsid w:val="00F866A0"/>
    <w:rsid w:val="00F866B1"/>
    <w:rsid w:val="00F8690F"/>
    <w:rsid w:val="00F870E3"/>
    <w:rsid w:val="00F874A9"/>
    <w:rsid w:val="00F9099C"/>
    <w:rsid w:val="00F90A38"/>
    <w:rsid w:val="00F90B95"/>
    <w:rsid w:val="00F90D83"/>
    <w:rsid w:val="00F90FAE"/>
    <w:rsid w:val="00F913CB"/>
    <w:rsid w:val="00F91465"/>
    <w:rsid w:val="00F9187E"/>
    <w:rsid w:val="00F91A45"/>
    <w:rsid w:val="00F91D9A"/>
    <w:rsid w:val="00F91E3F"/>
    <w:rsid w:val="00F922F5"/>
    <w:rsid w:val="00F9259F"/>
    <w:rsid w:val="00F92A0C"/>
    <w:rsid w:val="00F92C73"/>
    <w:rsid w:val="00F93325"/>
    <w:rsid w:val="00F936CC"/>
    <w:rsid w:val="00F93E50"/>
    <w:rsid w:val="00F94883"/>
    <w:rsid w:val="00F94B6A"/>
    <w:rsid w:val="00F94B93"/>
    <w:rsid w:val="00F94FA8"/>
    <w:rsid w:val="00F958E3"/>
    <w:rsid w:val="00F959DB"/>
    <w:rsid w:val="00F95C16"/>
    <w:rsid w:val="00F95F51"/>
    <w:rsid w:val="00F96290"/>
    <w:rsid w:val="00F968AC"/>
    <w:rsid w:val="00F968C9"/>
    <w:rsid w:val="00F96AB8"/>
    <w:rsid w:val="00F96B30"/>
    <w:rsid w:val="00F96ED9"/>
    <w:rsid w:val="00F96FB5"/>
    <w:rsid w:val="00F97A61"/>
    <w:rsid w:val="00FA0339"/>
    <w:rsid w:val="00FA04FF"/>
    <w:rsid w:val="00FA106C"/>
    <w:rsid w:val="00FA178E"/>
    <w:rsid w:val="00FA18C7"/>
    <w:rsid w:val="00FA1C96"/>
    <w:rsid w:val="00FA20B3"/>
    <w:rsid w:val="00FA2148"/>
    <w:rsid w:val="00FA2344"/>
    <w:rsid w:val="00FA2603"/>
    <w:rsid w:val="00FA2A61"/>
    <w:rsid w:val="00FA3E1D"/>
    <w:rsid w:val="00FA46C1"/>
    <w:rsid w:val="00FA4B12"/>
    <w:rsid w:val="00FA4DD8"/>
    <w:rsid w:val="00FA4E1E"/>
    <w:rsid w:val="00FA5036"/>
    <w:rsid w:val="00FA5411"/>
    <w:rsid w:val="00FA54C8"/>
    <w:rsid w:val="00FA5768"/>
    <w:rsid w:val="00FA598D"/>
    <w:rsid w:val="00FA618C"/>
    <w:rsid w:val="00FA61D8"/>
    <w:rsid w:val="00FA6609"/>
    <w:rsid w:val="00FA6B6A"/>
    <w:rsid w:val="00FA6CAA"/>
    <w:rsid w:val="00FA6DEA"/>
    <w:rsid w:val="00FA70C7"/>
    <w:rsid w:val="00FA77A5"/>
    <w:rsid w:val="00FA7955"/>
    <w:rsid w:val="00FA7E79"/>
    <w:rsid w:val="00FB03E8"/>
    <w:rsid w:val="00FB04DD"/>
    <w:rsid w:val="00FB0A79"/>
    <w:rsid w:val="00FB0C6E"/>
    <w:rsid w:val="00FB125E"/>
    <w:rsid w:val="00FB1327"/>
    <w:rsid w:val="00FB150D"/>
    <w:rsid w:val="00FB165F"/>
    <w:rsid w:val="00FB18DA"/>
    <w:rsid w:val="00FB1BAA"/>
    <w:rsid w:val="00FB20CD"/>
    <w:rsid w:val="00FB29F6"/>
    <w:rsid w:val="00FB2FD0"/>
    <w:rsid w:val="00FB3400"/>
    <w:rsid w:val="00FB344A"/>
    <w:rsid w:val="00FB3509"/>
    <w:rsid w:val="00FB36BD"/>
    <w:rsid w:val="00FB3831"/>
    <w:rsid w:val="00FB38B0"/>
    <w:rsid w:val="00FB3D15"/>
    <w:rsid w:val="00FB43F0"/>
    <w:rsid w:val="00FB4733"/>
    <w:rsid w:val="00FB4913"/>
    <w:rsid w:val="00FB4EC6"/>
    <w:rsid w:val="00FB4EF8"/>
    <w:rsid w:val="00FB50A7"/>
    <w:rsid w:val="00FB5E10"/>
    <w:rsid w:val="00FB624E"/>
    <w:rsid w:val="00FB648A"/>
    <w:rsid w:val="00FB65F9"/>
    <w:rsid w:val="00FB6D52"/>
    <w:rsid w:val="00FB6DE2"/>
    <w:rsid w:val="00FC0206"/>
    <w:rsid w:val="00FC0C72"/>
    <w:rsid w:val="00FC0D62"/>
    <w:rsid w:val="00FC0EB1"/>
    <w:rsid w:val="00FC1549"/>
    <w:rsid w:val="00FC18FD"/>
    <w:rsid w:val="00FC19B0"/>
    <w:rsid w:val="00FC23DD"/>
    <w:rsid w:val="00FC2950"/>
    <w:rsid w:val="00FC3029"/>
    <w:rsid w:val="00FC3466"/>
    <w:rsid w:val="00FC378E"/>
    <w:rsid w:val="00FC37B9"/>
    <w:rsid w:val="00FC3A49"/>
    <w:rsid w:val="00FC3D6C"/>
    <w:rsid w:val="00FC3DF5"/>
    <w:rsid w:val="00FC401B"/>
    <w:rsid w:val="00FC486B"/>
    <w:rsid w:val="00FC4C85"/>
    <w:rsid w:val="00FC520C"/>
    <w:rsid w:val="00FC540C"/>
    <w:rsid w:val="00FC541E"/>
    <w:rsid w:val="00FC5540"/>
    <w:rsid w:val="00FC564A"/>
    <w:rsid w:val="00FC63EA"/>
    <w:rsid w:val="00FC65F0"/>
    <w:rsid w:val="00FC6D4A"/>
    <w:rsid w:val="00FC7375"/>
    <w:rsid w:val="00FC73C5"/>
    <w:rsid w:val="00FC7C90"/>
    <w:rsid w:val="00FD0291"/>
    <w:rsid w:val="00FD0311"/>
    <w:rsid w:val="00FD04B7"/>
    <w:rsid w:val="00FD05A3"/>
    <w:rsid w:val="00FD0851"/>
    <w:rsid w:val="00FD0A64"/>
    <w:rsid w:val="00FD0E93"/>
    <w:rsid w:val="00FD0EBA"/>
    <w:rsid w:val="00FD1D87"/>
    <w:rsid w:val="00FD201A"/>
    <w:rsid w:val="00FD21EE"/>
    <w:rsid w:val="00FD2969"/>
    <w:rsid w:val="00FD2F0A"/>
    <w:rsid w:val="00FD312D"/>
    <w:rsid w:val="00FD33B5"/>
    <w:rsid w:val="00FD35CC"/>
    <w:rsid w:val="00FD3F5B"/>
    <w:rsid w:val="00FD4426"/>
    <w:rsid w:val="00FD4887"/>
    <w:rsid w:val="00FD49DE"/>
    <w:rsid w:val="00FD5010"/>
    <w:rsid w:val="00FD508A"/>
    <w:rsid w:val="00FD51DE"/>
    <w:rsid w:val="00FD546D"/>
    <w:rsid w:val="00FD549B"/>
    <w:rsid w:val="00FD57C2"/>
    <w:rsid w:val="00FD5B0C"/>
    <w:rsid w:val="00FD5DBC"/>
    <w:rsid w:val="00FD6185"/>
    <w:rsid w:val="00FD6286"/>
    <w:rsid w:val="00FD6458"/>
    <w:rsid w:val="00FD645D"/>
    <w:rsid w:val="00FD65B6"/>
    <w:rsid w:val="00FD68DC"/>
    <w:rsid w:val="00FD76C3"/>
    <w:rsid w:val="00FD7B72"/>
    <w:rsid w:val="00FD7EA2"/>
    <w:rsid w:val="00FE0679"/>
    <w:rsid w:val="00FE07ED"/>
    <w:rsid w:val="00FE0844"/>
    <w:rsid w:val="00FE0F1B"/>
    <w:rsid w:val="00FE14CF"/>
    <w:rsid w:val="00FE164E"/>
    <w:rsid w:val="00FE1BE6"/>
    <w:rsid w:val="00FE1E3E"/>
    <w:rsid w:val="00FE1F71"/>
    <w:rsid w:val="00FE2142"/>
    <w:rsid w:val="00FE2375"/>
    <w:rsid w:val="00FE2874"/>
    <w:rsid w:val="00FE2B13"/>
    <w:rsid w:val="00FE2C1B"/>
    <w:rsid w:val="00FE2CBB"/>
    <w:rsid w:val="00FE2DC5"/>
    <w:rsid w:val="00FE34B5"/>
    <w:rsid w:val="00FE3AC9"/>
    <w:rsid w:val="00FE3BF0"/>
    <w:rsid w:val="00FE45C0"/>
    <w:rsid w:val="00FE4640"/>
    <w:rsid w:val="00FE4ED1"/>
    <w:rsid w:val="00FE51F1"/>
    <w:rsid w:val="00FE5244"/>
    <w:rsid w:val="00FE5979"/>
    <w:rsid w:val="00FE5D19"/>
    <w:rsid w:val="00FE6189"/>
    <w:rsid w:val="00FE66F3"/>
    <w:rsid w:val="00FE6B3B"/>
    <w:rsid w:val="00FE6C5B"/>
    <w:rsid w:val="00FE7129"/>
    <w:rsid w:val="00FE767F"/>
    <w:rsid w:val="00FF00AB"/>
    <w:rsid w:val="00FF022D"/>
    <w:rsid w:val="00FF028A"/>
    <w:rsid w:val="00FF03F3"/>
    <w:rsid w:val="00FF0C0A"/>
    <w:rsid w:val="00FF0D27"/>
    <w:rsid w:val="00FF0DE7"/>
    <w:rsid w:val="00FF0EE5"/>
    <w:rsid w:val="00FF122A"/>
    <w:rsid w:val="00FF1694"/>
    <w:rsid w:val="00FF1869"/>
    <w:rsid w:val="00FF1D12"/>
    <w:rsid w:val="00FF1FCB"/>
    <w:rsid w:val="00FF23D7"/>
    <w:rsid w:val="00FF2624"/>
    <w:rsid w:val="00FF26F6"/>
    <w:rsid w:val="00FF2958"/>
    <w:rsid w:val="00FF2C73"/>
    <w:rsid w:val="00FF31F9"/>
    <w:rsid w:val="00FF3365"/>
    <w:rsid w:val="00FF3859"/>
    <w:rsid w:val="00FF3BA1"/>
    <w:rsid w:val="00FF4458"/>
    <w:rsid w:val="00FF4512"/>
    <w:rsid w:val="00FF4D52"/>
    <w:rsid w:val="00FF4F84"/>
    <w:rsid w:val="00FF55CD"/>
    <w:rsid w:val="00FF607F"/>
    <w:rsid w:val="00FF618D"/>
    <w:rsid w:val="00FF623A"/>
    <w:rsid w:val="00FF6388"/>
    <w:rsid w:val="00FF64BD"/>
    <w:rsid w:val="00FF6869"/>
    <w:rsid w:val="00FF6C1C"/>
    <w:rsid w:val="00FF6C9E"/>
    <w:rsid w:val="00FF6CB1"/>
    <w:rsid w:val="00FF7537"/>
    <w:rsid w:val="00FF75EC"/>
    <w:rsid w:val="00FF7818"/>
    <w:rsid w:val="04655ABF"/>
    <w:rsid w:val="070F7026"/>
    <w:rsid w:val="10FE098A"/>
    <w:rsid w:val="1FB87180"/>
    <w:rsid w:val="22155E77"/>
    <w:rsid w:val="3BC700DD"/>
    <w:rsid w:val="4A9912BB"/>
    <w:rsid w:val="5333271B"/>
    <w:rsid w:val="78D543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1"/>
      <w:szCs w:val="24"/>
      <w:lang w:val="en-US" w:eastAsia="zh-CN" w:bidi="ar-SA"/>
    </w:rPr>
  </w:style>
  <w:style w:type="paragraph" w:styleId="2">
    <w:name w:val="heading 1"/>
    <w:basedOn w:val="1"/>
    <w:next w:val="1"/>
    <w:link w:val="42"/>
    <w:qFormat/>
    <w:uiPriority w:val="99"/>
    <w:pPr>
      <w:keepNext/>
      <w:keepLines/>
      <w:widowControl w:val="0"/>
      <w:spacing w:before="60" w:after="60" w:line="360" w:lineRule="auto"/>
      <w:jc w:val="center"/>
      <w:outlineLvl w:val="0"/>
    </w:pPr>
    <w:rPr>
      <w:rFonts w:ascii="Calibri" w:hAnsi="Calibri" w:eastAsia="黑体" w:cs="Times New Roman"/>
      <w:b/>
      <w:bCs/>
      <w:kern w:val="44"/>
      <w:sz w:val="28"/>
      <w:szCs w:val="44"/>
    </w:rPr>
  </w:style>
  <w:style w:type="paragraph" w:styleId="3">
    <w:name w:val="heading 2"/>
    <w:basedOn w:val="1"/>
    <w:next w:val="1"/>
    <w:link w:val="43"/>
    <w:qFormat/>
    <w:uiPriority w:val="0"/>
    <w:pPr>
      <w:keepNext/>
      <w:keepLines/>
      <w:widowControl w:val="0"/>
      <w:spacing w:before="60" w:after="60"/>
      <w:jc w:val="both"/>
      <w:outlineLvl w:val="1"/>
    </w:pPr>
    <w:rPr>
      <w:rFonts w:ascii="Arial" w:hAnsi="Arial" w:cs="Times New Roman"/>
      <w:b/>
      <w:bCs/>
      <w:kern w:val="2"/>
      <w:szCs w:val="21"/>
    </w:rPr>
  </w:style>
  <w:style w:type="paragraph" w:styleId="4">
    <w:name w:val="heading 3"/>
    <w:basedOn w:val="1"/>
    <w:next w:val="1"/>
    <w:link w:val="44"/>
    <w:qFormat/>
    <w:uiPriority w:val="9"/>
    <w:pPr>
      <w:keepNext/>
      <w:keepLines/>
      <w:widowControl w:val="0"/>
      <w:spacing w:before="60" w:after="60"/>
      <w:jc w:val="both"/>
      <w:outlineLvl w:val="2"/>
    </w:pPr>
    <w:rPr>
      <w:rFonts w:ascii="Calibri" w:hAnsi="Calibri" w:cs="Times New Roman"/>
      <w:b/>
      <w:bCs/>
      <w:kern w:val="2"/>
      <w:szCs w:val="32"/>
    </w:rPr>
  </w:style>
  <w:style w:type="paragraph" w:styleId="5">
    <w:name w:val="heading 4"/>
    <w:basedOn w:val="1"/>
    <w:next w:val="1"/>
    <w:link w:val="45"/>
    <w:qFormat/>
    <w:uiPriority w:val="9"/>
    <w:pPr>
      <w:keepNext/>
      <w:keepLines/>
      <w:widowControl w:val="0"/>
      <w:spacing w:before="60" w:after="60"/>
      <w:jc w:val="both"/>
      <w:outlineLvl w:val="3"/>
    </w:pPr>
    <w:rPr>
      <w:rFonts w:ascii="Cambria" w:hAnsi="Cambria" w:cs="Times New Roman"/>
      <w:b/>
      <w:bCs/>
      <w:kern w:val="2"/>
      <w:szCs w:val="28"/>
    </w:rPr>
  </w:style>
  <w:style w:type="paragraph" w:styleId="6">
    <w:name w:val="heading 5"/>
    <w:basedOn w:val="1"/>
    <w:next w:val="1"/>
    <w:link w:val="46"/>
    <w:qFormat/>
    <w:uiPriority w:val="9"/>
    <w:pPr>
      <w:keepNext/>
      <w:keepLines/>
      <w:widowControl w:val="0"/>
      <w:spacing w:before="60" w:after="60"/>
      <w:jc w:val="both"/>
      <w:outlineLvl w:val="4"/>
    </w:pPr>
    <w:rPr>
      <w:rFonts w:ascii="Calibri" w:hAnsi="Calibri" w:cs="Times New Roman"/>
      <w:b/>
      <w:bCs/>
      <w:kern w:val="2"/>
      <w:szCs w:val="28"/>
    </w:rPr>
  </w:style>
  <w:style w:type="paragraph" w:styleId="7">
    <w:name w:val="heading 6"/>
    <w:basedOn w:val="1"/>
    <w:next w:val="1"/>
    <w:link w:val="71"/>
    <w:unhideWhenUsed/>
    <w:qFormat/>
    <w:uiPriority w:val="9"/>
    <w:pPr>
      <w:keepNext/>
      <w:keepLines/>
      <w:spacing w:before="60" w:after="60"/>
      <w:outlineLvl w:val="5"/>
    </w:pPr>
    <w:rPr>
      <w:rFonts w:asciiTheme="majorHAnsi" w:hAnsiTheme="majorHAnsi" w:cstheme="majorBidi"/>
      <w:b/>
      <w:bCs/>
    </w:rPr>
  </w:style>
  <w:style w:type="paragraph" w:styleId="8">
    <w:name w:val="heading 7"/>
    <w:basedOn w:val="1"/>
    <w:next w:val="1"/>
    <w:link w:val="77"/>
    <w:unhideWhenUsed/>
    <w:qFormat/>
    <w:uiPriority w:val="9"/>
    <w:pPr>
      <w:keepNext/>
      <w:keepLines/>
      <w:spacing w:before="240" w:after="64" w:line="320" w:lineRule="auto"/>
      <w:outlineLvl w:val="6"/>
    </w:pPr>
    <w:rPr>
      <w:b/>
      <w:bCs/>
      <w:sz w:val="24"/>
    </w:rPr>
  </w:style>
  <w:style w:type="character" w:default="1" w:styleId="36">
    <w:name w:val="Default Paragraph Font"/>
    <w:unhideWhenUsed/>
    <w:qFormat/>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styleId="9">
    <w:name w:val="annotation subject"/>
    <w:basedOn w:val="10"/>
    <w:next w:val="10"/>
    <w:link w:val="54"/>
    <w:unhideWhenUsed/>
    <w:qFormat/>
    <w:uiPriority w:val="99"/>
    <w:rPr>
      <w:rFonts w:ascii="Calibri" w:hAnsi="Calibri"/>
      <w:b/>
      <w:bCs/>
      <w:szCs w:val="22"/>
    </w:rPr>
  </w:style>
  <w:style w:type="paragraph" w:styleId="10">
    <w:name w:val="annotation text"/>
    <w:basedOn w:val="1"/>
    <w:link w:val="48"/>
    <w:qFormat/>
    <w:uiPriority w:val="0"/>
    <w:pPr>
      <w:widowControl w:val="0"/>
    </w:pPr>
    <w:rPr>
      <w:rFonts w:ascii="Times New Roman" w:hAnsi="Times New Roman" w:cs="Times New Roman"/>
      <w:kern w:val="2"/>
      <w:szCs w:val="21"/>
    </w:rPr>
  </w:style>
  <w:style w:type="paragraph" w:styleId="11">
    <w:name w:val="toc 7"/>
    <w:basedOn w:val="1"/>
    <w:next w:val="1"/>
    <w:unhideWhenUsed/>
    <w:qFormat/>
    <w:uiPriority w:val="39"/>
    <w:pPr>
      <w:widowControl w:val="0"/>
      <w:ind w:left="2520" w:leftChars="1200"/>
      <w:jc w:val="both"/>
    </w:pPr>
    <w:rPr>
      <w:rFonts w:asciiTheme="minorHAnsi" w:hAnsiTheme="minorHAnsi" w:eastAsiaTheme="minorEastAsia" w:cstheme="minorBidi"/>
      <w:kern w:val="2"/>
      <w:szCs w:val="22"/>
    </w:rPr>
  </w:style>
  <w:style w:type="paragraph" w:styleId="12">
    <w:name w:val="Note Heading"/>
    <w:basedOn w:val="1"/>
    <w:next w:val="1"/>
    <w:link w:val="62"/>
    <w:qFormat/>
    <w:uiPriority w:val="99"/>
    <w:pPr>
      <w:widowControl w:val="0"/>
      <w:jc w:val="center"/>
    </w:pPr>
    <w:rPr>
      <w:rFonts w:ascii="Times New Roman" w:hAnsi="Times New Roman" w:cs="Times New Roman"/>
      <w:kern w:val="2"/>
      <w:szCs w:val="21"/>
    </w:rPr>
  </w:style>
  <w:style w:type="paragraph" w:styleId="13">
    <w:name w:val="Normal Indent"/>
    <w:basedOn w:val="1"/>
    <w:qFormat/>
    <w:uiPriority w:val="0"/>
    <w:pPr>
      <w:widowControl w:val="0"/>
      <w:ind w:firstLine="420" w:firstLineChars="200"/>
      <w:jc w:val="both"/>
    </w:pPr>
    <w:rPr>
      <w:rFonts w:ascii="Times New Roman" w:hAnsi="Times New Roman" w:cs="Times New Roman"/>
      <w:kern w:val="2"/>
      <w:szCs w:val="21"/>
    </w:rPr>
  </w:style>
  <w:style w:type="paragraph" w:styleId="14">
    <w:name w:val="Document Map"/>
    <w:basedOn w:val="1"/>
    <w:link w:val="67"/>
    <w:unhideWhenUsed/>
    <w:qFormat/>
    <w:uiPriority w:val="99"/>
    <w:pPr>
      <w:widowControl w:val="0"/>
      <w:jc w:val="both"/>
    </w:pPr>
    <w:rPr>
      <w:rFonts w:hAnsi="Calibri" w:cs="Times New Roman"/>
      <w:kern w:val="2"/>
      <w:sz w:val="18"/>
      <w:szCs w:val="18"/>
    </w:rPr>
  </w:style>
  <w:style w:type="paragraph" w:styleId="15">
    <w:name w:val="toa heading"/>
    <w:basedOn w:val="1"/>
    <w:next w:val="1"/>
    <w:semiHidden/>
    <w:qFormat/>
    <w:uiPriority w:val="0"/>
    <w:pPr>
      <w:widowControl w:val="0"/>
      <w:spacing w:before="120"/>
      <w:jc w:val="both"/>
    </w:pPr>
    <w:rPr>
      <w:rFonts w:ascii="Arial" w:hAnsi="Arial" w:cs="Times New Roman"/>
      <w:b/>
      <w:bCs/>
      <w:kern w:val="2"/>
      <w:szCs w:val="21"/>
    </w:rPr>
  </w:style>
  <w:style w:type="paragraph" w:styleId="16">
    <w:name w:val="Salutation"/>
    <w:basedOn w:val="1"/>
    <w:next w:val="1"/>
    <w:link w:val="50"/>
    <w:qFormat/>
    <w:uiPriority w:val="99"/>
    <w:pPr>
      <w:widowControl w:val="0"/>
      <w:jc w:val="both"/>
    </w:pPr>
    <w:rPr>
      <w:rFonts w:ascii="Times New Roman" w:hAnsi="Times New Roman" w:cs="Times New Roman"/>
      <w:kern w:val="2"/>
      <w:szCs w:val="21"/>
    </w:rPr>
  </w:style>
  <w:style w:type="paragraph" w:styleId="17">
    <w:name w:val="List Bullet 3"/>
    <w:basedOn w:val="1"/>
    <w:qFormat/>
    <w:uiPriority w:val="0"/>
    <w:pPr>
      <w:widowControl w:val="0"/>
      <w:tabs>
        <w:tab w:val="left" w:pos="1200"/>
      </w:tabs>
      <w:jc w:val="both"/>
    </w:pPr>
    <w:rPr>
      <w:rFonts w:ascii="Times New Roman" w:hAnsi="Times New Roman" w:cs="Times New Roman"/>
      <w:kern w:val="2"/>
      <w:szCs w:val="21"/>
    </w:rPr>
  </w:style>
  <w:style w:type="paragraph" w:styleId="18">
    <w:name w:val="Body Text"/>
    <w:basedOn w:val="1"/>
    <w:link w:val="59"/>
    <w:qFormat/>
    <w:uiPriority w:val="99"/>
    <w:pPr>
      <w:widowControl w:val="0"/>
      <w:spacing w:after="120"/>
      <w:jc w:val="both"/>
    </w:pPr>
    <w:rPr>
      <w:rFonts w:ascii="Times New Roman" w:hAnsi="Times New Roman" w:cs="Times New Roman"/>
      <w:kern w:val="2"/>
      <w:szCs w:val="21"/>
    </w:rPr>
  </w:style>
  <w:style w:type="paragraph" w:styleId="19">
    <w:name w:val="toc 5"/>
    <w:basedOn w:val="1"/>
    <w:next w:val="1"/>
    <w:unhideWhenUsed/>
    <w:qFormat/>
    <w:uiPriority w:val="39"/>
    <w:pPr>
      <w:widowControl w:val="0"/>
      <w:ind w:left="1680" w:leftChars="800"/>
      <w:jc w:val="both"/>
    </w:pPr>
    <w:rPr>
      <w:rFonts w:asciiTheme="minorHAnsi" w:hAnsiTheme="minorHAnsi" w:eastAsiaTheme="minorEastAsia" w:cstheme="minorBidi"/>
      <w:kern w:val="2"/>
      <w:szCs w:val="22"/>
    </w:rPr>
  </w:style>
  <w:style w:type="paragraph" w:styleId="20">
    <w:name w:val="toc 3"/>
    <w:basedOn w:val="1"/>
    <w:next w:val="1"/>
    <w:unhideWhenUsed/>
    <w:qFormat/>
    <w:uiPriority w:val="39"/>
    <w:pPr>
      <w:spacing w:after="100" w:line="276" w:lineRule="auto"/>
      <w:ind w:left="440"/>
    </w:pPr>
    <w:rPr>
      <w:rFonts w:ascii="Calibri" w:hAnsi="Calibri" w:cs="Times New Roman"/>
      <w:sz w:val="22"/>
      <w:szCs w:val="22"/>
    </w:rPr>
  </w:style>
  <w:style w:type="paragraph" w:styleId="21">
    <w:name w:val="Plain Text"/>
    <w:basedOn w:val="1"/>
    <w:link w:val="57"/>
    <w:qFormat/>
    <w:uiPriority w:val="0"/>
    <w:pPr>
      <w:widowControl w:val="0"/>
      <w:jc w:val="both"/>
    </w:pPr>
    <w:rPr>
      <w:rFonts w:hAnsi="Courier New" w:cs="Times New Roman"/>
      <w:kern w:val="2"/>
      <w:szCs w:val="20"/>
    </w:rPr>
  </w:style>
  <w:style w:type="paragraph" w:styleId="22">
    <w:name w:val="toc 8"/>
    <w:basedOn w:val="1"/>
    <w:next w:val="1"/>
    <w:unhideWhenUsed/>
    <w:qFormat/>
    <w:uiPriority w:val="39"/>
    <w:pPr>
      <w:widowControl w:val="0"/>
      <w:ind w:left="2940" w:leftChars="1400"/>
      <w:jc w:val="both"/>
    </w:pPr>
    <w:rPr>
      <w:rFonts w:asciiTheme="minorHAnsi" w:hAnsiTheme="minorHAnsi" w:eastAsiaTheme="minorEastAsia" w:cstheme="minorBidi"/>
      <w:kern w:val="2"/>
      <w:szCs w:val="22"/>
    </w:rPr>
  </w:style>
  <w:style w:type="paragraph" w:styleId="23">
    <w:name w:val="Date"/>
    <w:basedOn w:val="1"/>
    <w:next w:val="1"/>
    <w:link w:val="61"/>
    <w:qFormat/>
    <w:uiPriority w:val="99"/>
    <w:pPr>
      <w:widowControl w:val="0"/>
      <w:ind w:left="100" w:leftChars="2500"/>
      <w:jc w:val="both"/>
    </w:pPr>
    <w:rPr>
      <w:rFonts w:ascii="Times New Roman" w:hAnsi="Times New Roman" w:cs="Times New Roman"/>
      <w:kern w:val="2"/>
      <w:szCs w:val="21"/>
    </w:rPr>
  </w:style>
  <w:style w:type="paragraph" w:styleId="24">
    <w:name w:val="endnote text"/>
    <w:basedOn w:val="1"/>
    <w:link w:val="72"/>
    <w:unhideWhenUsed/>
    <w:qFormat/>
    <w:uiPriority w:val="99"/>
    <w:pPr>
      <w:snapToGrid w:val="0"/>
    </w:pPr>
  </w:style>
  <w:style w:type="paragraph" w:styleId="25">
    <w:name w:val="Balloon Text"/>
    <w:basedOn w:val="1"/>
    <w:link w:val="49"/>
    <w:unhideWhenUsed/>
    <w:uiPriority w:val="99"/>
    <w:pPr>
      <w:widowControl w:val="0"/>
      <w:jc w:val="both"/>
    </w:pPr>
    <w:rPr>
      <w:rFonts w:ascii="Calibri" w:hAnsi="Calibri" w:cs="Times New Roman"/>
      <w:kern w:val="2"/>
      <w:sz w:val="18"/>
      <w:szCs w:val="18"/>
    </w:rPr>
  </w:style>
  <w:style w:type="paragraph" w:styleId="26">
    <w:name w:val="footer"/>
    <w:basedOn w:val="1"/>
    <w:link w:val="56"/>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27">
    <w:name w:val="header"/>
    <w:basedOn w:val="1"/>
    <w:link w:val="55"/>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28">
    <w:name w:val="toc 1"/>
    <w:basedOn w:val="1"/>
    <w:next w:val="1"/>
    <w:qFormat/>
    <w:uiPriority w:val="39"/>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9">
    <w:name w:val="toc 4"/>
    <w:basedOn w:val="1"/>
    <w:next w:val="1"/>
    <w:unhideWhenUsed/>
    <w:qFormat/>
    <w:uiPriority w:val="39"/>
    <w:pPr>
      <w:widowControl w:val="0"/>
      <w:ind w:left="1260" w:leftChars="600"/>
      <w:jc w:val="both"/>
    </w:pPr>
    <w:rPr>
      <w:rFonts w:asciiTheme="minorHAnsi" w:hAnsiTheme="minorHAnsi" w:eastAsiaTheme="minorEastAsia" w:cstheme="minorBidi"/>
      <w:kern w:val="2"/>
      <w:szCs w:val="22"/>
    </w:rPr>
  </w:style>
  <w:style w:type="paragraph" w:styleId="30">
    <w:name w:val="toc 6"/>
    <w:basedOn w:val="1"/>
    <w:next w:val="1"/>
    <w:unhideWhenUsed/>
    <w:qFormat/>
    <w:uiPriority w:val="39"/>
    <w:pPr>
      <w:widowControl w:val="0"/>
      <w:ind w:left="2100" w:leftChars="1000"/>
      <w:jc w:val="both"/>
    </w:pPr>
    <w:rPr>
      <w:rFonts w:asciiTheme="minorHAnsi" w:hAnsiTheme="minorHAnsi" w:eastAsiaTheme="minorEastAsia" w:cstheme="minorBidi"/>
      <w:kern w:val="2"/>
      <w:szCs w:val="22"/>
    </w:rPr>
  </w:style>
  <w:style w:type="paragraph" w:styleId="31">
    <w:name w:val="toc 2"/>
    <w:basedOn w:val="1"/>
    <w:next w:val="1"/>
    <w:qFormat/>
    <w:uiPriority w:val="39"/>
    <w:pPr>
      <w:widowControl w:val="0"/>
      <w:ind w:left="420" w:leftChars="200"/>
      <w:jc w:val="both"/>
    </w:pPr>
    <w:rPr>
      <w:rFonts w:ascii="Times New Roman" w:hAnsi="Times New Roman" w:cs="Times New Roman"/>
      <w:kern w:val="2"/>
      <w:szCs w:val="21"/>
    </w:rPr>
  </w:style>
  <w:style w:type="paragraph" w:styleId="32">
    <w:name w:val="toc 9"/>
    <w:basedOn w:val="1"/>
    <w:next w:val="1"/>
    <w:unhideWhenUsed/>
    <w:qFormat/>
    <w:uiPriority w:val="39"/>
    <w:pPr>
      <w:widowControl w:val="0"/>
      <w:ind w:left="3360" w:leftChars="1600"/>
      <w:jc w:val="both"/>
    </w:pPr>
    <w:rPr>
      <w:rFonts w:asciiTheme="minorHAnsi" w:hAnsiTheme="minorHAnsi" w:eastAsiaTheme="minorEastAsia" w:cstheme="minorBidi"/>
      <w:kern w:val="2"/>
      <w:szCs w:val="22"/>
    </w:rPr>
  </w:style>
  <w:style w:type="paragraph" w:styleId="33">
    <w:name w:val="Normal (Web)"/>
    <w:basedOn w:val="1"/>
    <w:qFormat/>
    <w:uiPriority w:val="99"/>
    <w:pPr>
      <w:spacing w:before="100" w:beforeAutospacing="1" w:after="100" w:afterAutospacing="1"/>
    </w:pPr>
    <w:rPr>
      <w:sz w:val="24"/>
    </w:rPr>
  </w:style>
  <w:style w:type="paragraph" w:styleId="34">
    <w:name w:val="index 1"/>
    <w:basedOn w:val="1"/>
    <w:next w:val="1"/>
    <w:semiHidden/>
    <w:qFormat/>
    <w:uiPriority w:val="0"/>
    <w:pPr>
      <w:ind w:firstLine="420" w:firstLineChars="200"/>
    </w:pPr>
    <w:rPr>
      <w:rFonts w:cs="Times New Roman"/>
      <w:color w:val="000000"/>
      <w:szCs w:val="21"/>
    </w:rPr>
  </w:style>
  <w:style w:type="paragraph" w:styleId="35">
    <w:name w:val="Title"/>
    <w:basedOn w:val="1"/>
    <w:next w:val="1"/>
    <w:link w:val="69"/>
    <w:qFormat/>
    <w:uiPriority w:val="10"/>
    <w:pPr>
      <w:widowControl w:val="0"/>
      <w:spacing w:before="240" w:after="60"/>
      <w:jc w:val="center"/>
      <w:outlineLvl w:val="0"/>
    </w:pPr>
    <w:rPr>
      <w:rFonts w:asciiTheme="majorHAnsi" w:hAnsiTheme="majorHAnsi" w:cstheme="majorBidi"/>
      <w:b/>
      <w:bCs/>
      <w:kern w:val="2"/>
      <w:sz w:val="32"/>
      <w:szCs w:val="32"/>
    </w:rPr>
  </w:style>
  <w:style w:type="character" w:styleId="37">
    <w:name w:val="endnote reference"/>
    <w:basedOn w:val="36"/>
    <w:unhideWhenUsed/>
    <w:qFormat/>
    <w:uiPriority w:val="99"/>
    <w:rPr>
      <w:vertAlign w:val="superscript"/>
    </w:rPr>
  </w:style>
  <w:style w:type="character" w:styleId="38">
    <w:name w:val="Hyperlink"/>
    <w:basedOn w:val="36"/>
    <w:qFormat/>
    <w:uiPriority w:val="99"/>
    <w:rPr>
      <w:rFonts w:cs="Times New Roman"/>
      <w:color w:val="0000FF"/>
      <w:u w:val="single"/>
    </w:rPr>
  </w:style>
  <w:style w:type="character" w:styleId="39">
    <w:name w:val="annotation reference"/>
    <w:basedOn w:val="36"/>
    <w:uiPriority w:val="0"/>
    <w:rPr>
      <w:rFonts w:eastAsia="宋体" w:cs="Times New Roman"/>
      <w:kern w:val="2"/>
      <w:sz w:val="21"/>
      <w:szCs w:val="21"/>
      <w:lang w:val="en-US" w:eastAsia="zh-CN" w:bidi="ar-SA"/>
    </w:rPr>
  </w:style>
  <w:style w:type="table" w:styleId="41">
    <w:name w:val="Table Grid"/>
    <w:basedOn w:val="40"/>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2">
    <w:name w:val="标题 1 Char"/>
    <w:basedOn w:val="36"/>
    <w:link w:val="2"/>
    <w:qFormat/>
    <w:uiPriority w:val="99"/>
    <w:rPr>
      <w:rFonts w:eastAsia="黑体"/>
      <w:b/>
      <w:bCs/>
      <w:kern w:val="44"/>
      <w:sz w:val="28"/>
      <w:szCs w:val="44"/>
    </w:rPr>
  </w:style>
  <w:style w:type="character" w:customStyle="1" w:styleId="43">
    <w:name w:val="标题 2 Char"/>
    <w:basedOn w:val="36"/>
    <w:link w:val="3"/>
    <w:qFormat/>
    <w:uiPriority w:val="0"/>
    <w:rPr>
      <w:rFonts w:ascii="Arial" w:hAnsi="Arial"/>
      <w:b/>
      <w:bCs/>
      <w:kern w:val="2"/>
      <w:sz w:val="21"/>
      <w:szCs w:val="21"/>
    </w:rPr>
  </w:style>
  <w:style w:type="character" w:customStyle="1" w:styleId="44">
    <w:name w:val="标题 3 Char"/>
    <w:basedOn w:val="36"/>
    <w:link w:val="4"/>
    <w:uiPriority w:val="9"/>
    <w:rPr>
      <w:b/>
      <w:bCs/>
      <w:kern w:val="2"/>
      <w:sz w:val="21"/>
      <w:szCs w:val="32"/>
    </w:rPr>
  </w:style>
  <w:style w:type="character" w:customStyle="1" w:styleId="45">
    <w:name w:val="标题 4 Char"/>
    <w:basedOn w:val="36"/>
    <w:link w:val="5"/>
    <w:qFormat/>
    <w:uiPriority w:val="9"/>
    <w:rPr>
      <w:rFonts w:ascii="Cambria" w:hAnsi="Cambria"/>
      <w:b/>
      <w:bCs/>
      <w:kern w:val="2"/>
      <w:sz w:val="21"/>
      <w:szCs w:val="28"/>
    </w:rPr>
  </w:style>
  <w:style w:type="character" w:customStyle="1" w:styleId="46">
    <w:name w:val="标题 5 Char"/>
    <w:basedOn w:val="36"/>
    <w:link w:val="6"/>
    <w:qFormat/>
    <w:uiPriority w:val="9"/>
    <w:rPr>
      <w:b/>
      <w:bCs/>
      <w:kern w:val="2"/>
      <w:sz w:val="21"/>
      <w:szCs w:val="28"/>
    </w:rPr>
  </w:style>
  <w:style w:type="paragraph" w:customStyle="1" w:styleId="47">
    <w:name w:val="TOC 标题1"/>
    <w:basedOn w:val="2"/>
    <w:next w:val="1"/>
    <w:qFormat/>
    <w:uiPriority w:val="39"/>
    <w:pPr>
      <w:widowControl/>
      <w:spacing w:before="480" w:after="0" w:line="276" w:lineRule="auto"/>
      <w:outlineLvl w:val="9"/>
    </w:pPr>
    <w:rPr>
      <w:rFonts w:ascii="Cambria" w:hAnsi="Cambria" w:eastAsia="宋体"/>
      <w:color w:val="365F91"/>
      <w:kern w:val="0"/>
      <w:szCs w:val="28"/>
    </w:rPr>
  </w:style>
  <w:style w:type="character" w:customStyle="1" w:styleId="48">
    <w:name w:val="批注文字 Char"/>
    <w:basedOn w:val="36"/>
    <w:link w:val="10"/>
    <w:qFormat/>
    <w:uiPriority w:val="0"/>
    <w:rPr>
      <w:rFonts w:ascii="Times New Roman" w:hAnsi="Times New Roman" w:eastAsia="宋体" w:cs="Times New Roman"/>
      <w:szCs w:val="21"/>
    </w:rPr>
  </w:style>
  <w:style w:type="character" w:customStyle="1" w:styleId="49">
    <w:name w:val="批注框文本 Char"/>
    <w:basedOn w:val="36"/>
    <w:link w:val="25"/>
    <w:qFormat/>
    <w:uiPriority w:val="99"/>
    <w:rPr>
      <w:rFonts w:ascii="Calibri" w:hAnsi="Calibri" w:eastAsia="宋体" w:cs="Times New Roman"/>
      <w:sz w:val="18"/>
      <w:szCs w:val="18"/>
    </w:rPr>
  </w:style>
  <w:style w:type="character" w:customStyle="1" w:styleId="50">
    <w:name w:val="称呼 Char"/>
    <w:basedOn w:val="36"/>
    <w:link w:val="16"/>
    <w:uiPriority w:val="99"/>
    <w:rPr>
      <w:rFonts w:ascii="Times New Roman" w:hAnsi="Times New Roman" w:eastAsia="宋体" w:cs="Times New Roman"/>
      <w:szCs w:val="21"/>
    </w:rPr>
  </w:style>
  <w:style w:type="character" w:customStyle="1" w:styleId="51">
    <w:name w:val="notnullcss1"/>
    <w:basedOn w:val="36"/>
    <w:qFormat/>
    <w:uiPriority w:val="99"/>
    <w:rPr>
      <w:rFonts w:eastAsia="宋体" w:cs="Times New Roman"/>
      <w:color w:val="FF0000"/>
      <w:kern w:val="2"/>
      <w:sz w:val="24"/>
      <w:szCs w:val="24"/>
      <w:lang w:val="en-US" w:eastAsia="zh-CN" w:bidi="ar-SA"/>
    </w:rPr>
  </w:style>
  <w:style w:type="paragraph" w:customStyle="1" w:styleId="52">
    <w:name w:val="xl61"/>
    <w:basedOn w:val="1"/>
    <w:qFormat/>
    <w:uiPriority w:val="99"/>
    <w:pPr>
      <w:spacing w:before="100" w:after="100"/>
      <w:jc w:val="right"/>
    </w:pPr>
    <w:rPr>
      <w:rFonts w:ascii="Arial Unicode MS" w:hAnsi="Times New Roman" w:eastAsia="Arial Unicode MS" w:cs="Times New Roman"/>
      <w:sz w:val="18"/>
      <w:szCs w:val="18"/>
    </w:rPr>
  </w:style>
  <w:style w:type="paragraph" w:styleId="53">
    <w:name w:val="List Paragraph"/>
    <w:basedOn w:val="1"/>
    <w:qFormat/>
    <w:uiPriority w:val="34"/>
    <w:pPr>
      <w:widowControl w:val="0"/>
      <w:ind w:firstLine="420" w:firstLineChars="200"/>
      <w:jc w:val="both"/>
    </w:pPr>
    <w:rPr>
      <w:rFonts w:ascii="Calibri" w:hAnsi="Calibri" w:cs="Times New Roman"/>
      <w:kern w:val="2"/>
      <w:szCs w:val="22"/>
    </w:rPr>
  </w:style>
  <w:style w:type="character" w:customStyle="1" w:styleId="54">
    <w:name w:val="批注主题 Char"/>
    <w:basedOn w:val="48"/>
    <w:link w:val="9"/>
    <w:qFormat/>
    <w:uiPriority w:val="99"/>
    <w:rPr>
      <w:rFonts w:ascii="Calibri" w:hAnsi="Calibri" w:eastAsia="宋体" w:cs="Times New Roman"/>
      <w:b/>
      <w:bCs/>
      <w:szCs w:val="21"/>
    </w:rPr>
  </w:style>
  <w:style w:type="character" w:customStyle="1" w:styleId="55">
    <w:name w:val="页眉 Char"/>
    <w:basedOn w:val="36"/>
    <w:link w:val="27"/>
    <w:qFormat/>
    <w:uiPriority w:val="99"/>
    <w:rPr>
      <w:rFonts w:ascii="Calibri" w:hAnsi="Calibri" w:eastAsia="宋体" w:cs="Times New Roman"/>
      <w:sz w:val="18"/>
      <w:szCs w:val="18"/>
    </w:rPr>
  </w:style>
  <w:style w:type="character" w:customStyle="1" w:styleId="56">
    <w:name w:val="页脚 Char"/>
    <w:basedOn w:val="36"/>
    <w:link w:val="26"/>
    <w:qFormat/>
    <w:uiPriority w:val="99"/>
    <w:rPr>
      <w:rFonts w:ascii="Calibri" w:hAnsi="Calibri" w:eastAsia="宋体" w:cs="Times New Roman"/>
      <w:sz w:val="18"/>
      <w:szCs w:val="18"/>
    </w:rPr>
  </w:style>
  <w:style w:type="character" w:customStyle="1" w:styleId="57">
    <w:name w:val="纯文本 Char"/>
    <w:basedOn w:val="36"/>
    <w:link w:val="21"/>
    <w:qFormat/>
    <w:uiPriority w:val="0"/>
    <w:rPr>
      <w:rFonts w:ascii="宋体" w:hAnsi="Courier New" w:eastAsia="宋体" w:cs="Times New Roman"/>
      <w:szCs w:val="20"/>
    </w:rPr>
  </w:style>
  <w:style w:type="character" w:customStyle="1" w:styleId="58">
    <w:name w:val="headline-content2"/>
    <w:basedOn w:val="36"/>
    <w:qFormat/>
    <w:uiPriority w:val="0"/>
    <w:rPr>
      <w:rFonts w:eastAsia="宋体" w:cs="Times New Roman"/>
      <w:kern w:val="2"/>
      <w:sz w:val="24"/>
      <w:szCs w:val="24"/>
      <w:lang w:val="en-US" w:eastAsia="zh-CN" w:bidi="ar-SA"/>
    </w:rPr>
  </w:style>
  <w:style w:type="character" w:customStyle="1" w:styleId="59">
    <w:name w:val="正文文本 Char"/>
    <w:basedOn w:val="36"/>
    <w:link w:val="18"/>
    <w:qFormat/>
    <w:uiPriority w:val="99"/>
    <w:rPr>
      <w:rFonts w:ascii="Times New Roman" w:hAnsi="Times New Roman" w:eastAsia="宋体" w:cs="Times New Roman"/>
      <w:szCs w:val="21"/>
    </w:rPr>
  </w:style>
  <w:style w:type="paragraph" w:customStyle="1" w:styleId="60">
    <w:name w:val="write2"/>
    <w:basedOn w:val="1"/>
    <w:qFormat/>
    <w:uiPriority w:val="99"/>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character" w:customStyle="1" w:styleId="61">
    <w:name w:val="日期 Char"/>
    <w:basedOn w:val="36"/>
    <w:link w:val="23"/>
    <w:qFormat/>
    <w:uiPriority w:val="99"/>
    <w:rPr>
      <w:rFonts w:ascii="Times New Roman" w:hAnsi="Times New Roman" w:eastAsia="宋体" w:cs="Times New Roman"/>
      <w:szCs w:val="21"/>
    </w:rPr>
  </w:style>
  <w:style w:type="character" w:customStyle="1" w:styleId="62">
    <w:name w:val="注释标题 Char"/>
    <w:basedOn w:val="36"/>
    <w:link w:val="12"/>
    <w:qFormat/>
    <w:uiPriority w:val="99"/>
    <w:rPr>
      <w:rFonts w:ascii="Times New Roman" w:hAnsi="Times New Roman" w:eastAsia="宋体" w:cs="Times New Roman"/>
      <w:szCs w:val="21"/>
    </w:rPr>
  </w:style>
  <w:style w:type="paragraph" w:customStyle="1" w:styleId="63">
    <w:name w:val="标题5"/>
    <w:basedOn w:val="1"/>
    <w:qFormat/>
    <w:uiPriority w:val="0"/>
    <w:pPr>
      <w:keepNext/>
      <w:keepLines/>
      <w:widowControl w:val="0"/>
      <w:spacing w:before="60" w:after="60"/>
      <w:ind w:hanging="420" w:hangingChars="200"/>
      <w:jc w:val="both"/>
      <w:outlineLvl w:val="4"/>
    </w:pPr>
    <w:rPr>
      <w:rFonts w:cs="Times New Roman"/>
      <w:b/>
      <w:bCs/>
      <w:kern w:val="2"/>
      <w:szCs w:val="21"/>
    </w:rPr>
  </w:style>
  <w:style w:type="paragraph" w:customStyle="1" w:styleId="64">
    <w:name w:val="修订1"/>
    <w:hidden/>
    <w:semiHidden/>
    <w:qFormat/>
    <w:uiPriority w:val="99"/>
    <w:rPr>
      <w:rFonts w:ascii="Calibri" w:hAnsi="Calibri" w:eastAsia="宋体" w:cs="Times New Roman"/>
      <w:kern w:val="2"/>
      <w:sz w:val="21"/>
      <w:szCs w:val="22"/>
      <w:lang w:val="en-US" w:eastAsia="zh-CN" w:bidi="ar-SA"/>
    </w:rPr>
  </w:style>
  <w:style w:type="character" w:customStyle="1" w:styleId="65">
    <w:name w:val="正文的样式 Char"/>
    <w:basedOn w:val="36"/>
    <w:link w:val="66"/>
    <w:qFormat/>
    <w:uiPriority w:val="0"/>
    <w:rPr>
      <w:kern w:val="2"/>
      <w:sz w:val="21"/>
      <w:szCs w:val="24"/>
    </w:rPr>
  </w:style>
  <w:style w:type="paragraph" w:customStyle="1" w:styleId="66">
    <w:name w:val="正文的样式"/>
    <w:basedOn w:val="1"/>
    <w:link w:val="65"/>
    <w:qFormat/>
    <w:uiPriority w:val="0"/>
    <w:pPr>
      <w:widowControl w:val="0"/>
      <w:spacing w:before="100" w:after="100"/>
      <w:jc w:val="both"/>
    </w:pPr>
    <w:rPr>
      <w:rFonts w:ascii="Calibri" w:hAnsi="Calibri" w:cs="Times New Roman"/>
      <w:kern w:val="2"/>
    </w:rPr>
  </w:style>
  <w:style w:type="character" w:customStyle="1" w:styleId="67">
    <w:name w:val="文档结构图 Char"/>
    <w:basedOn w:val="36"/>
    <w:link w:val="14"/>
    <w:semiHidden/>
    <w:qFormat/>
    <w:uiPriority w:val="99"/>
    <w:rPr>
      <w:rFonts w:ascii="宋体"/>
      <w:kern w:val="2"/>
      <w:sz w:val="18"/>
      <w:szCs w:val="18"/>
    </w:rPr>
  </w:style>
  <w:style w:type="character" w:styleId="68">
    <w:name w:val="Placeholder Text"/>
    <w:basedOn w:val="36"/>
    <w:semiHidden/>
    <w:qFormat/>
    <w:uiPriority w:val="99"/>
    <w:rPr>
      <w:color w:val="auto"/>
    </w:rPr>
  </w:style>
  <w:style w:type="character" w:customStyle="1" w:styleId="69">
    <w:name w:val="标题 Char"/>
    <w:basedOn w:val="36"/>
    <w:link w:val="35"/>
    <w:qFormat/>
    <w:uiPriority w:val="10"/>
    <w:rPr>
      <w:rFonts w:asciiTheme="majorHAnsi" w:hAnsiTheme="majorHAnsi" w:cstheme="majorBidi"/>
      <w:b/>
      <w:bCs/>
      <w:kern w:val="2"/>
      <w:sz w:val="32"/>
      <w:szCs w:val="32"/>
    </w:rPr>
  </w:style>
  <w:style w:type="paragraph" w:styleId="7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71">
    <w:name w:val="标题 6 Char"/>
    <w:basedOn w:val="36"/>
    <w:link w:val="7"/>
    <w:qFormat/>
    <w:uiPriority w:val="9"/>
    <w:rPr>
      <w:rFonts w:asciiTheme="majorHAnsi" w:hAnsiTheme="majorHAnsi" w:cstheme="majorBidi"/>
      <w:b/>
      <w:bCs/>
      <w:sz w:val="21"/>
      <w:szCs w:val="24"/>
    </w:rPr>
  </w:style>
  <w:style w:type="character" w:customStyle="1" w:styleId="72">
    <w:name w:val="尾注文本 Char"/>
    <w:basedOn w:val="36"/>
    <w:link w:val="24"/>
    <w:semiHidden/>
    <w:qFormat/>
    <w:uiPriority w:val="99"/>
    <w:rPr>
      <w:rFonts w:ascii="宋体" w:hAnsi="宋体" w:cs="宋体"/>
      <w:sz w:val="21"/>
      <w:szCs w:val="24"/>
    </w:rPr>
  </w:style>
  <w:style w:type="character" w:customStyle="1" w:styleId="73">
    <w:name w:val="批注主题 Char1"/>
    <w:basedOn w:val="48"/>
    <w:semiHidden/>
    <w:qFormat/>
    <w:uiPriority w:val="99"/>
    <w:rPr>
      <w:rFonts w:ascii="Times New Roman" w:hAnsi="Times New Roman" w:eastAsia="宋体" w:cs="Times New Roman"/>
      <w:b/>
      <w:bCs/>
      <w:szCs w:val="21"/>
    </w:rPr>
  </w:style>
  <w:style w:type="character" w:customStyle="1" w:styleId="74">
    <w:name w:val="span_"/>
    <w:basedOn w:val="36"/>
    <w:qFormat/>
    <w:uiPriority w:val="0"/>
  </w:style>
  <w:style w:type="paragraph" w:customStyle="1" w:styleId="75">
    <w:name w:val="标题  3"/>
    <w:basedOn w:val="1"/>
    <w:next w:val="1"/>
    <w:link w:val="76"/>
    <w:qFormat/>
    <w:uiPriority w:val="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76">
    <w:name w:val="标题  3 Char"/>
    <w:basedOn w:val="36"/>
    <w:link w:val="75"/>
    <w:qFormat/>
    <w:uiPriority w:val="0"/>
    <w:rPr>
      <w:rFonts w:ascii="Times New Roman" w:hAnsi="Times New Roman"/>
      <w:b/>
      <w:kern w:val="2"/>
      <w:sz w:val="21"/>
      <w:szCs w:val="24"/>
    </w:rPr>
  </w:style>
  <w:style w:type="character" w:customStyle="1" w:styleId="77">
    <w:name w:val="标题 7 Char"/>
    <w:basedOn w:val="36"/>
    <w:link w:val="8"/>
    <w:qFormat/>
    <w:uiPriority w:val="9"/>
    <w:rPr>
      <w:rFonts w:ascii="宋体" w:hAnsi="宋体" w:cs="宋体"/>
      <w:b/>
      <w:bCs/>
      <w:sz w:val="24"/>
      <w:szCs w:val="24"/>
    </w:rPr>
  </w:style>
  <w:style w:type="paragraph" w:customStyle="1" w:styleId="78">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79">
    <w:name w:val="16"/>
    <w:basedOn w:val="36"/>
    <w:qFormat/>
    <w:uiPriority w:val="0"/>
    <w:rPr>
      <w:rFonts w:hint="default" w:ascii="Times New Roman" w:hAnsi="Times New Roman" w:eastAsia="宋体" w:cs="Times New Roman"/>
      <w:b/>
      <w:bCs/>
    </w:rPr>
  </w:style>
  <w:style w:type="table" w:customStyle="1" w:styleId="80">
    <w:name w:val="g1"/>
    <w:unhideWhenUsed/>
    <w:qFormat/>
    <w:uiPriority w:val="99"/>
    <w:tblPr>
      <w:tblLayout w:type="fixed"/>
      <w:tblCellMar>
        <w:top w:w="0" w:type="dxa"/>
        <w:left w:w="108" w:type="dxa"/>
        <w:bottom w:w="0" w:type="dxa"/>
        <w:right w:w="108" w:type="dxa"/>
      </w:tblCellMar>
    </w:tblPr>
  </w:style>
  <w:style w:type="table" w:customStyle="1" w:styleId="81">
    <w:name w:val="g2"/>
    <w:basedOn w:val="4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2">
    <w:name w:val="g3"/>
    <w:basedOn w:val="4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3">
    <w:name w:val="1"/>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22222222222222222222222222222"/>
        <w:style w:val=""/>
        <w:category>
          <w:name w:val="常规"/>
          <w:gallery w:val="placeholder"/>
        </w:category>
        <w:types>
          <w:type w:val="bbPlcHdr"/>
        </w:types>
        <w:behaviors>
          <w:behavior w:val="content"/>
        </w:behaviors>
        <w:description w:val=""/>
        <w:guid w:val="{00000000-0000-0000-0000-000000000000}"/>
      </w:docPartPr>
      <w:docPartBody>
        <w:p>
          <w:r>
            <w:rPr>
              <w:rStyle w:val="4"/>
              <w:rFonts w:hint="eastAsia"/>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Helvetica-Narrow">
    <w:altName w:val="Arial Narrow"/>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6ED"/>
    <w:rsid w:val="00007ACF"/>
    <w:rsid w:val="00007CFD"/>
    <w:rsid w:val="00011E75"/>
    <w:rsid w:val="00012653"/>
    <w:rsid w:val="00012C61"/>
    <w:rsid w:val="00013B71"/>
    <w:rsid w:val="00020357"/>
    <w:rsid w:val="0002197F"/>
    <w:rsid w:val="00021BC4"/>
    <w:rsid w:val="000234EA"/>
    <w:rsid w:val="0002361B"/>
    <w:rsid w:val="000236A0"/>
    <w:rsid w:val="0002605F"/>
    <w:rsid w:val="00032504"/>
    <w:rsid w:val="00032ECB"/>
    <w:rsid w:val="0003500B"/>
    <w:rsid w:val="000353DC"/>
    <w:rsid w:val="0003608F"/>
    <w:rsid w:val="000403D5"/>
    <w:rsid w:val="000437A7"/>
    <w:rsid w:val="00044179"/>
    <w:rsid w:val="00044916"/>
    <w:rsid w:val="00045444"/>
    <w:rsid w:val="00051FA4"/>
    <w:rsid w:val="00053ABC"/>
    <w:rsid w:val="00055561"/>
    <w:rsid w:val="00061F65"/>
    <w:rsid w:val="00063874"/>
    <w:rsid w:val="00063CC6"/>
    <w:rsid w:val="00065B5A"/>
    <w:rsid w:val="000667C2"/>
    <w:rsid w:val="00066EFA"/>
    <w:rsid w:val="00067DCC"/>
    <w:rsid w:val="00070ACB"/>
    <w:rsid w:val="00071C74"/>
    <w:rsid w:val="00076D57"/>
    <w:rsid w:val="0007717F"/>
    <w:rsid w:val="00082580"/>
    <w:rsid w:val="00083B00"/>
    <w:rsid w:val="00083C63"/>
    <w:rsid w:val="00084E8F"/>
    <w:rsid w:val="00087193"/>
    <w:rsid w:val="0009029E"/>
    <w:rsid w:val="00091B0E"/>
    <w:rsid w:val="00092CBB"/>
    <w:rsid w:val="00093BE5"/>
    <w:rsid w:val="000958C3"/>
    <w:rsid w:val="000B2987"/>
    <w:rsid w:val="000B3464"/>
    <w:rsid w:val="000B5C82"/>
    <w:rsid w:val="000B5E0D"/>
    <w:rsid w:val="000B76C0"/>
    <w:rsid w:val="000B7F0A"/>
    <w:rsid w:val="000C1BE9"/>
    <w:rsid w:val="000C5F2F"/>
    <w:rsid w:val="000D0276"/>
    <w:rsid w:val="000D2323"/>
    <w:rsid w:val="000D3D3C"/>
    <w:rsid w:val="000E37AA"/>
    <w:rsid w:val="000E7B4D"/>
    <w:rsid w:val="000F147D"/>
    <w:rsid w:val="000F3B57"/>
    <w:rsid w:val="000F41A3"/>
    <w:rsid w:val="000F440D"/>
    <w:rsid w:val="000F5144"/>
    <w:rsid w:val="000F7B0F"/>
    <w:rsid w:val="00103415"/>
    <w:rsid w:val="00103FA8"/>
    <w:rsid w:val="00105328"/>
    <w:rsid w:val="00105693"/>
    <w:rsid w:val="00107EAF"/>
    <w:rsid w:val="00110AE1"/>
    <w:rsid w:val="001127EE"/>
    <w:rsid w:val="00114109"/>
    <w:rsid w:val="001160EB"/>
    <w:rsid w:val="00117118"/>
    <w:rsid w:val="00120BE3"/>
    <w:rsid w:val="001221A6"/>
    <w:rsid w:val="00122BB8"/>
    <w:rsid w:val="00123C52"/>
    <w:rsid w:val="001279CA"/>
    <w:rsid w:val="00131D2F"/>
    <w:rsid w:val="00132E0F"/>
    <w:rsid w:val="00133739"/>
    <w:rsid w:val="00140824"/>
    <w:rsid w:val="0014233D"/>
    <w:rsid w:val="00142487"/>
    <w:rsid w:val="00142BBE"/>
    <w:rsid w:val="00142C80"/>
    <w:rsid w:val="00151EE9"/>
    <w:rsid w:val="00156761"/>
    <w:rsid w:val="00157128"/>
    <w:rsid w:val="00157EC8"/>
    <w:rsid w:val="00160520"/>
    <w:rsid w:val="00172F92"/>
    <w:rsid w:val="001812E2"/>
    <w:rsid w:val="00181730"/>
    <w:rsid w:val="00183634"/>
    <w:rsid w:val="001860B6"/>
    <w:rsid w:val="00186ABA"/>
    <w:rsid w:val="001872D9"/>
    <w:rsid w:val="00190BFB"/>
    <w:rsid w:val="00191ED7"/>
    <w:rsid w:val="001940A4"/>
    <w:rsid w:val="001967D6"/>
    <w:rsid w:val="001A3135"/>
    <w:rsid w:val="001A4390"/>
    <w:rsid w:val="001A5C0B"/>
    <w:rsid w:val="001A79B6"/>
    <w:rsid w:val="001A7EBE"/>
    <w:rsid w:val="001B1217"/>
    <w:rsid w:val="001B2FBB"/>
    <w:rsid w:val="001B3DB4"/>
    <w:rsid w:val="001B64A1"/>
    <w:rsid w:val="001C0932"/>
    <w:rsid w:val="001C18E2"/>
    <w:rsid w:val="001C2312"/>
    <w:rsid w:val="001C319A"/>
    <w:rsid w:val="001D0BD3"/>
    <w:rsid w:val="001D3DF5"/>
    <w:rsid w:val="001E2A87"/>
    <w:rsid w:val="001E659F"/>
    <w:rsid w:val="001E7AC2"/>
    <w:rsid w:val="001F3623"/>
    <w:rsid w:val="001F792E"/>
    <w:rsid w:val="001F7AEB"/>
    <w:rsid w:val="00201E15"/>
    <w:rsid w:val="00202BF5"/>
    <w:rsid w:val="002203AB"/>
    <w:rsid w:val="00221C98"/>
    <w:rsid w:val="00235A03"/>
    <w:rsid w:val="002369F9"/>
    <w:rsid w:val="00237E37"/>
    <w:rsid w:val="00240BD1"/>
    <w:rsid w:val="00240E59"/>
    <w:rsid w:val="002424E5"/>
    <w:rsid w:val="0024573E"/>
    <w:rsid w:val="00245E71"/>
    <w:rsid w:val="00252183"/>
    <w:rsid w:val="00255510"/>
    <w:rsid w:val="00262DE3"/>
    <w:rsid w:val="00263EBB"/>
    <w:rsid w:val="00267486"/>
    <w:rsid w:val="00267758"/>
    <w:rsid w:val="00277FB1"/>
    <w:rsid w:val="002806A5"/>
    <w:rsid w:val="00282709"/>
    <w:rsid w:val="00282807"/>
    <w:rsid w:val="00283C4E"/>
    <w:rsid w:val="0028759F"/>
    <w:rsid w:val="00291691"/>
    <w:rsid w:val="002939B4"/>
    <w:rsid w:val="00295B2D"/>
    <w:rsid w:val="00296AA3"/>
    <w:rsid w:val="002A133C"/>
    <w:rsid w:val="002A1B3D"/>
    <w:rsid w:val="002A3115"/>
    <w:rsid w:val="002A3D43"/>
    <w:rsid w:val="002B0A2C"/>
    <w:rsid w:val="002C052B"/>
    <w:rsid w:val="002C1384"/>
    <w:rsid w:val="002C1FA8"/>
    <w:rsid w:val="002C4EDD"/>
    <w:rsid w:val="002C60AD"/>
    <w:rsid w:val="002C74B0"/>
    <w:rsid w:val="002C7F45"/>
    <w:rsid w:val="002D1456"/>
    <w:rsid w:val="002D24AC"/>
    <w:rsid w:val="002D36DA"/>
    <w:rsid w:val="002D3BBC"/>
    <w:rsid w:val="002D539C"/>
    <w:rsid w:val="002D5902"/>
    <w:rsid w:val="002D6EFF"/>
    <w:rsid w:val="002D76CF"/>
    <w:rsid w:val="002E52A1"/>
    <w:rsid w:val="002F0D46"/>
    <w:rsid w:val="002F5423"/>
    <w:rsid w:val="00302990"/>
    <w:rsid w:val="003076E0"/>
    <w:rsid w:val="003107C9"/>
    <w:rsid w:val="00311067"/>
    <w:rsid w:val="00312F3E"/>
    <w:rsid w:val="003145A5"/>
    <w:rsid w:val="003161CE"/>
    <w:rsid w:val="00321D6D"/>
    <w:rsid w:val="003262C7"/>
    <w:rsid w:val="00326AAF"/>
    <w:rsid w:val="00326ECB"/>
    <w:rsid w:val="00330444"/>
    <w:rsid w:val="00331404"/>
    <w:rsid w:val="003333AF"/>
    <w:rsid w:val="003348B5"/>
    <w:rsid w:val="00335DE6"/>
    <w:rsid w:val="003411FF"/>
    <w:rsid w:val="00342477"/>
    <w:rsid w:val="00343E54"/>
    <w:rsid w:val="00344469"/>
    <w:rsid w:val="00344D91"/>
    <w:rsid w:val="00345D7B"/>
    <w:rsid w:val="00350EFF"/>
    <w:rsid w:val="00353AE0"/>
    <w:rsid w:val="003564AF"/>
    <w:rsid w:val="00356A92"/>
    <w:rsid w:val="00357296"/>
    <w:rsid w:val="003630F2"/>
    <w:rsid w:val="003635D3"/>
    <w:rsid w:val="00365D0A"/>
    <w:rsid w:val="00366433"/>
    <w:rsid w:val="0037057F"/>
    <w:rsid w:val="00373786"/>
    <w:rsid w:val="00373FCD"/>
    <w:rsid w:val="003758B1"/>
    <w:rsid w:val="00381BC0"/>
    <w:rsid w:val="00382F4F"/>
    <w:rsid w:val="00384F78"/>
    <w:rsid w:val="003863F6"/>
    <w:rsid w:val="0039064D"/>
    <w:rsid w:val="003908FA"/>
    <w:rsid w:val="003920B5"/>
    <w:rsid w:val="0039324D"/>
    <w:rsid w:val="00394C27"/>
    <w:rsid w:val="00395175"/>
    <w:rsid w:val="003962B1"/>
    <w:rsid w:val="003A12DC"/>
    <w:rsid w:val="003A2DE3"/>
    <w:rsid w:val="003A61DE"/>
    <w:rsid w:val="003B2E3D"/>
    <w:rsid w:val="003B4A6B"/>
    <w:rsid w:val="003B602F"/>
    <w:rsid w:val="003C1982"/>
    <w:rsid w:val="003C614B"/>
    <w:rsid w:val="003D0725"/>
    <w:rsid w:val="003D1D1A"/>
    <w:rsid w:val="003D4186"/>
    <w:rsid w:val="003D76B8"/>
    <w:rsid w:val="003D7851"/>
    <w:rsid w:val="003D7CE7"/>
    <w:rsid w:val="003E29F3"/>
    <w:rsid w:val="003E2F24"/>
    <w:rsid w:val="003E6817"/>
    <w:rsid w:val="003E7B3A"/>
    <w:rsid w:val="003F0940"/>
    <w:rsid w:val="003F10C8"/>
    <w:rsid w:val="003F2B52"/>
    <w:rsid w:val="003F3961"/>
    <w:rsid w:val="003F3A03"/>
    <w:rsid w:val="00402169"/>
    <w:rsid w:val="0040287B"/>
    <w:rsid w:val="0040661C"/>
    <w:rsid w:val="004073B3"/>
    <w:rsid w:val="00410006"/>
    <w:rsid w:val="004140D9"/>
    <w:rsid w:val="00414CEC"/>
    <w:rsid w:val="00415A60"/>
    <w:rsid w:val="004211CC"/>
    <w:rsid w:val="004244EF"/>
    <w:rsid w:val="00424809"/>
    <w:rsid w:val="00424A0C"/>
    <w:rsid w:val="0043080F"/>
    <w:rsid w:val="00432852"/>
    <w:rsid w:val="00432A1F"/>
    <w:rsid w:val="004336EF"/>
    <w:rsid w:val="0043488A"/>
    <w:rsid w:val="00436287"/>
    <w:rsid w:val="00440DF2"/>
    <w:rsid w:val="00440F19"/>
    <w:rsid w:val="00444133"/>
    <w:rsid w:val="004506BE"/>
    <w:rsid w:val="0045153E"/>
    <w:rsid w:val="004533D1"/>
    <w:rsid w:val="00455B73"/>
    <w:rsid w:val="00457596"/>
    <w:rsid w:val="00462366"/>
    <w:rsid w:val="004629D5"/>
    <w:rsid w:val="00470F61"/>
    <w:rsid w:val="00471691"/>
    <w:rsid w:val="004719CF"/>
    <w:rsid w:val="0047340A"/>
    <w:rsid w:val="00473804"/>
    <w:rsid w:val="00485A15"/>
    <w:rsid w:val="00485A7D"/>
    <w:rsid w:val="00486B60"/>
    <w:rsid w:val="00491337"/>
    <w:rsid w:val="0049223A"/>
    <w:rsid w:val="00492496"/>
    <w:rsid w:val="00493BA3"/>
    <w:rsid w:val="00494271"/>
    <w:rsid w:val="004942F5"/>
    <w:rsid w:val="0049694C"/>
    <w:rsid w:val="004A75BE"/>
    <w:rsid w:val="004A7BFB"/>
    <w:rsid w:val="004A7D45"/>
    <w:rsid w:val="004B0240"/>
    <w:rsid w:val="004B2D1A"/>
    <w:rsid w:val="004B3148"/>
    <w:rsid w:val="004B4CFF"/>
    <w:rsid w:val="004B54E9"/>
    <w:rsid w:val="004B565E"/>
    <w:rsid w:val="004B6A92"/>
    <w:rsid w:val="004B6D45"/>
    <w:rsid w:val="004C13E9"/>
    <w:rsid w:val="004C33AE"/>
    <w:rsid w:val="004C42F0"/>
    <w:rsid w:val="004C43A4"/>
    <w:rsid w:val="004C76CE"/>
    <w:rsid w:val="004D20EE"/>
    <w:rsid w:val="004D2666"/>
    <w:rsid w:val="004D3594"/>
    <w:rsid w:val="004D6D25"/>
    <w:rsid w:val="004D7489"/>
    <w:rsid w:val="004D7840"/>
    <w:rsid w:val="004E04F7"/>
    <w:rsid w:val="004E10F5"/>
    <w:rsid w:val="004E1F1C"/>
    <w:rsid w:val="004E3251"/>
    <w:rsid w:val="004E3AF1"/>
    <w:rsid w:val="004E6544"/>
    <w:rsid w:val="004E7802"/>
    <w:rsid w:val="004F009B"/>
    <w:rsid w:val="004F129C"/>
    <w:rsid w:val="004F207A"/>
    <w:rsid w:val="005027B4"/>
    <w:rsid w:val="00504773"/>
    <w:rsid w:val="005068BC"/>
    <w:rsid w:val="00507161"/>
    <w:rsid w:val="00516D73"/>
    <w:rsid w:val="0052293F"/>
    <w:rsid w:val="00522F6B"/>
    <w:rsid w:val="00523110"/>
    <w:rsid w:val="0052491C"/>
    <w:rsid w:val="00526766"/>
    <w:rsid w:val="005268E0"/>
    <w:rsid w:val="00527DB2"/>
    <w:rsid w:val="005313CD"/>
    <w:rsid w:val="00533650"/>
    <w:rsid w:val="00533F72"/>
    <w:rsid w:val="0053496B"/>
    <w:rsid w:val="0053661C"/>
    <w:rsid w:val="00536A57"/>
    <w:rsid w:val="00537979"/>
    <w:rsid w:val="00540FBE"/>
    <w:rsid w:val="00541033"/>
    <w:rsid w:val="005422E3"/>
    <w:rsid w:val="00542A0E"/>
    <w:rsid w:val="005444C1"/>
    <w:rsid w:val="0054615B"/>
    <w:rsid w:val="005472A5"/>
    <w:rsid w:val="005500FB"/>
    <w:rsid w:val="00550C78"/>
    <w:rsid w:val="00551DFD"/>
    <w:rsid w:val="00552952"/>
    <w:rsid w:val="00552B5F"/>
    <w:rsid w:val="00556A44"/>
    <w:rsid w:val="00557E06"/>
    <w:rsid w:val="00560A87"/>
    <w:rsid w:val="00560D94"/>
    <w:rsid w:val="0056541D"/>
    <w:rsid w:val="005654AC"/>
    <w:rsid w:val="005670C9"/>
    <w:rsid w:val="00567462"/>
    <w:rsid w:val="00567D9E"/>
    <w:rsid w:val="00570EF9"/>
    <w:rsid w:val="00571364"/>
    <w:rsid w:val="00575D97"/>
    <w:rsid w:val="005779AE"/>
    <w:rsid w:val="00577D83"/>
    <w:rsid w:val="00580587"/>
    <w:rsid w:val="005822A8"/>
    <w:rsid w:val="00582E12"/>
    <w:rsid w:val="0059503F"/>
    <w:rsid w:val="0059545D"/>
    <w:rsid w:val="005979DC"/>
    <w:rsid w:val="005A2E6F"/>
    <w:rsid w:val="005A4D3F"/>
    <w:rsid w:val="005A6D6C"/>
    <w:rsid w:val="005A6ED8"/>
    <w:rsid w:val="005B224C"/>
    <w:rsid w:val="005B2A61"/>
    <w:rsid w:val="005B3CB6"/>
    <w:rsid w:val="005B5439"/>
    <w:rsid w:val="005B78D2"/>
    <w:rsid w:val="005C028E"/>
    <w:rsid w:val="005C1686"/>
    <w:rsid w:val="005C2D90"/>
    <w:rsid w:val="005C5DA2"/>
    <w:rsid w:val="005C5DC2"/>
    <w:rsid w:val="005D191C"/>
    <w:rsid w:val="005D6837"/>
    <w:rsid w:val="005D6C4C"/>
    <w:rsid w:val="005E2835"/>
    <w:rsid w:val="005E2D1E"/>
    <w:rsid w:val="005E3B88"/>
    <w:rsid w:val="005E4997"/>
    <w:rsid w:val="005E61F9"/>
    <w:rsid w:val="005E7CE3"/>
    <w:rsid w:val="005F0430"/>
    <w:rsid w:val="005F08EC"/>
    <w:rsid w:val="005F3BA5"/>
    <w:rsid w:val="005F589F"/>
    <w:rsid w:val="006007A2"/>
    <w:rsid w:val="0060301F"/>
    <w:rsid w:val="006116F4"/>
    <w:rsid w:val="00614965"/>
    <w:rsid w:val="00614ADC"/>
    <w:rsid w:val="00617EEA"/>
    <w:rsid w:val="00622A95"/>
    <w:rsid w:val="00623ABC"/>
    <w:rsid w:val="0062477F"/>
    <w:rsid w:val="00626F2D"/>
    <w:rsid w:val="00627316"/>
    <w:rsid w:val="006316CF"/>
    <w:rsid w:val="006358D2"/>
    <w:rsid w:val="00640DE1"/>
    <w:rsid w:val="0064157C"/>
    <w:rsid w:val="00642566"/>
    <w:rsid w:val="006433EC"/>
    <w:rsid w:val="0064473F"/>
    <w:rsid w:val="00650116"/>
    <w:rsid w:val="00653904"/>
    <w:rsid w:val="00656049"/>
    <w:rsid w:val="0065606C"/>
    <w:rsid w:val="00657714"/>
    <w:rsid w:val="00662179"/>
    <w:rsid w:val="00664E7A"/>
    <w:rsid w:val="00666135"/>
    <w:rsid w:val="006679B5"/>
    <w:rsid w:val="00667ED8"/>
    <w:rsid w:val="00670A1B"/>
    <w:rsid w:val="00671DB1"/>
    <w:rsid w:val="00672440"/>
    <w:rsid w:val="006728B5"/>
    <w:rsid w:val="006732BB"/>
    <w:rsid w:val="00674B33"/>
    <w:rsid w:val="0067564A"/>
    <w:rsid w:val="006865EA"/>
    <w:rsid w:val="0069046D"/>
    <w:rsid w:val="00694205"/>
    <w:rsid w:val="00696D0B"/>
    <w:rsid w:val="006A20D1"/>
    <w:rsid w:val="006A7E2E"/>
    <w:rsid w:val="006B06A3"/>
    <w:rsid w:val="006B08D7"/>
    <w:rsid w:val="006B25FE"/>
    <w:rsid w:val="006B2F1C"/>
    <w:rsid w:val="006B428F"/>
    <w:rsid w:val="006B5B2D"/>
    <w:rsid w:val="006B5E23"/>
    <w:rsid w:val="006B6DE4"/>
    <w:rsid w:val="006C1C90"/>
    <w:rsid w:val="006C425B"/>
    <w:rsid w:val="006C4D85"/>
    <w:rsid w:val="006C5037"/>
    <w:rsid w:val="006C59BD"/>
    <w:rsid w:val="006C6A36"/>
    <w:rsid w:val="006C7EDF"/>
    <w:rsid w:val="006D0081"/>
    <w:rsid w:val="006D0624"/>
    <w:rsid w:val="006D2E8E"/>
    <w:rsid w:val="006D7649"/>
    <w:rsid w:val="006E3EA5"/>
    <w:rsid w:val="006E6B2E"/>
    <w:rsid w:val="006E7F9A"/>
    <w:rsid w:val="006F1A0B"/>
    <w:rsid w:val="006F39D6"/>
    <w:rsid w:val="006F4FF6"/>
    <w:rsid w:val="00701DD2"/>
    <w:rsid w:val="00703C57"/>
    <w:rsid w:val="0070452E"/>
    <w:rsid w:val="00705C49"/>
    <w:rsid w:val="00710304"/>
    <w:rsid w:val="007109BB"/>
    <w:rsid w:val="00710A14"/>
    <w:rsid w:val="00710DF6"/>
    <w:rsid w:val="00711502"/>
    <w:rsid w:val="0071327A"/>
    <w:rsid w:val="007156A6"/>
    <w:rsid w:val="00722B1B"/>
    <w:rsid w:val="007267EC"/>
    <w:rsid w:val="00731723"/>
    <w:rsid w:val="00732BBD"/>
    <w:rsid w:val="00733BB5"/>
    <w:rsid w:val="00734566"/>
    <w:rsid w:val="007355F3"/>
    <w:rsid w:val="007360D9"/>
    <w:rsid w:val="00740175"/>
    <w:rsid w:val="00743F53"/>
    <w:rsid w:val="0074600A"/>
    <w:rsid w:val="00752E78"/>
    <w:rsid w:val="007534BD"/>
    <w:rsid w:val="00756612"/>
    <w:rsid w:val="007571F3"/>
    <w:rsid w:val="00762126"/>
    <w:rsid w:val="00763E92"/>
    <w:rsid w:val="007646FE"/>
    <w:rsid w:val="00764A07"/>
    <w:rsid w:val="00765FF6"/>
    <w:rsid w:val="007660C4"/>
    <w:rsid w:val="007737FB"/>
    <w:rsid w:val="00774941"/>
    <w:rsid w:val="00775421"/>
    <w:rsid w:val="00776D56"/>
    <w:rsid w:val="00780475"/>
    <w:rsid w:val="007804E6"/>
    <w:rsid w:val="00780C31"/>
    <w:rsid w:val="0078284E"/>
    <w:rsid w:val="00782C46"/>
    <w:rsid w:val="00784D7A"/>
    <w:rsid w:val="00786C94"/>
    <w:rsid w:val="00790D3F"/>
    <w:rsid w:val="00792A72"/>
    <w:rsid w:val="00793111"/>
    <w:rsid w:val="00793726"/>
    <w:rsid w:val="007945B6"/>
    <w:rsid w:val="007A2B2D"/>
    <w:rsid w:val="007A5D7F"/>
    <w:rsid w:val="007A6A0B"/>
    <w:rsid w:val="007B135F"/>
    <w:rsid w:val="007B2B55"/>
    <w:rsid w:val="007B3C14"/>
    <w:rsid w:val="007B774E"/>
    <w:rsid w:val="007C0882"/>
    <w:rsid w:val="007C1043"/>
    <w:rsid w:val="007C14DF"/>
    <w:rsid w:val="007C4161"/>
    <w:rsid w:val="007C4BE1"/>
    <w:rsid w:val="007C51EF"/>
    <w:rsid w:val="007D419F"/>
    <w:rsid w:val="007D6D69"/>
    <w:rsid w:val="007D6F29"/>
    <w:rsid w:val="007D735A"/>
    <w:rsid w:val="007D74E1"/>
    <w:rsid w:val="007E082F"/>
    <w:rsid w:val="007F0584"/>
    <w:rsid w:val="007F11B8"/>
    <w:rsid w:val="007F3EEA"/>
    <w:rsid w:val="007F6DD1"/>
    <w:rsid w:val="008023FD"/>
    <w:rsid w:val="00802845"/>
    <w:rsid w:val="00803299"/>
    <w:rsid w:val="00812C14"/>
    <w:rsid w:val="008139F4"/>
    <w:rsid w:val="008165EA"/>
    <w:rsid w:val="00816907"/>
    <w:rsid w:val="00816CF0"/>
    <w:rsid w:val="0081790A"/>
    <w:rsid w:val="00821CF3"/>
    <w:rsid w:val="0082217E"/>
    <w:rsid w:val="00822E96"/>
    <w:rsid w:val="00825D16"/>
    <w:rsid w:val="008267EE"/>
    <w:rsid w:val="00830A74"/>
    <w:rsid w:val="0083273C"/>
    <w:rsid w:val="008379B1"/>
    <w:rsid w:val="00842FF3"/>
    <w:rsid w:val="00846C3B"/>
    <w:rsid w:val="00850C34"/>
    <w:rsid w:val="00850F04"/>
    <w:rsid w:val="00851C29"/>
    <w:rsid w:val="00852756"/>
    <w:rsid w:val="0085309B"/>
    <w:rsid w:val="008543E1"/>
    <w:rsid w:val="008549B6"/>
    <w:rsid w:val="0085725A"/>
    <w:rsid w:val="0086068B"/>
    <w:rsid w:val="008620B4"/>
    <w:rsid w:val="00862B0B"/>
    <w:rsid w:val="00865910"/>
    <w:rsid w:val="00870DBE"/>
    <w:rsid w:val="00873818"/>
    <w:rsid w:val="00873F7F"/>
    <w:rsid w:val="00874239"/>
    <w:rsid w:val="00874269"/>
    <w:rsid w:val="00876BC4"/>
    <w:rsid w:val="00877A6D"/>
    <w:rsid w:val="00882301"/>
    <w:rsid w:val="00883FEC"/>
    <w:rsid w:val="00886903"/>
    <w:rsid w:val="00890F00"/>
    <w:rsid w:val="0089283A"/>
    <w:rsid w:val="00895A94"/>
    <w:rsid w:val="00896702"/>
    <w:rsid w:val="0089696C"/>
    <w:rsid w:val="00897A46"/>
    <w:rsid w:val="008A12DA"/>
    <w:rsid w:val="008A4677"/>
    <w:rsid w:val="008A5DB2"/>
    <w:rsid w:val="008B09EE"/>
    <w:rsid w:val="008B1A1A"/>
    <w:rsid w:val="008B1FF2"/>
    <w:rsid w:val="008B4BFE"/>
    <w:rsid w:val="008B7A72"/>
    <w:rsid w:val="008B7D97"/>
    <w:rsid w:val="008C255E"/>
    <w:rsid w:val="008D1E50"/>
    <w:rsid w:val="008E0178"/>
    <w:rsid w:val="008E1F7D"/>
    <w:rsid w:val="008E6C46"/>
    <w:rsid w:val="008F3574"/>
    <w:rsid w:val="008F4657"/>
    <w:rsid w:val="0090042E"/>
    <w:rsid w:val="00904A3E"/>
    <w:rsid w:val="0090779B"/>
    <w:rsid w:val="009078EE"/>
    <w:rsid w:val="00907A65"/>
    <w:rsid w:val="00910DEE"/>
    <w:rsid w:val="00913362"/>
    <w:rsid w:val="00916593"/>
    <w:rsid w:val="00916DBA"/>
    <w:rsid w:val="00916EAD"/>
    <w:rsid w:val="00917E0F"/>
    <w:rsid w:val="009215B7"/>
    <w:rsid w:val="00922C46"/>
    <w:rsid w:val="009242EA"/>
    <w:rsid w:val="00924381"/>
    <w:rsid w:val="009314BE"/>
    <w:rsid w:val="00932281"/>
    <w:rsid w:val="009326C8"/>
    <w:rsid w:val="00933384"/>
    <w:rsid w:val="00934D2C"/>
    <w:rsid w:val="00935407"/>
    <w:rsid w:val="009402A5"/>
    <w:rsid w:val="009411A4"/>
    <w:rsid w:val="009422D4"/>
    <w:rsid w:val="009457DA"/>
    <w:rsid w:val="00945BA6"/>
    <w:rsid w:val="0095041C"/>
    <w:rsid w:val="00953A46"/>
    <w:rsid w:val="0096090C"/>
    <w:rsid w:val="0096111A"/>
    <w:rsid w:val="00974A56"/>
    <w:rsid w:val="00976D34"/>
    <w:rsid w:val="0098078B"/>
    <w:rsid w:val="00986A33"/>
    <w:rsid w:val="00991F79"/>
    <w:rsid w:val="00996906"/>
    <w:rsid w:val="00997435"/>
    <w:rsid w:val="009A550B"/>
    <w:rsid w:val="009A58AB"/>
    <w:rsid w:val="009A5B98"/>
    <w:rsid w:val="009A67AF"/>
    <w:rsid w:val="009A6C69"/>
    <w:rsid w:val="009A6CCE"/>
    <w:rsid w:val="009A7545"/>
    <w:rsid w:val="009A7798"/>
    <w:rsid w:val="009B293C"/>
    <w:rsid w:val="009B2DDF"/>
    <w:rsid w:val="009B415A"/>
    <w:rsid w:val="009B472A"/>
    <w:rsid w:val="009B6F4F"/>
    <w:rsid w:val="009C0F45"/>
    <w:rsid w:val="009C64EC"/>
    <w:rsid w:val="009D05C1"/>
    <w:rsid w:val="009D1019"/>
    <w:rsid w:val="009D15B0"/>
    <w:rsid w:val="009E0E59"/>
    <w:rsid w:val="009E0F04"/>
    <w:rsid w:val="009E3402"/>
    <w:rsid w:val="009E3473"/>
    <w:rsid w:val="009E4101"/>
    <w:rsid w:val="009E49FB"/>
    <w:rsid w:val="009E5DAB"/>
    <w:rsid w:val="009F0978"/>
    <w:rsid w:val="009F163B"/>
    <w:rsid w:val="009F5450"/>
    <w:rsid w:val="00A01D8D"/>
    <w:rsid w:val="00A02ED9"/>
    <w:rsid w:val="00A044B5"/>
    <w:rsid w:val="00A04892"/>
    <w:rsid w:val="00A07390"/>
    <w:rsid w:val="00A0798E"/>
    <w:rsid w:val="00A13335"/>
    <w:rsid w:val="00A15BB3"/>
    <w:rsid w:val="00A24A10"/>
    <w:rsid w:val="00A253B3"/>
    <w:rsid w:val="00A26AB4"/>
    <w:rsid w:val="00A270B9"/>
    <w:rsid w:val="00A30A00"/>
    <w:rsid w:val="00A344EF"/>
    <w:rsid w:val="00A40ACE"/>
    <w:rsid w:val="00A41AB8"/>
    <w:rsid w:val="00A423C8"/>
    <w:rsid w:val="00A42B52"/>
    <w:rsid w:val="00A45DA3"/>
    <w:rsid w:val="00A52BC4"/>
    <w:rsid w:val="00A5314E"/>
    <w:rsid w:val="00A653BB"/>
    <w:rsid w:val="00A65574"/>
    <w:rsid w:val="00A67011"/>
    <w:rsid w:val="00A677A4"/>
    <w:rsid w:val="00A74CBD"/>
    <w:rsid w:val="00A75E22"/>
    <w:rsid w:val="00A76206"/>
    <w:rsid w:val="00A80F35"/>
    <w:rsid w:val="00A811DB"/>
    <w:rsid w:val="00A81C90"/>
    <w:rsid w:val="00A83E9B"/>
    <w:rsid w:val="00A863A7"/>
    <w:rsid w:val="00A875E0"/>
    <w:rsid w:val="00A93989"/>
    <w:rsid w:val="00A95DBA"/>
    <w:rsid w:val="00AA0138"/>
    <w:rsid w:val="00AA2955"/>
    <w:rsid w:val="00AA2AD3"/>
    <w:rsid w:val="00AA489D"/>
    <w:rsid w:val="00AB3FDB"/>
    <w:rsid w:val="00AB431D"/>
    <w:rsid w:val="00AB49FC"/>
    <w:rsid w:val="00AB4F81"/>
    <w:rsid w:val="00AB7DCC"/>
    <w:rsid w:val="00AC2467"/>
    <w:rsid w:val="00AC3066"/>
    <w:rsid w:val="00AC5F56"/>
    <w:rsid w:val="00AC65C2"/>
    <w:rsid w:val="00AD76E8"/>
    <w:rsid w:val="00AF2026"/>
    <w:rsid w:val="00AF2AA7"/>
    <w:rsid w:val="00AF4E8C"/>
    <w:rsid w:val="00B01BE5"/>
    <w:rsid w:val="00B02D4F"/>
    <w:rsid w:val="00B14DDE"/>
    <w:rsid w:val="00B2035A"/>
    <w:rsid w:val="00B224F4"/>
    <w:rsid w:val="00B235ED"/>
    <w:rsid w:val="00B23854"/>
    <w:rsid w:val="00B24F71"/>
    <w:rsid w:val="00B251A2"/>
    <w:rsid w:val="00B25A6D"/>
    <w:rsid w:val="00B2605C"/>
    <w:rsid w:val="00B269B5"/>
    <w:rsid w:val="00B30435"/>
    <w:rsid w:val="00B314C5"/>
    <w:rsid w:val="00B331CF"/>
    <w:rsid w:val="00B33D84"/>
    <w:rsid w:val="00B355DA"/>
    <w:rsid w:val="00B4425C"/>
    <w:rsid w:val="00B474C7"/>
    <w:rsid w:val="00B503F9"/>
    <w:rsid w:val="00B51293"/>
    <w:rsid w:val="00B54516"/>
    <w:rsid w:val="00B57015"/>
    <w:rsid w:val="00B61D84"/>
    <w:rsid w:val="00B624BD"/>
    <w:rsid w:val="00B627D0"/>
    <w:rsid w:val="00B638BA"/>
    <w:rsid w:val="00B640E8"/>
    <w:rsid w:val="00B647EA"/>
    <w:rsid w:val="00B64C23"/>
    <w:rsid w:val="00B64E37"/>
    <w:rsid w:val="00B65636"/>
    <w:rsid w:val="00B657AC"/>
    <w:rsid w:val="00B703D9"/>
    <w:rsid w:val="00B705F1"/>
    <w:rsid w:val="00B719E8"/>
    <w:rsid w:val="00B72BF0"/>
    <w:rsid w:val="00B730A9"/>
    <w:rsid w:val="00B75B52"/>
    <w:rsid w:val="00B84645"/>
    <w:rsid w:val="00B90EF9"/>
    <w:rsid w:val="00B93E0C"/>
    <w:rsid w:val="00B940C6"/>
    <w:rsid w:val="00BA79D9"/>
    <w:rsid w:val="00BB0F16"/>
    <w:rsid w:val="00BB13D2"/>
    <w:rsid w:val="00BB2FE6"/>
    <w:rsid w:val="00BB56BD"/>
    <w:rsid w:val="00BC1999"/>
    <w:rsid w:val="00BC285D"/>
    <w:rsid w:val="00BC4296"/>
    <w:rsid w:val="00BC44A2"/>
    <w:rsid w:val="00BC6153"/>
    <w:rsid w:val="00BC6298"/>
    <w:rsid w:val="00BC62C3"/>
    <w:rsid w:val="00BD038E"/>
    <w:rsid w:val="00BD2529"/>
    <w:rsid w:val="00BD272F"/>
    <w:rsid w:val="00BD598C"/>
    <w:rsid w:val="00BD7AEB"/>
    <w:rsid w:val="00BE0542"/>
    <w:rsid w:val="00BE5E61"/>
    <w:rsid w:val="00BE64B5"/>
    <w:rsid w:val="00BF278F"/>
    <w:rsid w:val="00BF4EE7"/>
    <w:rsid w:val="00BF5D15"/>
    <w:rsid w:val="00BF6B43"/>
    <w:rsid w:val="00BF7208"/>
    <w:rsid w:val="00C03C7A"/>
    <w:rsid w:val="00C054C7"/>
    <w:rsid w:val="00C16784"/>
    <w:rsid w:val="00C222BF"/>
    <w:rsid w:val="00C23EC6"/>
    <w:rsid w:val="00C25332"/>
    <w:rsid w:val="00C2637F"/>
    <w:rsid w:val="00C307D6"/>
    <w:rsid w:val="00C30B4B"/>
    <w:rsid w:val="00C3290A"/>
    <w:rsid w:val="00C3387C"/>
    <w:rsid w:val="00C34B0A"/>
    <w:rsid w:val="00C36EEA"/>
    <w:rsid w:val="00C371D5"/>
    <w:rsid w:val="00C40BB5"/>
    <w:rsid w:val="00C43F05"/>
    <w:rsid w:val="00C4655D"/>
    <w:rsid w:val="00C508E4"/>
    <w:rsid w:val="00C5468E"/>
    <w:rsid w:val="00C54E4F"/>
    <w:rsid w:val="00C61BE9"/>
    <w:rsid w:val="00C62834"/>
    <w:rsid w:val="00C63576"/>
    <w:rsid w:val="00C63F05"/>
    <w:rsid w:val="00C64B4D"/>
    <w:rsid w:val="00C67B17"/>
    <w:rsid w:val="00C72476"/>
    <w:rsid w:val="00C74245"/>
    <w:rsid w:val="00C746FA"/>
    <w:rsid w:val="00C749FE"/>
    <w:rsid w:val="00C84339"/>
    <w:rsid w:val="00C846DB"/>
    <w:rsid w:val="00C85D82"/>
    <w:rsid w:val="00C87130"/>
    <w:rsid w:val="00C953FB"/>
    <w:rsid w:val="00C9581C"/>
    <w:rsid w:val="00CA08D7"/>
    <w:rsid w:val="00CA0E93"/>
    <w:rsid w:val="00CA2544"/>
    <w:rsid w:val="00CA2B37"/>
    <w:rsid w:val="00CA3008"/>
    <w:rsid w:val="00CB0F42"/>
    <w:rsid w:val="00CB2CD8"/>
    <w:rsid w:val="00CB2E7E"/>
    <w:rsid w:val="00CB5A04"/>
    <w:rsid w:val="00CC1E17"/>
    <w:rsid w:val="00CC4686"/>
    <w:rsid w:val="00CC71B4"/>
    <w:rsid w:val="00CD1620"/>
    <w:rsid w:val="00CD301F"/>
    <w:rsid w:val="00CD4BBA"/>
    <w:rsid w:val="00CD5D13"/>
    <w:rsid w:val="00CD6909"/>
    <w:rsid w:val="00CE06E3"/>
    <w:rsid w:val="00CE3B71"/>
    <w:rsid w:val="00CE4379"/>
    <w:rsid w:val="00CE4FC8"/>
    <w:rsid w:val="00CE6A40"/>
    <w:rsid w:val="00CE6C5B"/>
    <w:rsid w:val="00CF113C"/>
    <w:rsid w:val="00CF1B4D"/>
    <w:rsid w:val="00CF52F4"/>
    <w:rsid w:val="00CF5CA8"/>
    <w:rsid w:val="00CF5F3A"/>
    <w:rsid w:val="00CF791D"/>
    <w:rsid w:val="00D00B95"/>
    <w:rsid w:val="00D03E61"/>
    <w:rsid w:val="00D0472A"/>
    <w:rsid w:val="00D05F1A"/>
    <w:rsid w:val="00D068C3"/>
    <w:rsid w:val="00D13563"/>
    <w:rsid w:val="00D13C3D"/>
    <w:rsid w:val="00D162E1"/>
    <w:rsid w:val="00D22C1E"/>
    <w:rsid w:val="00D22EEF"/>
    <w:rsid w:val="00D302AC"/>
    <w:rsid w:val="00D312BA"/>
    <w:rsid w:val="00D313C3"/>
    <w:rsid w:val="00D31746"/>
    <w:rsid w:val="00D3306D"/>
    <w:rsid w:val="00D346A9"/>
    <w:rsid w:val="00D3690F"/>
    <w:rsid w:val="00D40381"/>
    <w:rsid w:val="00D411E6"/>
    <w:rsid w:val="00D41943"/>
    <w:rsid w:val="00D41F03"/>
    <w:rsid w:val="00D44153"/>
    <w:rsid w:val="00D443FF"/>
    <w:rsid w:val="00D5115D"/>
    <w:rsid w:val="00D514A5"/>
    <w:rsid w:val="00D52BD5"/>
    <w:rsid w:val="00D57C08"/>
    <w:rsid w:val="00D57F45"/>
    <w:rsid w:val="00D6090F"/>
    <w:rsid w:val="00D70462"/>
    <w:rsid w:val="00D727F0"/>
    <w:rsid w:val="00D75C3F"/>
    <w:rsid w:val="00D76320"/>
    <w:rsid w:val="00D766F7"/>
    <w:rsid w:val="00D8279D"/>
    <w:rsid w:val="00D82E7A"/>
    <w:rsid w:val="00D866A6"/>
    <w:rsid w:val="00D8741B"/>
    <w:rsid w:val="00D91704"/>
    <w:rsid w:val="00D94305"/>
    <w:rsid w:val="00DA16AE"/>
    <w:rsid w:val="00DA6308"/>
    <w:rsid w:val="00DA6EC7"/>
    <w:rsid w:val="00DB03AF"/>
    <w:rsid w:val="00DB3743"/>
    <w:rsid w:val="00DC0A9A"/>
    <w:rsid w:val="00DC1EB4"/>
    <w:rsid w:val="00DC1FE5"/>
    <w:rsid w:val="00DC4FAF"/>
    <w:rsid w:val="00DC5A17"/>
    <w:rsid w:val="00DC639E"/>
    <w:rsid w:val="00DC7D1C"/>
    <w:rsid w:val="00DD0A6A"/>
    <w:rsid w:val="00DD4CDB"/>
    <w:rsid w:val="00DD6A35"/>
    <w:rsid w:val="00DD7C5E"/>
    <w:rsid w:val="00DE264A"/>
    <w:rsid w:val="00DE4F38"/>
    <w:rsid w:val="00DE68D4"/>
    <w:rsid w:val="00DF0AA5"/>
    <w:rsid w:val="00DF5D9B"/>
    <w:rsid w:val="00DF64A7"/>
    <w:rsid w:val="00E004E5"/>
    <w:rsid w:val="00E00C93"/>
    <w:rsid w:val="00E02EBD"/>
    <w:rsid w:val="00E0415A"/>
    <w:rsid w:val="00E1075D"/>
    <w:rsid w:val="00E1571C"/>
    <w:rsid w:val="00E15924"/>
    <w:rsid w:val="00E17B79"/>
    <w:rsid w:val="00E212F8"/>
    <w:rsid w:val="00E22EA6"/>
    <w:rsid w:val="00E23AB4"/>
    <w:rsid w:val="00E3194B"/>
    <w:rsid w:val="00E32DC0"/>
    <w:rsid w:val="00E33C52"/>
    <w:rsid w:val="00E33FB8"/>
    <w:rsid w:val="00E34401"/>
    <w:rsid w:val="00E35136"/>
    <w:rsid w:val="00E37C9D"/>
    <w:rsid w:val="00E37F3C"/>
    <w:rsid w:val="00E40A31"/>
    <w:rsid w:val="00E46646"/>
    <w:rsid w:val="00E47FCB"/>
    <w:rsid w:val="00E50E43"/>
    <w:rsid w:val="00E525E5"/>
    <w:rsid w:val="00E66266"/>
    <w:rsid w:val="00E66C93"/>
    <w:rsid w:val="00E67EDB"/>
    <w:rsid w:val="00E71083"/>
    <w:rsid w:val="00E71DB2"/>
    <w:rsid w:val="00E750F1"/>
    <w:rsid w:val="00E80852"/>
    <w:rsid w:val="00E822A7"/>
    <w:rsid w:val="00E83CCB"/>
    <w:rsid w:val="00E91C21"/>
    <w:rsid w:val="00E91C6E"/>
    <w:rsid w:val="00E928CB"/>
    <w:rsid w:val="00E93248"/>
    <w:rsid w:val="00E945FE"/>
    <w:rsid w:val="00EA1325"/>
    <w:rsid w:val="00EA1C75"/>
    <w:rsid w:val="00EA35D2"/>
    <w:rsid w:val="00EA37AF"/>
    <w:rsid w:val="00EA3BC2"/>
    <w:rsid w:val="00EA4000"/>
    <w:rsid w:val="00EA4F59"/>
    <w:rsid w:val="00EB0325"/>
    <w:rsid w:val="00EB03F0"/>
    <w:rsid w:val="00EB1330"/>
    <w:rsid w:val="00EB2097"/>
    <w:rsid w:val="00EB6734"/>
    <w:rsid w:val="00EB687E"/>
    <w:rsid w:val="00EC7F75"/>
    <w:rsid w:val="00ED1AF8"/>
    <w:rsid w:val="00ED27AA"/>
    <w:rsid w:val="00ED4CA9"/>
    <w:rsid w:val="00EE2D6F"/>
    <w:rsid w:val="00EE425E"/>
    <w:rsid w:val="00EF465C"/>
    <w:rsid w:val="00EF5435"/>
    <w:rsid w:val="00F002E1"/>
    <w:rsid w:val="00F00B5C"/>
    <w:rsid w:val="00F03828"/>
    <w:rsid w:val="00F040FD"/>
    <w:rsid w:val="00F04B76"/>
    <w:rsid w:val="00F06716"/>
    <w:rsid w:val="00F0728E"/>
    <w:rsid w:val="00F100F6"/>
    <w:rsid w:val="00F1025B"/>
    <w:rsid w:val="00F104E1"/>
    <w:rsid w:val="00F11BD4"/>
    <w:rsid w:val="00F12194"/>
    <w:rsid w:val="00F202CE"/>
    <w:rsid w:val="00F24689"/>
    <w:rsid w:val="00F25976"/>
    <w:rsid w:val="00F303F9"/>
    <w:rsid w:val="00F371A1"/>
    <w:rsid w:val="00F37A07"/>
    <w:rsid w:val="00F45171"/>
    <w:rsid w:val="00F454C0"/>
    <w:rsid w:val="00F45FF5"/>
    <w:rsid w:val="00F476B3"/>
    <w:rsid w:val="00F47BE3"/>
    <w:rsid w:val="00F541FB"/>
    <w:rsid w:val="00F548A8"/>
    <w:rsid w:val="00F5495E"/>
    <w:rsid w:val="00F6039B"/>
    <w:rsid w:val="00F6683B"/>
    <w:rsid w:val="00F703C2"/>
    <w:rsid w:val="00F76D5D"/>
    <w:rsid w:val="00F77164"/>
    <w:rsid w:val="00F775FB"/>
    <w:rsid w:val="00F80652"/>
    <w:rsid w:val="00F8334F"/>
    <w:rsid w:val="00F8531C"/>
    <w:rsid w:val="00F863B3"/>
    <w:rsid w:val="00F86FA0"/>
    <w:rsid w:val="00F9117D"/>
    <w:rsid w:val="00F96994"/>
    <w:rsid w:val="00F96A08"/>
    <w:rsid w:val="00FA289F"/>
    <w:rsid w:val="00FA3C88"/>
    <w:rsid w:val="00FA410E"/>
    <w:rsid w:val="00FA5149"/>
    <w:rsid w:val="00FB17A2"/>
    <w:rsid w:val="00FB1807"/>
    <w:rsid w:val="00FB2B02"/>
    <w:rsid w:val="00FB3EF3"/>
    <w:rsid w:val="00FB4311"/>
    <w:rsid w:val="00FB43DA"/>
    <w:rsid w:val="00FB5A3B"/>
    <w:rsid w:val="00FB699B"/>
    <w:rsid w:val="00FC1107"/>
    <w:rsid w:val="00FC148F"/>
    <w:rsid w:val="00FC19AC"/>
    <w:rsid w:val="00FC30EB"/>
    <w:rsid w:val="00FC3F17"/>
    <w:rsid w:val="00FC5034"/>
    <w:rsid w:val="00FC786E"/>
    <w:rsid w:val="00FC7A92"/>
    <w:rsid w:val="00FD347E"/>
    <w:rsid w:val="00FD3F6F"/>
    <w:rsid w:val="00FD559E"/>
    <w:rsid w:val="00FE03EB"/>
    <w:rsid w:val="00FE4396"/>
    <w:rsid w:val="00FE5674"/>
    <w:rsid w:val="00FF064B"/>
    <w:rsid w:val="00FF24FC"/>
    <w:rsid w:val="00FF28D2"/>
    <w:rsid w:val="00FF5F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 w:type="character" w:customStyle="1" w:styleId="5">
    <w:name w:val="占位符文本1"/>
    <w:basedOn w:val="2"/>
    <w:semiHidden/>
    <w:uiPriority w:val="99"/>
  </w:style>
  <w:style w:type="paragraph" w:customStyle="1" w:styleId="6">
    <w:name w:val="35CA754FF23B4A0F8E9A0FDADF1653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8EE4004E89B4EF7B698916D5038150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7E972C7554A4E339B19A2CC53B3CE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3A4C4425CC140789608522B7D0FCD6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7FD4815557E744B893C6BBBE25546B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8A10615F590448993559F79959DD0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7EDF7D0E0DC4897AE4F6B72C9DCA2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2CDB8FA797764DD7B4F1986C9A195F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BC362AFE5BD4CF28CCAF10A8E7A01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EDE6F7355BE041BC92C4051E5026038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C965597FA24B432D87DA4C8CF62E0B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1B336BBCEEF84F88BD0FDBEE6CC1CD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8CFBE6D50FF64D45BB00C356403940E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DFB051F2ACE04E528A832A5631EFA4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EB285ACE42D4B80A5C4C34ED0D7E0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6DE603BF086C43D9B41872396AAE09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9BFB1F5E8F54AF19114D192B8C7687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D343E9942B4C47A19B1AD396E7BB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38B1412256D145C79732661D086B4A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51E75141E4440A1BA61ED87631DA8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110B1D8E168249B1902331D62A4B44A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]]></t:sse>
</t:template>
</file>

<file path=customXml/item4.xml><?xml version="1.0" encoding="utf-8"?>
<m:mapping xmlns:m="http://mapping.word.org/2012/mapping">
  <m:sse><![CDATA[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]]></m:sse>
</m:mapping>
</file>

<file path=customXml/item5.xml><?xml version="1.0" encoding="utf-8"?>
<sc:sections xmlns:sc="http://mapping.word.org/2014/section/customize"/>
</file>

<file path=customXml/item6.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柳州钢铁股份有限公司</clcid-cgi:GongSiFaDingZhongWenMingCheng>
  <clcid-mr:GongSiFuZeRenXingMing xmlns:clcid-mr="clcid-mr">陈有升</clcid-mr:GongSiFuZeRenXingMing>
  <clcid-mr:ZhuGuanKuaiJiGongZuoFuZeRenXingMing xmlns:clcid-mr="clcid-mr">杜忠军</clcid-mr:ZhuGuanKuaiJiGongZuoFuZeRenXingMing>
  <clcid-mr:KuaiJiJiGouFuZeRenXingMing xmlns:clcid-mr="clcid-mr">唐皓烨</clcid-mr:KuaiJiJiGouFuZeRenXingMing>
  <clcid-cgi:GongSiFaDingDaiBiaoRen xmlns:clcid-cgi="clcid-cgi">陈有升</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-3,825,393.16</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七、70</clcid-pte:FeiLiuDongXingZiChanChuZhiSunYiBaoKuoYiJiTiZiChanJianZhiZhunBeiDeChongXiaoBuFenFeiJingChangXingSunYiXiangMuShuoMing>
  <clcid-pte:FeiJingChangXingSunYiZhongYueQuanShenPiHuoWuZhengShiPiZhunWenJianDeShuiShouFanHuanJianMianShuoMing xmlns:clcid-pte="clcid-pte"/>
  <clcid-pte:FeiJingChangXingSunYiZhongGeZhongXingShiDeZhengFuBuTie xmlns:clcid-pte="clcid-pte">34,623,222.96</clcid-pte:FeiJingChangXingSunYiZhongGeZhongXingShiDeZhengFuBuTie>
  <clcid-pte:FeiJingChangXingSunYiZhongGeZhongXingShiDeZhengFuBuTieShuoMing xmlns:clcid-pte="clcid-pte">七、69，79</clcid-pte:FeiJingChangXingSunYiZhongGeZhongXingShiDeZhengFuBuTieShuoMing>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-2,655,967.11</clcid-pte:ChuGongSiJingYingYeWuXiangGuanDeYouXiaoTaoQiBaoZhiYeWuWaiChiYouJiChuZhiJiaoYiXingJinRongZiChanJinRongFuZhaiChanShengDeGongYunJiaZhiBianDongSunYiYiHeKeGongChuShouJinRongZiChanQuDeDeTouZiShouYi>
  <clcid-pte:ChuGongSiJingYingYeWuXiangGuanDeYouXiaoTaoQiBaoZhiYeWuWaiChiYouJiChuZhiJiaoYiXingJinRongZiChanJinRongFuZhaiChanShengDeGongYunJiaZhiBianDongSunYiYiHeKeGongChuShouJinRongZiChanQuDeDeTouZiShouYiShuoMing xmlns:clcid-pte="clcid-pte">七、67，68</clcid-pte:ChuGongSiJingYingYeWuXiangGuanDeYouXiaoTaoQiBaoZhiYeWuWaiChiYouJiChuZhiJiaoYiXingJinRongZiChanJinRongFuZhaiChanShengDeGongYunJiaZhiBianDongSunYiYiHeKeGongChuShouJinRongZiChanQuDeDeTouZiShouYiShuoMing>
  <clcid-pte:DanDuJinXingJianZhiCeShiDeYingShouKuanXiangJianZhiZhunBeiZhuanHui xmlns:clcid-pte="clcid-pte">19,345,009.04</clcid-pte:DanDuJinXingJianZhiCeShiDeYingShouKuanXiangJianZhiZhunBeiZhuanHui>
  <clcid-pte:DanDuJinXingJianZhiCeShiDeYingShouKuanXiangJianZhiZhunBeiZhuanHuiShuoMing xmlns:clcid-pte="clcid-pte">七、5（2）</clcid-pte:DanDuJinXingJianZhiCeShiDeYingShouKuanXiangJianZhiZhunBeiZhuanHuiShuoMing>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5,279,899.72</clcid-pte:ChuShangShuGeXiangZhiWaiDeQiTaYingYeWaiShouZhiJingE>
  <clcid-pte:ChuShangShuGeXiangZhiWaiDeQiTaYingYeWaiShouZhiJingEShuoMing xmlns:clcid-pte="clcid-pte">七、69，70</clcid-pte:ChuShangShuGeXiangZhiWaiDeQiTaYingYeWaiShouZhiJingEShuoMing>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-7,915,015.72</clcid-pte:FeiJingChangXingSunYiDeKouChuXiangMuDuiSuoDeShuiDeYingXiang>
  <clcid-pte:FeiJingChangXingSunYiDeKouChuXiangMuDuiSuoDeShuiDeYingXiangShuoMing xmlns:clcid-pte="clcid-pte"/>
  <clcid-pte:KouChuDeFeiJingChangXingSunYiHeJi xmlns:clcid-pte="clcid-pte">44,851,755.73</clcid-pte:KouChuDeFeiJingChangXingSunYiHeJi>
  <clcid-pte:KouChuDeFeiJingChangXingSunYiHeJiShuoMing xmlns:clcid-pte="clcid-pte"/>
  <clcid-ci-ar:DanWeiTongShiAnZhaoGuoJiKuaiJiZhunZeYuAnZhongGuoKuaiJiZhunZePiLuDeCaiWuBaoGaoZhongJingLiRunHeJingZiChanChaYiQingKuang xmlns:clcid-ci-ar="clcid-ci-ar"/>
  <clcid-ci-ar:BiZhongTongShiAnZhaoGuoJiKuaiJiZhunZeYuAnZhongGuoKuaiJiZhunZePiLuDeCaiWuBaoGaoZhongJingLiRunHeJingZiChanChaYiQingKuang xmlns:clcid-ci-ar="clcid-ci-ar"/>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b:binding>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DE472-DB47-4AF0-A1FE-3F9A216C8C57}">
  <ds:schemaRefs/>
</ds:datastoreItem>
</file>

<file path=customXml/itemProps3.xml><?xml version="1.0" encoding="utf-8"?>
<ds:datastoreItem xmlns:ds="http://schemas.openxmlformats.org/officeDocument/2006/customXml" ds:itemID="{2B999847-5AC8-433C-8562-5347BD67F115}">
  <ds:schemaRefs/>
</ds:datastoreItem>
</file>

<file path=customXml/itemProps4.xml><?xml version="1.0" encoding="utf-8"?>
<ds:datastoreItem xmlns:ds="http://schemas.openxmlformats.org/officeDocument/2006/customXml" ds:itemID="{2D1F613F-7D53-4FB5-8430-3B941100B771}">
  <ds:schemaRefs/>
</ds:datastoreItem>
</file>

<file path=customXml/itemProps5.xml><?xml version="1.0" encoding="utf-8"?>
<ds:datastoreItem xmlns:ds="http://schemas.openxmlformats.org/officeDocument/2006/customXml" ds:itemID="{1F37729E-89F6-4D70-BC0B-8EF77515B409}">
  <ds:schemaRefs/>
</ds:datastoreItem>
</file>

<file path=customXml/itemProps6.xml><?xml version="1.0" encoding="utf-8"?>
<ds:datastoreItem xmlns:ds="http://schemas.openxmlformats.org/officeDocument/2006/customXml" ds:itemID="{89EBAB94-44A0-46A2-B712-30D997D04A6D}">
  <ds:schemaRefs/>
</ds:datastoreItem>
</file>

<file path=docProps/app.xml><?xml version="1.0" encoding="utf-8"?>
<Properties xmlns="http://schemas.openxmlformats.org/officeDocument/2006/extended-properties" xmlns:vt="http://schemas.openxmlformats.org/officeDocument/2006/docPropsVTypes">
  <Template>SSEReport.dotm</Template>
  <Company>Sky123.Org</Company>
  <Pages>124</Pages>
  <Words>24147</Words>
  <Characters>137642</Characters>
  <Lines>1147</Lines>
  <Paragraphs>322</Paragraphs>
  <TotalTime>0</TotalTime>
  <ScaleCrop>false</ScaleCrop>
  <LinksUpToDate>false</LinksUpToDate>
  <CharactersWithSpaces>161467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2018-03-19T02:53:00Z</dcterms:created>
  <dc:creator>czq</dc:creator>
  <cp:lastModifiedBy>Administrator</cp:lastModifiedBy>
  <cp:lastPrinted>2018-03-28T07:51:00Z</cp:lastPrinted>
  <dcterms:modified xsi:type="dcterms:W3CDTF">2018-04-23T02:28:41Z</dcterms:modified>
  <dc:title>股份有限公司</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